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0804-2022-Q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陕西智简美机电科技有限公司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陕西智简美机电科技有限公司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陕西省西安市高新区高新一路25号创新大厦S418</w:t>
            </w:r>
            <w:bookmarkEnd w:id="6"/>
          </w:p>
        </w:tc>
        <w:tc>
          <w:tcPr>
            <w:tcW w:w="1242" w:type="dxa"/>
            <w:vMerge w:val="restart"/>
            <w:vAlign w:val="center"/>
          </w:tcPr>
          <w:p>
            <w:r>
              <w:rPr>
                <w:rFonts w:hint="eastAsia"/>
              </w:rPr>
              <w:t>邮编</w:t>
            </w:r>
          </w:p>
        </w:tc>
        <w:tc>
          <w:tcPr>
            <w:tcW w:w="1771" w:type="dxa"/>
          </w:tcPr>
          <w:p>
            <w:bookmarkStart w:id="7" w:name="注册邮编"/>
            <w:r>
              <w:t>710000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陕西省西安市高新区高新一路25号创新大厦S418</w:t>
            </w:r>
            <w:bookmarkEnd w:id="8"/>
          </w:p>
        </w:tc>
        <w:tc>
          <w:tcPr>
            <w:tcW w:w="1242" w:type="dxa"/>
            <w:vMerge w:val="continue"/>
            <w:vAlign w:val="center"/>
          </w:tcPr>
          <w:p/>
        </w:tc>
        <w:tc>
          <w:tcPr>
            <w:tcW w:w="1771" w:type="dxa"/>
          </w:tcPr>
          <w:p>
            <w:bookmarkStart w:id="9" w:name="办公邮编"/>
            <w:r>
              <w:t>710000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郑先成</w:t>
            </w:r>
            <w:bookmarkEnd w:id="10"/>
          </w:p>
        </w:tc>
        <w:tc>
          <w:tcPr>
            <w:tcW w:w="1313" w:type="dxa"/>
            <w:vAlign w:val="center"/>
          </w:tcPr>
          <w:p>
            <w:r>
              <w:rPr>
                <w:rFonts w:hint="eastAsia"/>
              </w:rPr>
              <w:t>电话.</w:t>
            </w:r>
          </w:p>
        </w:tc>
        <w:tc>
          <w:tcPr>
            <w:tcW w:w="2180" w:type="dxa"/>
            <w:vAlign w:val="center"/>
          </w:tcPr>
          <w:p>
            <w:bookmarkStart w:id="11" w:name="联系人电话"/>
            <w:r>
              <w:t>13991858633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王慧英</w:t>
            </w:r>
            <w:bookmarkEnd w:id="13"/>
          </w:p>
        </w:tc>
        <w:tc>
          <w:tcPr>
            <w:tcW w:w="1313" w:type="dxa"/>
            <w:vAlign w:val="center"/>
          </w:tcPr>
          <w:p>
            <w:r>
              <w:rPr>
                <w:rFonts w:hint="eastAsia"/>
              </w:rPr>
              <w:t>管理者代表</w:t>
            </w:r>
          </w:p>
        </w:tc>
        <w:tc>
          <w:tcPr>
            <w:tcW w:w="2180" w:type="dxa"/>
          </w:tcPr>
          <w:p>
            <w:bookmarkStart w:id="14" w:name="管理者代表"/>
            <w:r>
              <w:t>郑先成</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spacing w:line="360" w:lineRule="auto"/>
              <w:rPr>
                <w:rFonts w:hint="eastAsia"/>
                <w:lang w:val="en-US" w:eastAsia="zh-CN"/>
              </w:rPr>
            </w:pPr>
            <w:r>
              <w:t>研发</w:t>
            </w:r>
            <w:r>
              <w:rPr>
                <w:rFonts w:hint="eastAsia"/>
                <w:lang w:val="en-US" w:eastAsia="zh-CN"/>
              </w:rPr>
              <w:t>流程图：</w:t>
            </w:r>
          </w:p>
          <w:p>
            <w:pPr>
              <w:spacing w:line="360" w:lineRule="auto"/>
            </w:pPr>
            <w:r>
              <w:rPr>
                <w:rFonts w:hint="eastAsia" w:ascii="Times New Roman" w:hAnsi="Times New Roman" w:eastAsia="宋体" w:cs="Times New Roman"/>
                <w:lang w:val="en-US" w:eastAsia="zh-CN"/>
              </w:rPr>
              <w:t>招投标及业务洽谈→合同评审→编制技术方案→技术方案评审→设计开发计划→设计开发实施→设计评审→设计确认→验证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2"/>
        <w:gridCol w:w="490"/>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2022年06月24日 上午至2022年06月24日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33" w:hRule="exact"/>
        </w:trPr>
        <w:tc>
          <w:tcPr>
            <w:tcW w:w="1632" w:type="dxa"/>
            <w:gridSpan w:val="2"/>
          </w:tcPr>
          <w:p>
            <w:r>
              <w:rPr>
                <w:rFonts w:hint="eastAsia"/>
              </w:rPr>
              <w:t>审核准则</w:t>
            </w:r>
          </w:p>
          <w:p/>
        </w:tc>
        <w:tc>
          <w:tcPr>
            <w:tcW w:w="7831" w:type="dxa"/>
            <w:gridSpan w:val="3"/>
            <w:tcMar>
              <w:left w:w="113" w:type="dxa"/>
            </w:tcMar>
          </w:tcPr>
          <w:p>
            <w:pPr>
              <w:rPr>
                <w:rFonts w:hint="eastAsia"/>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p>
            <w:r>
              <w:rPr>
                <w:rFonts w:hint="eastAsia"/>
                <w:lang w:val="de-DE" w:eastAsia="zh-CN"/>
              </w:rPr>
              <w:t>☑</w:t>
            </w:r>
            <w:r>
              <w:rPr>
                <w:rFonts w:hint="eastAsia"/>
                <w:lang w:val="de-DE"/>
              </w:rPr>
              <w:t>GB/T 50430-2017</w:t>
            </w:r>
          </w:p>
          <w:p>
            <w:pPr>
              <w:rPr>
                <w:rFonts w:hint="eastAsia"/>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p>
          <w:p>
            <w:pPr>
              <w:rPr>
                <w:lang w:val="de-DE"/>
              </w:rPr>
            </w:pP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42" w:type="dxa"/>
            <w:vMerge w:val="restart"/>
            <w:vAlign w:val="center"/>
          </w:tcPr>
          <w:p>
            <w:r>
              <w:rPr>
                <w:rFonts w:hint="eastAsia"/>
              </w:rPr>
              <w:t>审核范围</w:t>
            </w:r>
          </w:p>
          <w:p/>
        </w:tc>
        <w:tc>
          <w:tcPr>
            <w:tcW w:w="5106" w:type="dxa"/>
            <w:gridSpan w:val="3"/>
            <w:vMerge w:val="restart"/>
            <w:vAlign w:val="center"/>
          </w:tcPr>
          <w:p>
            <w:bookmarkStart w:id="28" w:name="审核范围"/>
            <w:r>
              <w:t>测控、仿真系统（用于机电产品、电气设备）的研发</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42" w:type="dxa"/>
            <w:vMerge w:val="continue"/>
            <w:vAlign w:val="center"/>
          </w:tcPr>
          <w:p/>
        </w:tc>
        <w:tc>
          <w:tcPr>
            <w:tcW w:w="5106" w:type="dxa"/>
            <w:gridSpan w:val="3"/>
            <w:vMerge w:val="continue"/>
            <w:vAlign w:val="center"/>
          </w:tcPr>
          <w:p/>
        </w:tc>
        <w:tc>
          <w:tcPr>
            <w:tcW w:w="3215" w:type="dxa"/>
            <w:vAlign w:val="center"/>
          </w:tcPr>
          <w:p>
            <w:bookmarkStart w:id="29" w:name="专业代码"/>
            <w:r>
              <w:t>19.05.01;33.02.01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jc w:val="left"/>
            </w:pPr>
            <w:r>
              <w:rPr>
                <w:rFonts w:hint="eastAsia" w:ascii="宋体" w:hAnsi="宋体"/>
                <w:b/>
                <w:color w:val="000000" w:themeColor="text1"/>
                <w:sz w:val="20"/>
                <w:szCs w:val="20"/>
              </w:rPr>
              <w:t>2017</w:t>
            </w:r>
            <w:r>
              <w:rPr>
                <w:rFonts w:hint="eastAsia"/>
              </w:rPr>
              <w:t>年月</w:t>
            </w:r>
            <w:r>
              <w:rPr>
                <w:rFonts w:hint="eastAsia"/>
                <w:lang w:val="en-US" w:eastAsia="zh-CN"/>
              </w:rPr>
              <w:t>11</w:t>
            </w:r>
            <w:r>
              <w:rPr>
                <w:rFonts w:hint="eastAsia"/>
              </w:rPr>
              <w:t>日</w:t>
            </w:r>
            <w:r>
              <w:rPr>
                <w:rFonts w:hint="eastAsia" w:ascii="宋体" w:hAnsi="宋体"/>
                <w:b/>
                <w:color w:val="000000" w:themeColor="text1"/>
                <w:sz w:val="20"/>
                <w:szCs w:val="20"/>
              </w:rPr>
              <w:t>5</w:t>
            </w:r>
            <w:r>
              <w:rPr>
                <w:rFonts w:hint="eastAsia" w:ascii="宋体" w:hAnsi="宋体"/>
                <w:b/>
                <w:color w:val="000000" w:themeColor="text1"/>
                <w:sz w:val="20"/>
                <w:szCs w:val="20"/>
                <w:lang w:val="en-US" w:eastAsia="zh-CN"/>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2021年10月10日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7</w:t>
            </w:r>
            <w:r>
              <w:rPr>
                <w:rFonts w:hint="eastAsia"/>
              </w:rPr>
              <w:t>月</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30"/>
        <w:gridCol w:w="11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30" w:type="dxa"/>
            <w:shd w:val="clear" w:color="auto" w:fill="F3F3F3"/>
            <w:tcMar>
              <w:left w:w="57" w:type="dxa"/>
              <w:right w:w="57" w:type="dxa"/>
            </w:tcMar>
          </w:tcPr>
          <w:p>
            <w:r>
              <w:rPr>
                <w:rFonts w:hint="eastAsia"/>
              </w:rPr>
              <w:t>审核范围（产品和过程）</w:t>
            </w:r>
          </w:p>
          <w:p/>
          <w:p/>
        </w:tc>
        <w:tc>
          <w:tcPr>
            <w:tcW w:w="1142"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陕西智简美机电科技有限公司</w:t>
            </w:r>
          </w:p>
          <w:p>
            <w:pPr>
              <w:pStyle w:val="2"/>
              <w:rPr>
                <w:lang w:val="de-DE" w:eastAsia="ja-JP"/>
              </w:rPr>
            </w:pPr>
            <w:r>
              <w:rPr>
                <w:rFonts w:hint="eastAsia"/>
                <w:lang w:val="de-DE" w:eastAsia="ja-JP"/>
              </w:rPr>
              <w:t>陕西省西安市高新区高新一路25号创新大厦S418</w:t>
            </w:r>
          </w:p>
        </w:tc>
        <w:tc>
          <w:tcPr>
            <w:tcW w:w="2267" w:type="dxa"/>
          </w:tcPr>
          <w:p>
            <w:pPr>
              <w:rPr>
                <w:lang w:val="de-DE" w:eastAsia="ja-JP"/>
              </w:rPr>
            </w:pPr>
            <w:r>
              <w:t>陕西省西安市高新区高新一路25号创新大厦S418</w:t>
            </w:r>
          </w:p>
        </w:tc>
        <w:tc>
          <w:tcPr>
            <w:tcW w:w="571" w:type="dxa"/>
            <w:vAlign w:val="center"/>
          </w:tcPr>
          <w:p>
            <w:pPr>
              <w:rPr>
                <w:rFonts w:hint="default" w:eastAsia="宋体"/>
                <w:lang w:val="en-US" w:eastAsia="zh-CN"/>
              </w:rPr>
            </w:pPr>
            <w:r>
              <w:rPr>
                <w:rFonts w:hint="eastAsia"/>
                <w:lang w:val="en-US" w:eastAsia="zh-CN"/>
              </w:rPr>
              <w:t>16</w:t>
            </w:r>
          </w:p>
        </w:tc>
        <w:tc>
          <w:tcPr>
            <w:tcW w:w="2330" w:type="dxa"/>
            <w:vAlign w:val="center"/>
          </w:tcPr>
          <w:p>
            <w:pPr>
              <w:rPr>
                <w:lang w:eastAsia="ja-JP"/>
              </w:rPr>
            </w:pPr>
            <w:r>
              <w:t>测控、仿真系统（用于机电产品、电气设备）的研发</w:t>
            </w:r>
          </w:p>
        </w:tc>
        <w:tc>
          <w:tcPr>
            <w:tcW w:w="1142" w:type="dxa"/>
            <w:vAlign w:val="center"/>
          </w:tcPr>
          <w:p>
            <w:pPr>
              <w:rPr>
                <w:lang w:eastAsia="ja-JP"/>
              </w:rPr>
            </w:pPr>
            <w:r>
              <w:rPr>
                <w:rFonts w:hint="eastAsia"/>
                <w:lang w:val="de-DE"/>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30" w:type="dxa"/>
            <w:vAlign w:val="center"/>
          </w:tcPr>
          <w:p>
            <w:pPr>
              <w:rPr>
                <w:lang w:eastAsia="ja-JP"/>
              </w:rPr>
            </w:pPr>
          </w:p>
        </w:tc>
        <w:tc>
          <w:tcPr>
            <w:tcW w:w="114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30" w:type="dxa"/>
            <w:vAlign w:val="center"/>
          </w:tcPr>
          <w:p>
            <w:pPr>
              <w:rPr>
                <w:lang w:eastAsia="ja-JP"/>
              </w:rPr>
            </w:pPr>
          </w:p>
        </w:tc>
        <w:tc>
          <w:tcPr>
            <w:tcW w:w="114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30" w:type="dxa"/>
            <w:vAlign w:val="center"/>
          </w:tcPr>
          <w:p>
            <w:pPr>
              <w:rPr>
                <w:lang w:eastAsia="ja-JP"/>
              </w:rPr>
            </w:pPr>
          </w:p>
        </w:tc>
        <w:tc>
          <w:tcPr>
            <w:tcW w:w="114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30" w:type="dxa"/>
            <w:vAlign w:val="center"/>
          </w:tcPr>
          <w:p>
            <w:pPr>
              <w:rPr>
                <w:lang w:eastAsia="ja-JP"/>
              </w:rPr>
            </w:pPr>
          </w:p>
        </w:tc>
        <w:tc>
          <w:tcPr>
            <w:tcW w:w="1142"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2021-N1QMS-2222792</w:t>
            </w:r>
          </w:p>
        </w:tc>
        <w:tc>
          <w:tcPr>
            <w:tcW w:w="2179" w:type="dxa"/>
            <w:vAlign w:val="center"/>
          </w:tcPr>
          <w:p>
            <w:r>
              <w:t>19.05.01,33.02.01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rPr>
              <w:t>上次不符合的</w:t>
            </w:r>
            <w:r>
              <w:rPr>
                <w:rFonts w:hint="eastAsia"/>
                <w:lang w:val="en-US" w:eastAsia="zh-CN"/>
              </w:rPr>
              <w:t>已完成</w:t>
            </w:r>
            <w:r>
              <w:rPr>
                <w:rFonts w:hint="eastAsia"/>
              </w:rPr>
              <w:t>整改</w:t>
            </w:r>
            <w:r>
              <w:rPr>
                <w:rFonts w:hint="eastAsia"/>
                <w:lang w:eastAsia="zh-CN"/>
              </w:rPr>
              <w:t>，</w:t>
            </w:r>
            <w:r>
              <w:rPr>
                <w:rFonts w:hint="eastAsia"/>
                <w:lang w:val="en-US" w:eastAsia="zh-CN"/>
              </w:rPr>
              <w:t>不符合已关闭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 xml:space="preserve">        1</w:t>
            </w:r>
          </w:p>
        </w:tc>
        <w:tc>
          <w:tcPr>
            <w:tcW w:w="1717" w:type="dxa"/>
          </w:tcPr>
          <w:p/>
        </w:tc>
        <w:tc>
          <w:tcPr>
            <w:tcW w:w="1560" w:type="dxa"/>
          </w:tcPr>
          <w:p>
            <w:pPr>
              <w:rPr>
                <w:rFonts w:hint="default" w:eastAsia="宋体"/>
                <w:lang w:val="en-US" w:eastAsia="zh-CN"/>
              </w:rPr>
            </w:pPr>
            <w:r>
              <w:rPr>
                <w:rFonts w:hint="eastAsia"/>
                <w:lang w:val="en-US" w:eastAsia="zh-CN"/>
              </w:rPr>
              <w:t xml:space="preserve">      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jc w:val="both"/>
            </w:pPr>
            <w:r>
              <w:rPr>
                <w:rFonts w:hint="eastAsia"/>
              </w:rPr>
              <w:t>审核组长签字</w:t>
            </w:r>
          </w:p>
        </w:tc>
        <w:tc>
          <w:tcPr>
            <w:tcW w:w="2764" w:type="dxa"/>
            <w:tcMar>
              <w:left w:w="113" w:type="dxa"/>
            </w:tcMar>
            <w:vAlign w:val="center"/>
          </w:tcPr>
          <w:p>
            <w:pPr>
              <w:jc w:val="both"/>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209550</wp:posOffset>
                  </wp:positionH>
                  <wp:positionV relativeFrom="paragraph">
                    <wp:posOffset>42545</wp:posOffset>
                  </wp:positionV>
                  <wp:extent cx="368300" cy="283845"/>
                  <wp:effectExtent l="0" t="0" r="0" b="825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368300" cy="283845"/>
                          </a:xfrm>
                          <a:prstGeom prst="rect">
                            <a:avLst/>
                          </a:prstGeom>
                        </pic:spPr>
                      </pic:pic>
                    </a:graphicData>
                  </a:graphic>
                </wp:anchor>
              </w:drawing>
            </w:r>
          </w:p>
          <w:p>
            <w:pPr>
              <w:jc w:val="both"/>
            </w:pPr>
          </w:p>
        </w:tc>
        <w:tc>
          <w:tcPr>
            <w:tcW w:w="2764" w:type="dxa"/>
            <w:tcMar>
              <w:left w:w="113" w:type="dxa"/>
            </w:tcMar>
            <w:vAlign w:val="center"/>
          </w:tcPr>
          <w:p>
            <w:pPr>
              <w:jc w:val="both"/>
            </w:pPr>
            <w:r>
              <w:rPr>
                <w:rFonts w:hint="eastAsia"/>
              </w:rPr>
              <w:t>日期</w:t>
            </w:r>
          </w:p>
        </w:tc>
        <w:tc>
          <w:tcPr>
            <w:tcW w:w="2766" w:type="dxa"/>
            <w:tcMar>
              <w:left w:w="113" w:type="dxa"/>
            </w:tcMar>
            <w:vAlign w:val="center"/>
          </w:tcPr>
          <w:p>
            <w:pPr>
              <w:ind w:firstLine="420" w:firstLineChars="200"/>
              <w:jc w:val="both"/>
              <w:rPr>
                <w:rFonts w:ascii="宋体"/>
                <w:b/>
                <w:color w:val="0000FF"/>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24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原材料订制□生产/服务过程</w:t>
            </w:r>
            <w:r>
              <w:rPr>
                <w:rFonts w:hint="eastAsia"/>
                <w:lang w:eastAsia="zh-CN"/>
              </w:rPr>
              <w:t>☑</w:t>
            </w:r>
            <w:r>
              <w:rPr>
                <w:rFonts w:hint="eastAsia"/>
              </w:rPr>
              <w:t>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bookmarkStart w:id="33" w:name="_GoBack"/>
            <w:bookmarkEnd w:id="33"/>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rPr>
              <w:t>查编号：34450A万用表、编号：CN58280362示波器，未能提供有效期内的溯源证据</w:t>
            </w:r>
            <w:r>
              <w:rPr>
                <w:rFonts w:hint="eastAsia"/>
                <w:lang w:eastAsia="zh-CN"/>
              </w:rPr>
              <w:t>，</w:t>
            </w:r>
            <w:r>
              <w:rPr>
                <w:rFonts w:hint="eastAsia"/>
                <w:lang w:val="en-US" w:eastAsia="zh-CN"/>
              </w:rPr>
              <w:t>已开具不符合。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通过年度策划于2022年5月21日实施了质量管理体系内部审核，对质量管理体系的符合性和有效性进行了审核。内审发现的项不符合在本次审核前已完成整改。在公司内完成的这些审核是可信的。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Theme="minorEastAsia" w:hAnsiTheme="minorEastAsia" w:eastAsiaTheme="minorEastAsia"/>
                <w:szCs w:val="24"/>
              </w:rPr>
              <w:t xml:space="preserve"> 2022年6月9日</w:t>
            </w:r>
            <w:r>
              <w:rPr>
                <w:rFonts w:hint="eastAsia"/>
              </w:rPr>
              <w:t>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hN2U4Y2Q5MGE2Mzc1MDlkNDVmNzZkYmRlMTYyYjcifQ=="/>
  </w:docVars>
  <w:rsids>
    <w:rsidRoot w:val="00000000"/>
    <w:rsid w:val="0B562A5C"/>
    <w:rsid w:val="35E401B5"/>
    <w:rsid w:val="43C2209E"/>
    <w:rsid w:val="5F6230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2022-06-28T00:16:11Z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