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ascii="隶书" w:hAnsi="宋体" w:eastAsia="隶书"/>
          <w:bCs/>
          <w:color w:val="000000"/>
          <w:sz w:val="36"/>
          <w:szCs w:val="36"/>
        </w:rPr>
      </w:pPr>
    </w:p>
    <w:p>
      <w:pPr>
        <w:spacing w:line="480" w:lineRule="exact"/>
        <w:jc w:val="cente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64"/>
        <w:gridCol w:w="11012"/>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1164"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1012" w:type="dxa"/>
            <w:vAlign w:val="center"/>
          </w:tcPr>
          <w:p>
            <w:pPr>
              <w:spacing w:line="360" w:lineRule="auto"/>
              <w:rPr>
                <w:rFonts w:hint="default" w:ascii="宋体" w:hAnsi="宋体" w:eastAsia="宋体" w:cs="宋体"/>
                <w:szCs w:val="21"/>
                <w:lang w:val="en-US" w:eastAsia="zh-CN"/>
              </w:rPr>
            </w:pPr>
            <w:r>
              <w:rPr>
                <w:rFonts w:ascii="宋体" w:hAnsi="宋体" w:cs="宋体"/>
                <w:szCs w:val="21"/>
              </w:rPr>
              <w:t>受审核部门：</w:t>
            </w:r>
            <w:r>
              <w:rPr>
                <w:rFonts w:hint="eastAsia" w:ascii="宋体" w:hAnsi="宋体" w:cs="宋体"/>
                <w:szCs w:val="21"/>
              </w:rPr>
              <w:t>综合部</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主管领导：</w:t>
            </w:r>
            <w:r>
              <w:rPr>
                <w:rFonts w:hint="eastAsia" w:ascii="宋体" w:hAnsi="宋体" w:cs="宋体"/>
                <w:szCs w:val="21"/>
                <w:lang w:val="en-US" w:eastAsia="zh-CN"/>
              </w:rPr>
              <w:t>艾莉红</w:t>
            </w:r>
            <w:r>
              <w:rPr>
                <w:rFonts w:ascii="宋体" w:hAnsi="宋体" w:cs="宋体"/>
                <w:szCs w:val="21"/>
              </w:rPr>
              <w:t xml:space="preserve"> </w:t>
            </w:r>
            <w:r>
              <w:rPr>
                <w:rFonts w:hint="eastAsia" w:ascii="宋体" w:hAnsi="宋体" w:cs="宋体"/>
                <w:szCs w:val="21"/>
              </w:rPr>
              <w:t xml:space="preserve">              陪同人员：</w:t>
            </w:r>
            <w:r>
              <w:rPr>
                <w:rFonts w:hint="eastAsia" w:ascii="宋体" w:hAnsi="宋体" w:cs="宋体"/>
                <w:szCs w:val="21"/>
                <w:lang w:val="en-US" w:eastAsia="zh-CN"/>
              </w:rPr>
              <w:t>王慧英</w:t>
            </w:r>
          </w:p>
        </w:tc>
        <w:tc>
          <w:tcPr>
            <w:tcW w:w="577"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6" w:type="dxa"/>
            <w:vMerge w:val="continue"/>
            <w:vAlign w:val="center"/>
          </w:tcPr>
          <w:p>
            <w:pPr>
              <w:rPr>
                <w:color w:val="000000" w:themeColor="text1"/>
              </w:rPr>
            </w:pPr>
          </w:p>
        </w:tc>
        <w:tc>
          <w:tcPr>
            <w:tcW w:w="1164" w:type="dxa"/>
            <w:vMerge w:val="continue"/>
            <w:vAlign w:val="center"/>
          </w:tcPr>
          <w:p>
            <w:pPr>
              <w:rPr>
                <w:color w:val="000000" w:themeColor="text1"/>
              </w:rPr>
            </w:pPr>
          </w:p>
        </w:tc>
        <w:tc>
          <w:tcPr>
            <w:tcW w:w="11012" w:type="dxa"/>
            <w:vAlign w:val="center"/>
          </w:tcPr>
          <w:p>
            <w:pPr>
              <w:spacing w:line="360" w:lineRule="auto"/>
              <w:rPr>
                <w:rFonts w:ascii="宋体" w:hAnsi="宋体" w:cs="宋体"/>
                <w:szCs w:val="21"/>
              </w:rPr>
            </w:pPr>
            <w:r>
              <w:rPr>
                <w:rFonts w:hint="eastAsia" w:ascii="宋体" w:hAnsi="宋体" w:cs="宋体"/>
                <w:szCs w:val="21"/>
              </w:rPr>
              <w:t>审核员：李俐                              审核时间：202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w:t>
            </w:r>
          </w:p>
        </w:tc>
        <w:tc>
          <w:tcPr>
            <w:tcW w:w="577"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956" w:type="dxa"/>
            <w:vMerge w:val="continue"/>
            <w:vAlign w:val="center"/>
          </w:tcPr>
          <w:p>
            <w:pPr>
              <w:rPr>
                <w:color w:val="000000" w:themeColor="text1"/>
              </w:rPr>
            </w:pPr>
          </w:p>
        </w:tc>
        <w:tc>
          <w:tcPr>
            <w:tcW w:w="1164" w:type="dxa"/>
            <w:vMerge w:val="continue"/>
            <w:vAlign w:val="center"/>
          </w:tcPr>
          <w:p>
            <w:pPr>
              <w:rPr>
                <w:color w:val="000000" w:themeColor="text1"/>
              </w:rPr>
            </w:pPr>
          </w:p>
        </w:tc>
        <w:tc>
          <w:tcPr>
            <w:tcW w:w="11012" w:type="dxa"/>
            <w:vAlign w:val="center"/>
          </w:tcPr>
          <w:p>
            <w:pPr>
              <w:spacing w:line="360" w:lineRule="auto"/>
            </w:pPr>
            <w:r>
              <w:rPr>
                <w:rFonts w:hint="eastAsia"/>
              </w:rPr>
              <w:t>审核条款：</w:t>
            </w:r>
          </w:p>
          <w:p>
            <w:pPr>
              <w:pStyle w:val="3"/>
              <w:spacing w:line="360" w:lineRule="auto"/>
            </w:pPr>
            <w:r>
              <w:rPr>
                <w:rFonts w:hint="eastAsia" w:ascii="宋体" w:hAnsi="宋体" w:eastAsia="宋体" w:cs="Times New Roman"/>
                <w:b/>
                <w:bCs/>
                <w:sz w:val="21"/>
                <w:szCs w:val="21"/>
                <w:lang w:val="en-US" w:eastAsia="zh-CN"/>
              </w:rPr>
              <w:t>Q</w:t>
            </w:r>
            <w:r>
              <w:rPr>
                <w:rFonts w:hint="eastAsia" w:ascii="宋体" w:hAnsi="宋体" w:eastAsia="宋体" w:cs="Times New Roman"/>
                <w:b/>
                <w:bCs/>
                <w:sz w:val="21"/>
                <w:szCs w:val="21"/>
              </w:rPr>
              <w:t>:</w:t>
            </w:r>
            <w:r>
              <w:rPr>
                <w:rFonts w:hint="eastAsia" w:ascii="宋体" w:hAnsi="宋体" w:eastAsia="宋体" w:cs="Times New Roman"/>
                <w:b/>
                <w:bCs/>
                <w:sz w:val="21"/>
                <w:szCs w:val="21"/>
                <w:lang w:val="en-US" w:eastAsia="zh-CN"/>
              </w:rPr>
              <w:t>5.3、6.2、7.1.2、7.1.3、7.1.4、7.1.6、7.2、7.3、</w:t>
            </w:r>
            <w:r>
              <w:rPr>
                <w:rFonts w:hint="eastAsia" w:ascii="宋体" w:hAnsi="宋体" w:eastAsia="宋体" w:cs="Times New Roman"/>
                <w:b/>
                <w:bCs/>
                <w:sz w:val="21"/>
                <w:szCs w:val="21"/>
              </w:rPr>
              <w:t>7.4</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lang w:val="en-US" w:eastAsia="zh-CN"/>
              </w:rPr>
              <w:t>7.5、</w:t>
            </w:r>
            <w:r>
              <w:rPr>
                <w:rFonts w:hint="eastAsia" w:ascii="宋体" w:hAnsi="宋体" w:eastAsia="宋体" w:cs="Times New Roman"/>
                <w:b/>
                <w:bCs/>
                <w:sz w:val="21"/>
                <w:szCs w:val="21"/>
              </w:rPr>
              <w:t>8.2</w:t>
            </w:r>
            <w:r>
              <w:rPr>
                <w:rFonts w:hint="eastAsia" w:ascii="宋体" w:hAnsi="宋体" w:eastAsia="宋体" w:cs="Times New Roman"/>
                <w:b/>
                <w:bCs/>
                <w:sz w:val="21"/>
                <w:szCs w:val="21"/>
                <w:lang w:val="en-US" w:eastAsia="zh-CN"/>
              </w:rPr>
              <w:t>、8.4、</w:t>
            </w:r>
            <w:r>
              <w:rPr>
                <w:rFonts w:hint="eastAsia" w:ascii="宋体" w:hAnsi="宋体" w:eastAsia="宋体" w:cs="Times New Roman"/>
                <w:b/>
                <w:bCs/>
                <w:sz w:val="21"/>
                <w:szCs w:val="21"/>
              </w:rPr>
              <w:t>9.1.2</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rPr>
              <w:t>9.1.3</w:t>
            </w:r>
            <w:r>
              <w:rPr>
                <w:rFonts w:hint="eastAsia" w:ascii="宋体" w:hAnsi="宋体" w:cs="Times New Roman"/>
                <w:b/>
                <w:bCs/>
                <w:sz w:val="21"/>
                <w:szCs w:val="21"/>
                <w:lang w:eastAsia="zh-CN"/>
              </w:rPr>
              <w:t>、</w:t>
            </w:r>
            <w:r>
              <w:rPr>
                <w:rFonts w:hint="eastAsia" w:ascii="宋体" w:hAnsi="宋体" w:eastAsia="宋体" w:cs="Times New Roman"/>
                <w:b/>
                <w:bCs/>
                <w:sz w:val="21"/>
                <w:szCs w:val="21"/>
                <w:lang w:val="en-US" w:eastAsia="zh-CN"/>
              </w:rPr>
              <w:t>9.2 、10.2</w:t>
            </w:r>
          </w:p>
        </w:tc>
        <w:tc>
          <w:tcPr>
            <w:tcW w:w="577"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956" w:type="dxa"/>
            <w:vAlign w:val="center"/>
          </w:tcPr>
          <w:p>
            <w:pPr>
              <w:spacing w:line="360" w:lineRule="auto"/>
              <w:rPr>
                <w:color w:val="000000" w:themeColor="text1"/>
              </w:rPr>
            </w:pPr>
            <w:r>
              <w:rPr>
                <w:rFonts w:hint="eastAsia" w:ascii="宋体" w:hAnsi="宋体" w:cs="Arial"/>
                <w:szCs w:val="21"/>
              </w:rPr>
              <w:t>组织的岗位、职责和权限</w:t>
            </w:r>
          </w:p>
        </w:tc>
        <w:tc>
          <w:tcPr>
            <w:tcW w:w="1164" w:type="dxa"/>
          </w:tcPr>
          <w:p>
            <w:pPr>
              <w:spacing w:line="360" w:lineRule="auto"/>
              <w:rPr>
                <w:color w:val="000000" w:themeColor="text1"/>
              </w:rPr>
            </w:pPr>
            <w:r>
              <w:rPr>
                <w:rFonts w:hint="eastAsia" w:ascii="宋体" w:hAnsi="宋体" w:cs="Arial"/>
                <w:szCs w:val="21"/>
              </w:rPr>
              <w:t>Q：5.3</w:t>
            </w:r>
          </w:p>
        </w:tc>
        <w:tc>
          <w:tcPr>
            <w:tcW w:w="11012" w:type="dxa"/>
            <w:vAlign w:val="center"/>
          </w:tcPr>
          <w:p>
            <w:pPr>
              <w:snapToGrid w:val="0"/>
              <w:spacing w:line="360" w:lineRule="auto"/>
            </w:pPr>
            <w:r>
              <w:rPr>
                <w:rFonts w:hint="eastAsia"/>
              </w:rPr>
              <w:t>部门负责人：郑绪生</w:t>
            </w:r>
            <w:r>
              <w:t xml:space="preserve"> </w:t>
            </w:r>
          </w:p>
          <w:p>
            <w:pPr>
              <w:snapToGrid w:val="0"/>
              <w:spacing w:line="360" w:lineRule="auto"/>
            </w:pPr>
            <w:r>
              <w:rPr>
                <w:rFonts w:hint="eastAsia"/>
              </w:rPr>
              <w:t xml:space="preserve">询问主要职责： </w:t>
            </w:r>
          </w:p>
          <w:p>
            <w:pPr>
              <w:pStyle w:val="2"/>
              <w:rPr>
                <w:rFonts w:hint="eastAsia" w:ascii="宋体" w:hAnsi="宋体" w:cs="新宋体"/>
                <w:sz w:val="21"/>
                <w:szCs w:val="21"/>
              </w:rPr>
            </w:pPr>
            <w:r>
              <w:rPr>
                <w:rFonts w:hint="eastAsia" w:ascii="宋体" w:hAnsi="宋体" w:cs="新宋体"/>
                <w:sz w:val="21"/>
                <w:szCs w:val="21"/>
              </w:rPr>
              <w:t>（1）负责组织各部门编制质量手册、程序文件、第三层次文件的工作；负责质量手册、程序文件及第三层文件的原版控制；</w:t>
            </w:r>
          </w:p>
          <w:p>
            <w:pPr>
              <w:pStyle w:val="2"/>
              <w:rPr>
                <w:rFonts w:hint="eastAsia" w:ascii="宋体" w:hAnsi="宋体" w:cs="新宋体"/>
                <w:sz w:val="21"/>
                <w:szCs w:val="21"/>
              </w:rPr>
            </w:pPr>
            <w:r>
              <w:rPr>
                <w:rFonts w:hint="eastAsia" w:ascii="宋体" w:hAnsi="宋体" w:cs="新宋体"/>
                <w:sz w:val="21"/>
                <w:szCs w:val="21"/>
              </w:rPr>
              <w:t>（2）负责文件发放、回收、更改、销毁和监督执行工作，定期对现有的质量管理体系文件进行评审；</w:t>
            </w:r>
          </w:p>
          <w:p>
            <w:pPr>
              <w:pStyle w:val="2"/>
              <w:rPr>
                <w:rFonts w:hint="eastAsia" w:ascii="宋体" w:hAnsi="宋体" w:cs="新宋体"/>
                <w:sz w:val="21"/>
                <w:szCs w:val="21"/>
              </w:rPr>
            </w:pPr>
            <w:r>
              <w:rPr>
                <w:rFonts w:hint="eastAsia" w:ascii="宋体" w:hAnsi="宋体" w:cs="新宋体"/>
                <w:sz w:val="21"/>
                <w:szCs w:val="21"/>
              </w:rPr>
              <w:t>（3）负责公司记录式样的归口管理；</w:t>
            </w:r>
          </w:p>
          <w:p>
            <w:pPr>
              <w:pStyle w:val="2"/>
              <w:rPr>
                <w:rFonts w:hint="eastAsia" w:ascii="宋体" w:hAnsi="宋体" w:cs="新宋体"/>
                <w:sz w:val="21"/>
                <w:szCs w:val="21"/>
              </w:rPr>
            </w:pPr>
            <w:r>
              <w:rPr>
                <w:rFonts w:hint="eastAsia" w:ascii="宋体" w:hAnsi="宋体" w:cs="新宋体"/>
                <w:sz w:val="21"/>
                <w:szCs w:val="21"/>
              </w:rPr>
              <w:t>（4）收集管理承诺的证据，进行质量方针的宣传；</w:t>
            </w:r>
          </w:p>
          <w:p>
            <w:pPr>
              <w:pStyle w:val="2"/>
              <w:rPr>
                <w:rFonts w:hint="eastAsia" w:ascii="宋体" w:hAnsi="宋体" w:cs="新宋体"/>
                <w:sz w:val="21"/>
                <w:szCs w:val="21"/>
              </w:rPr>
            </w:pPr>
            <w:r>
              <w:rPr>
                <w:rFonts w:hint="eastAsia" w:ascii="宋体" w:hAnsi="宋体" w:cs="新宋体"/>
                <w:sz w:val="21"/>
                <w:szCs w:val="21"/>
              </w:rPr>
              <w:t>（5）公司质量目标的总体管理，以及质量体系的策划；</w:t>
            </w:r>
          </w:p>
          <w:p>
            <w:pPr>
              <w:pStyle w:val="2"/>
              <w:rPr>
                <w:rFonts w:hint="eastAsia" w:ascii="宋体" w:hAnsi="宋体" w:cs="新宋体"/>
                <w:sz w:val="21"/>
                <w:szCs w:val="21"/>
              </w:rPr>
            </w:pPr>
            <w:r>
              <w:rPr>
                <w:rFonts w:hint="eastAsia" w:ascii="宋体" w:hAnsi="宋体" w:cs="新宋体"/>
                <w:sz w:val="21"/>
                <w:szCs w:val="21"/>
              </w:rPr>
              <w:t>（6）协助最高管理者确定组织结构，负责对相关信息的传递与处理内部沟通活动。</w:t>
            </w:r>
          </w:p>
          <w:p>
            <w:pPr>
              <w:pStyle w:val="2"/>
              <w:rPr>
                <w:rFonts w:hint="eastAsia" w:ascii="宋体" w:hAnsi="宋体" w:cs="新宋体"/>
                <w:sz w:val="21"/>
                <w:szCs w:val="21"/>
              </w:rPr>
            </w:pPr>
            <w:r>
              <w:rPr>
                <w:rFonts w:hint="eastAsia" w:ascii="宋体" w:hAnsi="宋体" w:cs="新宋体"/>
                <w:sz w:val="21"/>
                <w:szCs w:val="21"/>
              </w:rPr>
              <w:t>（7）负责编制管理评审计划及评审前的准备工作，负责管理评审会议记录及管理评审报告的编制；</w:t>
            </w:r>
          </w:p>
          <w:p>
            <w:pPr>
              <w:pStyle w:val="2"/>
              <w:rPr>
                <w:rFonts w:hint="eastAsia" w:ascii="宋体" w:hAnsi="宋体" w:cs="新宋体"/>
                <w:sz w:val="21"/>
                <w:szCs w:val="21"/>
              </w:rPr>
            </w:pPr>
            <w:r>
              <w:rPr>
                <w:rFonts w:hint="eastAsia" w:ascii="宋体" w:hAnsi="宋体" w:cs="新宋体"/>
                <w:sz w:val="21"/>
                <w:szCs w:val="21"/>
              </w:rPr>
              <w:t>（8）负责制定年度培训计划，组织相关部门培训工作，负责组织对培训的效果进行评估；负责建立培训档案，并保存培训记录存档工作；负责员工的招聘和解聘工作；</w:t>
            </w:r>
          </w:p>
          <w:p>
            <w:pPr>
              <w:pStyle w:val="2"/>
              <w:rPr>
                <w:rFonts w:hint="eastAsia" w:ascii="宋体" w:hAnsi="宋体" w:cs="新宋体"/>
                <w:sz w:val="21"/>
                <w:szCs w:val="21"/>
              </w:rPr>
            </w:pPr>
            <w:r>
              <w:rPr>
                <w:rFonts w:hint="eastAsia" w:ascii="宋体" w:hAnsi="宋体" w:cs="新宋体"/>
                <w:sz w:val="21"/>
                <w:szCs w:val="21"/>
              </w:rPr>
              <w:t>（9）负责设计项目的业务承揽、参加各种发标会及市场开发并组织相关人员对标书、合同及顾客要求进行评审；</w:t>
            </w:r>
          </w:p>
          <w:p>
            <w:pPr>
              <w:pStyle w:val="2"/>
              <w:rPr>
                <w:rFonts w:hint="eastAsia" w:ascii="宋体" w:hAnsi="宋体" w:cs="新宋体"/>
                <w:sz w:val="21"/>
                <w:szCs w:val="21"/>
              </w:rPr>
            </w:pPr>
            <w:r>
              <w:rPr>
                <w:rFonts w:hint="eastAsia" w:ascii="宋体" w:hAnsi="宋体" w:cs="新宋体"/>
                <w:sz w:val="21"/>
                <w:szCs w:val="21"/>
              </w:rPr>
              <w:t>（10）负责对标书、合同组织进行评审，将标书、合同相关资料及时通知设计部，并跟踪实施的过程，保证标书、合同的兑现；</w:t>
            </w:r>
          </w:p>
          <w:p>
            <w:pPr>
              <w:pStyle w:val="2"/>
              <w:rPr>
                <w:rFonts w:hint="eastAsia" w:ascii="宋体" w:hAnsi="宋体" w:cs="新宋体"/>
                <w:sz w:val="21"/>
                <w:szCs w:val="21"/>
              </w:rPr>
            </w:pPr>
            <w:r>
              <w:rPr>
                <w:rFonts w:hint="eastAsia" w:ascii="宋体" w:hAnsi="宋体" w:cs="新宋体"/>
                <w:sz w:val="21"/>
                <w:szCs w:val="21"/>
              </w:rPr>
              <w:t>（11）负责把顾客对产品质量意见反馈给相关部门，搞好定期进行的顾客满意度调查</w:t>
            </w:r>
          </w:p>
          <w:p>
            <w:pPr>
              <w:pStyle w:val="2"/>
              <w:rPr>
                <w:rFonts w:hint="eastAsia" w:ascii="宋体" w:hAnsi="宋体" w:cs="新宋体"/>
                <w:sz w:val="21"/>
                <w:szCs w:val="21"/>
              </w:rPr>
            </w:pPr>
            <w:r>
              <w:rPr>
                <w:rFonts w:hint="eastAsia" w:ascii="宋体" w:hAnsi="宋体" w:cs="新宋体"/>
                <w:sz w:val="21"/>
                <w:szCs w:val="21"/>
              </w:rPr>
              <w:t>（12）负责组织外包方的评审和管理，负责组织设计项目外包和产品标识的管理；参与设计评审；</w:t>
            </w:r>
          </w:p>
          <w:p>
            <w:pPr>
              <w:pStyle w:val="2"/>
              <w:rPr>
                <w:rFonts w:hint="eastAsia" w:ascii="宋体" w:hAnsi="宋体" w:cs="新宋体"/>
                <w:sz w:val="21"/>
                <w:szCs w:val="21"/>
              </w:rPr>
            </w:pPr>
            <w:r>
              <w:rPr>
                <w:rFonts w:hint="eastAsia" w:ascii="宋体" w:hAnsi="宋体" w:cs="新宋体"/>
                <w:sz w:val="21"/>
                <w:szCs w:val="21"/>
              </w:rPr>
              <w:t>（13）负责对所需办公设施和用品的供方、设计分包方进行选择、评价和重新评价、跟踪、监控，建立合格供方一览表；</w:t>
            </w:r>
          </w:p>
          <w:p>
            <w:pPr>
              <w:pStyle w:val="2"/>
              <w:rPr>
                <w:rFonts w:hint="eastAsia" w:ascii="宋体" w:hAnsi="宋体" w:cs="新宋体"/>
                <w:sz w:val="21"/>
                <w:szCs w:val="21"/>
              </w:rPr>
            </w:pPr>
            <w:r>
              <w:rPr>
                <w:rFonts w:hint="eastAsia" w:ascii="宋体" w:hAnsi="宋体" w:cs="新宋体"/>
                <w:sz w:val="21"/>
                <w:szCs w:val="21"/>
              </w:rPr>
              <w:t>（14）负责编制采购计划，安排、组织采购工作，负责对采购物资质量控制。</w:t>
            </w:r>
          </w:p>
          <w:p>
            <w:pPr>
              <w:pStyle w:val="2"/>
              <w:rPr>
                <w:rFonts w:hint="eastAsia" w:ascii="宋体" w:hAnsi="宋体" w:cs="新宋体"/>
                <w:sz w:val="21"/>
                <w:szCs w:val="21"/>
              </w:rPr>
            </w:pPr>
            <w:r>
              <w:rPr>
                <w:rFonts w:hint="eastAsia" w:ascii="宋体" w:hAnsi="宋体" w:cs="新宋体"/>
                <w:sz w:val="21"/>
                <w:szCs w:val="21"/>
              </w:rPr>
              <w:t>（15）负责顾客提供的财产交接、对外联络、参与收集和传递来自顾客的质量信息。</w:t>
            </w:r>
          </w:p>
          <w:p>
            <w:pPr>
              <w:pStyle w:val="2"/>
              <w:rPr>
                <w:rFonts w:hint="eastAsia" w:ascii="宋体" w:hAnsi="宋体" w:cs="新宋体"/>
                <w:sz w:val="21"/>
                <w:szCs w:val="21"/>
              </w:rPr>
            </w:pPr>
            <w:r>
              <w:rPr>
                <w:rFonts w:hint="eastAsia" w:ascii="宋体" w:hAnsi="宋体" w:cs="新宋体"/>
                <w:sz w:val="21"/>
                <w:szCs w:val="21"/>
              </w:rPr>
              <w:t>（16）负责编制内审计划、内审报告及对不合格项的纠正措施跟踪验证工作</w:t>
            </w:r>
          </w:p>
          <w:p>
            <w:pPr>
              <w:pStyle w:val="2"/>
              <w:rPr>
                <w:rFonts w:hint="eastAsia" w:ascii="宋体" w:hAnsi="宋体" w:cs="新宋体"/>
                <w:szCs w:val="21"/>
              </w:rPr>
            </w:pPr>
            <w:r>
              <w:rPr>
                <w:rFonts w:hint="eastAsia" w:ascii="宋体" w:hAnsi="宋体" w:cs="新宋体"/>
                <w:sz w:val="21"/>
                <w:szCs w:val="21"/>
              </w:rPr>
              <w:t>部门职责清晰、明确。负责人能基本阐述本部门的主要职责。</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1" w:hRule="atLeast"/>
        </w:trPr>
        <w:tc>
          <w:tcPr>
            <w:tcW w:w="1956" w:type="dxa"/>
            <w:vAlign w:val="top"/>
          </w:tcPr>
          <w:p>
            <w:pPr>
              <w:rPr>
                <w:rFonts w:asciiTheme="minorEastAsia" w:hAnsiTheme="minorEastAsia" w:eastAsiaTheme="minorEastAsia" w:cstheme="minorEastAsia"/>
                <w:color w:val="000000" w:themeColor="text1"/>
                <w:szCs w:val="21"/>
              </w:rPr>
            </w:pPr>
          </w:p>
          <w:p>
            <w:pPr>
              <w:rPr>
                <w:rFonts w:asciiTheme="minorEastAsia" w:hAnsiTheme="minorEastAsia" w:eastAsiaTheme="minorEastAsia" w:cstheme="minorEastAsia"/>
                <w:color w:val="000000" w:themeColor="text1"/>
                <w:szCs w:val="21"/>
              </w:rPr>
            </w:pPr>
          </w:p>
          <w:p>
            <w:pPr>
              <w:rPr>
                <w:rFonts w:hint="eastAsia" w:ascii="Times New Roman" w:hAnsi="Times New Roman" w:eastAsia="宋体" w:cs="Times New Roman"/>
                <w:color w:val="000000" w:themeColor="text1"/>
                <w:kern w:val="2"/>
                <w:sz w:val="21"/>
                <w:lang w:val="en-US" w:eastAsia="zh-CN" w:bidi="ar-SA"/>
              </w:rPr>
            </w:pPr>
            <w:r>
              <w:rPr>
                <w:rFonts w:hint="eastAsia" w:ascii="宋体" w:hAnsi="宋体" w:cs="宋体"/>
                <w:szCs w:val="21"/>
              </w:rPr>
              <w:t>质量目标及其实现的策划</w:t>
            </w:r>
          </w:p>
        </w:tc>
        <w:tc>
          <w:tcPr>
            <w:tcW w:w="1164" w:type="dxa"/>
            <w:vAlign w:val="top"/>
          </w:tcPr>
          <w:p>
            <w:pPr>
              <w:pStyle w:val="17"/>
              <w:rPr>
                <w:rFonts w:ascii="宋体" w:hAnsi="宋体" w:cs="Arial"/>
                <w:szCs w:val="21"/>
              </w:rPr>
            </w:pPr>
          </w:p>
          <w:p>
            <w:pPr>
              <w:pStyle w:val="17"/>
              <w:rPr>
                <w:rFonts w:ascii="宋体" w:hAnsi="宋体" w:cs="Arial"/>
                <w:szCs w:val="21"/>
              </w:rPr>
            </w:pPr>
          </w:p>
          <w:p>
            <w:pPr>
              <w:pStyle w:val="17"/>
              <w:rPr>
                <w:rFonts w:hint="eastAsia" w:ascii="Times New Roman" w:hAnsi="Times New Roman" w:eastAsia="宋体" w:cs="Times New Roman"/>
                <w:bCs/>
                <w:color w:val="000000" w:themeColor="text1"/>
                <w:spacing w:val="10"/>
                <w:kern w:val="2"/>
                <w:sz w:val="21"/>
                <w:lang w:val="en-US" w:eastAsia="zh-CN" w:bidi="ar-SA"/>
              </w:rPr>
            </w:pPr>
            <w:r>
              <w:rPr>
                <w:rFonts w:hint="eastAsia" w:ascii="宋体" w:hAnsi="宋体" w:cs="Arial"/>
                <w:szCs w:val="21"/>
              </w:rPr>
              <w:t>Q：</w:t>
            </w:r>
            <w:r>
              <w:rPr>
                <w:rFonts w:hint="eastAsia" w:ascii="宋体" w:hAnsi="宋体" w:cs="新宋体"/>
                <w:szCs w:val="21"/>
              </w:rPr>
              <w:t>6.2</w:t>
            </w:r>
          </w:p>
        </w:tc>
        <w:tc>
          <w:tcPr>
            <w:tcW w:w="11012" w:type="dxa"/>
            <w:vAlign w:val="top"/>
          </w:tcPr>
          <w:p>
            <w:pPr>
              <w:snapToGrid w:val="0"/>
              <w:spacing w:line="360" w:lineRule="auto"/>
            </w:pPr>
            <w:r>
              <w:rPr>
                <w:rFonts w:hint="eastAsia"/>
              </w:rPr>
              <w:t>编制了《目标指标管理控制程序》，质量</w:t>
            </w:r>
            <w:r>
              <w:rPr>
                <w:rFonts w:hint="eastAsia"/>
                <w:lang w:val="zh-CN"/>
              </w:rPr>
              <w:t>管理目标：项目设计优良率达到</w:t>
            </w:r>
            <w:r>
              <w:rPr>
                <w:rFonts w:hint="eastAsia"/>
                <w:lang w:val="en-US" w:eastAsia="zh-CN"/>
              </w:rPr>
              <w:t>9</w:t>
            </w:r>
            <w:r>
              <w:rPr>
                <w:rFonts w:hint="eastAsia"/>
                <w:lang w:val="zh-CN"/>
              </w:rPr>
              <w:t>0%；、顾客满意达到85%；</w:t>
            </w:r>
            <w:r>
              <w:rPr>
                <w:rFonts w:hint="eastAsia"/>
              </w:rPr>
              <w:t>组织对公司质量目标、指标予以分解，并在相关职能层次部门建立分目标，公司有将质量、环境、职业健康安全目标分解到各个部门，组织对公司质量目标、指标予以分解，并在相关职能层次部门建立分目标，</w:t>
            </w:r>
          </w:p>
          <w:p>
            <w:pPr>
              <w:snapToGrid w:val="0"/>
              <w:spacing w:line="360" w:lineRule="auto"/>
              <w:rPr>
                <w:rFonts w:hint="eastAsia" w:ascii="Times New Roman" w:hAnsi="Times New Roman" w:eastAsia="宋体" w:cs="Times New Roman"/>
                <w:lang w:eastAsia="zh-CN"/>
              </w:rPr>
            </w:pPr>
            <w:r>
              <w:rPr>
                <w:rFonts w:hint="eastAsia"/>
              </w:rPr>
              <w:t>查见《目标指标分解表》</w:t>
            </w:r>
            <w:r>
              <w:rPr>
                <w:rFonts w:hint="eastAsia"/>
                <w:lang w:eastAsia="zh-CN"/>
              </w:rPr>
              <w:t>、《质量目标考核表》，</w:t>
            </w:r>
            <w:r>
              <w:rPr>
                <w:rFonts w:hint="eastAsia"/>
                <w:lang w:val="en-US" w:eastAsia="zh-CN"/>
              </w:rPr>
              <w:t>经</w:t>
            </w:r>
            <w:r>
              <w:rPr>
                <w:rFonts w:hint="eastAsia" w:ascii="Times New Roman" w:hAnsi="Times New Roman" w:eastAsia="宋体" w:cs="Times New Roman"/>
              </w:rPr>
              <w:t>考核日期</w:t>
            </w:r>
            <w:r>
              <w:rPr>
                <w:rFonts w:hint="eastAsia" w:ascii="宋体" w:hAnsi="宋体"/>
                <w:szCs w:val="21"/>
              </w:rPr>
              <w:t>2022.5.23</w:t>
            </w:r>
            <w:r>
              <w:rPr>
                <w:rFonts w:hint="eastAsia" w:ascii="Times New Roman" w:hAnsi="Times New Roman" w:eastAsia="宋体" w:cs="Times New Roman"/>
              </w:rPr>
              <w:t>，</w:t>
            </w:r>
            <w:r>
              <w:rPr>
                <w:rFonts w:hint="eastAsia" w:cs="Times New Roman"/>
                <w:lang w:val="en-US" w:eastAsia="zh-CN"/>
              </w:rPr>
              <w:t>该部门目标已</w:t>
            </w:r>
            <w:r>
              <w:rPr>
                <w:rFonts w:hint="eastAsia" w:ascii="Times New Roman" w:hAnsi="Times New Roman" w:eastAsia="宋体" w:cs="Times New Roman"/>
              </w:rPr>
              <w:t>完成</w:t>
            </w:r>
            <w:r>
              <w:rPr>
                <w:rFonts w:hint="eastAsia" w:cs="Times New Roman"/>
                <w:lang w:eastAsia="zh-CN"/>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747"/>
              <w:gridCol w:w="1271"/>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szCs w:val="21"/>
                    </w:rPr>
                    <w:t>部门</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szCs w:val="21"/>
                    </w:rPr>
                    <w:t>目标指标</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szCs w:val="21"/>
                    </w:rPr>
                    <w:t>完成情况</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691" w:type="dxa"/>
                  <w:noWrap w:val="0"/>
                  <w:vAlign w:val="center"/>
                </w:tcPr>
                <w:p>
                  <w:pPr>
                    <w:spacing w:line="0" w:lineRule="atLeast"/>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1</w:t>
                  </w:r>
                </w:p>
              </w:tc>
              <w:tc>
                <w:tcPr>
                  <w:tcW w:w="2747" w:type="dxa"/>
                  <w:noWrap w:val="0"/>
                  <w:vAlign w:val="center"/>
                </w:tcPr>
                <w:p>
                  <w:pPr>
                    <w:spacing w:line="0" w:lineRule="atLeast"/>
                    <w:rPr>
                      <w:rFonts w:hint="eastAsia" w:ascii="宋体" w:hAnsi="宋体" w:eastAsia="宋体" w:cs="Times New Roman"/>
                      <w:bCs/>
                      <w:color w:val="000000"/>
                      <w:szCs w:val="21"/>
                    </w:rPr>
                  </w:pPr>
                  <w:r>
                    <w:rPr>
                      <w:rFonts w:hint="eastAsia" w:ascii="宋体" w:hAnsi="宋体" w:eastAsia="宋体" w:cs="Times New Roman"/>
                      <w:bCs/>
                      <w:color w:val="000000"/>
                      <w:szCs w:val="21"/>
                    </w:rPr>
                    <w:t>合同评审率达到100%</w:t>
                  </w:r>
                </w:p>
              </w:tc>
              <w:tc>
                <w:tcPr>
                  <w:tcW w:w="1271" w:type="dxa"/>
                  <w:noWrap w:val="0"/>
                  <w:vAlign w:val="center"/>
                </w:tcPr>
                <w:p>
                  <w:pPr>
                    <w:spacing w:line="0" w:lineRule="atLeast"/>
                    <w:rPr>
                      <w:rFonts w:hint="eastAsia" w:ascii="宋体" w:hAnsi="宋体" w:eastAsia="宋体" w:cs="Times New Roman"/>
                      <w:bCs/>
                      <w:color w:val="000000"/>
                      <w:szCs w:val="21"/>
                    </w:rPr>
                  </w:pPr>
                  <w:r>
                    <w:rPr>
                      <w:rFonts w:hint="eastAsia" w:ascii="宋体" w:hAnsi="宋体" w:eastAsia="宋体" w:cs="Times New Roman"/>
                      <w:bCs/>
                      <w:color w:val="000000"/>
                      <w:szCs w:val="21"/>
                    </w:rPr>
                    <w:t>100%</w:t>
                  </w:r>
                </w:p>
              </w:tc>
              <w:tc>
                <w:tcPr>
                  <w:tcW w:w="1350" w:type="dxa"/>
                  <w:noWrap w:val="0"/>
                  <w:vAlign w:val="center"/>
                </w:tcPr>
                <w:p>
                  <w:pPr>
                    <w:spacing w:line="0" w:lineRule="atLeast"/>
                    <w:rPr>
                      <w:rFonts w:hint="eastAsia" w:ascii="宋体" w:hAnsi="宋体"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691" w:type="dxa"/>
                  <w:noWrap w:val="0"/>
                  <w:vAlign w:val="center"/>
                </w:tcPr>
                <w:p>
                  <w:pPr>
                    <w:spacing w:line="0" w:lineRule="atLeast"/>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2</w:t>
                  </w:r>
                </w:p>
              </w:tc>
              <w:tc>
                <w:tcPr>
                  <w:tcW w:w="2747" w:type="dxa"/>
                  <w:noWrap w:val="0"/>
                  <w:vAlign w:val="center"/>
                </w:tcPr>
                <w:p>
                  <w:pPr>
                    <w:spacing w:line="0" w:lineRule="atLeast"/>
                    <w:rPr>
                      <w:rFonts w:hint="eastAsia" w:ascii="宋体" w:hAnsi="宋体" w:eastAsia="宋体" w:cs="Times New Roman"/>
                      <w:bCs/>
                      <w:color w:val="000000"/>
                      <w:szCs w:val="21"/>
                    </w:rPr>
                  </w:pPr>
                  <w:r>
                    <w:rPr>
                      <w:rFonts w:hint="eastAsia" w:ascii="宋体" w:hAnsi="宋体" w:eastAsia="宋体" w:cs="Times New Roman"/>
                      <w:bCs/>
                      <w:color w:val="000000"/>
                      <w:szCs w:val="21"/>
                    </w:rPr>
                    <w:t>培训合格率100%</w:t>
                  </w:r>
                </w:p>
              </w:tc>
              <w:tc>
                <w:tcPr>
                  <w:tcW w:w="1271" w:type="dxa"/>
                  <w:noWrap w:val="0"/>
                  <w:vAlign w:val="center"/>
                </w:tcPr>
                <w:p>
                  <w:pPr>
                    <w:spacing w:line="0" w:lineRule="atLeast"/>
                    <w:rPr>
                      <w:rFonts w:hint="eastAsia" w:ascii="宋体" w:hAnsi="宋体" w:eastAsia="宋体" w:cs="Times New Roman"/>
                      <w:bCs/>
                      <w:color w:val="000000"/>
                      <w:szCs w:val="21"/>
                    </w:rPr>
                  </w:pPr>
                  <w:r>
                    <w:rPr>
                      <w:rFonts w:hint="eastAsia" w:ascii="宋体" w:hAnsi="宋体" w:eastAsia="宋体" w:cs="Times New Roman"/>
                      <w:bCs/>
                      <w:color w:val="000000"/>
                      <w:szCs w:val="21"/>
                    </w:rPr>
                    <w:t>100%</w:t>
                  </w:r>
                </w:p>
              </w:tc>
              <w:tc>
                <w:tcPr>
                  <w:tcW w:w="1350" w:type="dxa"/>
                  <w:noWrap w:val="0"/>
                  <w:vAlign w:val="center"/>
                </w:tcPr>
                <w:p>
                  <w:pPr>
                    <w:spacing w:line="0" w:lineRule="atLeast"/>
                    <w:rPr>
                      <w:rFonts w:hint="eastAsia" w:ascii="宋体" w:hAnsi="宋体"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691" w:type="dxa"/>
                  <w:noWrap w:val="0"/>
                  <w:vAlign w:val="center"/>
                </w:tcPr>
                <w:p>
                  <w:pPr>
                    <w:spacing w:line="0" w:lineRule="atLeast"/>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3</w:t>
                  </w:r>
                </w:p>
              </w:tc>
              <w:tc>
                <w:tcPr>
                  <w:tcW w:w="2747" w:type="dxa"/>
                  <w:noWrap w:val="0"/>
                  <w:vAlign w:val="center"/>
                </w:tcPr>
                <w:p>
                  <w:pPr>
                    <w:spacing w:line="0" w:lineRule="atLeast"/>
                    <w:rPr>
                      <w:rFonts w:hint="eastAsia" w:ascii="宋体" w:hAnsi="宋体" w:eastAsia="宋体" w:cs="Times New Roman"/>
                      <w:bCs/>
                      <w:color w:val="000000"/>
                      <w:szCs w:val="21"/>
                    </w:rPr>
                  </w:pPr>
                  <w:r>
                    <w:rPr>
                      <w:rFonts w:hint="eastAsia" w:ascii="宋体" w:hAnsi="宋体" w:eastAsia="宋体" w:cs="Times New Roman"/>
                      <w:bCs/>
                      <w:color w:val="000000"/>
                      <w:szCs w:val="21"/>
                    </w:rPr>
                    <w:t>文件发放无差错</w:t>
                  </w:r>
                </w:p>
              </w:tc>
              <w:tc>
                <w:tcPr>
                  <w:tcW w:w="1271" w:type="dxa"/>
                  <w:noWrap w:val="0"/>
                  <w:vAlign w:val="center"/>
                </w:tcPr>
                <w:p>
                  <w:pPr>
                    <w:spacing w:line="0" w:lineRule="atLeast"/>
                    <w:rPr>
                      <w:rFonts w:hint="eastAsia" w:ascii="宋体" w:hAnsi="宋体" w:eastAsia="宋体" w:cs="Times New Roman"/>
                      <w:bCs/>
                      <w:color w:val="000000"/>
                      <w:szCs w:val="21"/>
                    </w:rPr>
                  </w:pPr>
                  <w:r>
                    <w:rPr>
                      <w:rFonts w:hint="eastAsia" w:ascii="宋体" w:hAnsi="宋体" w:eastAsia="宋体" w:cs="Times New Roman"/>
                      <w:bCs/>
                      <w:color w:val="000000"/>
                      <w:szCs w:val="21"/>
                    </w:rPr>
                    <w:t>0%</w:t>
                  </w:r>
                </w:p>
              </w:tc>
              <w:tc>
                <w:tcPr>
                  <w:tcW w:w="1350" w:type="dxa"/>
                  <w:noWrap w:val="0"/>
                  <w:vAlign w:val="center"/>
                </w:tcPr>
                <w:p>
                  <w:pPr>
                    <w:spacing w:line="0" w:lineRule="atLeast"/>
                    <w:rPr>
                      <w:rFonts w:hint="eastAsia" w:ascii="宋体" w:hAnsi="宋体"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691" w:type="dxa"/>
                  <w:noWrap w:val="0"/>
                  <w:vAlign w:val="center"/>
                </w:tcPr>
                <w:p>
                  <w:pPr>
                    <w:spacing w:line="0" w:lineRule="atLeast"/>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4</w:t>
                  </w:r>
                </w:p>
              </w:tc>
              <w:tc>
                <w:tcPr>
                  <w:tcW w:w="2747" w:type="dxa"/>
                  <w:noWrap w:val="0"/>
                  <w:vAlign w:val="center"/>
                </w:tcPr>
                <w:p>
                  <w:pPr>
                    <w:spacing w:line="0" w:lineRule="atLeast"/>
                    <w:rPr>
                      <w:rFonts w:hint="eastAsia" w:ascii="宋体" w:hAnsi="宋体" w:eastAsia="宋体" w:cs="Times New Roman"/>
                      <w:bCs/>
                      <w:color w:val="000000"/>
                      <w:szCs w:val="21"/>
                    </w:rPr>
                  </w:pPr>
                  <w:r>
                    <w:rPr>
                      <w:rFonts w:hint="eastAsia" w:ascii="宋体" w:hAnsi="宋体" w:eastAsia="宋体" w:cs="Times New Roman"/>
                      <w:bCs/>
                      <w:color w:val="000000"/>
                      <w:szCs w:val="21"/>
                    </w:rPr>
                    <w:t>顾客退货率为0</w:t>
                  </w:r>
                </w:p>
              </w:tc>
              <w:tc>
                <w:tcPr>
                  <w:tcW w:w="1271" w:type="dxa"/>
                  <w:noWrap w:val="0"/>
                  <w:vAlign w:val="center"/>
                </w:tcPr>
                <w:p>
                  <w:pPr>
                    <w:spacing w:line="0" w:lineRule="atLeast"/>
                    <w:rPr>
                      <w:rFonts w:hint="eastAsia" w:ascii="宋体" w:hAnsi="宋体" w:eastAsia="宋体" w:cs="Times New Roman"/>
                      <w:bCs/>
                      <w:color w:val="000000"/>
                      <w:szCs w:val="21"/>
                    </w:rPr>
                  </w:pPr>
                  <w:r>
                    <w:rPr>
                      <w:rFonts w:hint="eastAsia" w:ascii="宋体" w:hAnsi="宋体" w:eastAsia="宋体" w:cs="Times New Roman"/>
                      <w:bCs/>
                      <w:color w:val="000000"/>
                      <w:szCs w:val="21"/>
                    </w:rPr>
                    <w:t>0％</w:t>
                  </w:r>
                </w:p>
              </w:tc>
              <w:tc>
                <w:tcPr>
                  <w:tcW w:w="1350" w:type="dxa"/>
                  <w:noWrap w:val="0"/>
                  <w:vAlign w:val="center"/>
                </w:tcPr>
                <w:p>
                  <w:pPr>
                    <w:spacing w:line="0" w:lineRule="atLeast"/>
                    <w:rPr>
                      <w:rFonts w:hint="eastAsia" w:ascii="宋体" w:hAnsi="宋体"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691" w:type="dxa"/>
                  <w:noWrap w:val="0"/>
                  <w:vAlign w:val="center"/>
                </w:tcPr>
                <w:p>
                  <w:pPr>
                    <w:spacing w:line="0" w:lineRule="atLeast"/>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5</w:t>
                  </w:r>
                </w:p>
              </w:tc>
              <w:tc>
                <w:tcPr>
                  <w:tcW w:w="2747" w:type="dxa"/>
                  <w:noWrap w:val="0"/>
                  <w:vAlign w:val="center"/>
                </w:tcPr>
                <w:p>
                  <w:pPr>
                    <w:spacing w:line="0" w:lineRule="atLeast"/>
                    <w:rPr>
                      <w:rFonts w:hint="eastAsia" w:ascii="宋体" w:hAnsi="宋体" w:eastAsia="宋体" w:cs="Times New Roman"/>
                      <w:bCs/>
                      <w:color w:val="000000"/>
                      <w:szCs w:val="21"/>
                    </w:rPr>
                  </w:pPr>
                  <w:r>
                    <w:rPr>
                      <w:rFonts w:hint="eastAsia" w:ascii="宋体" w:hAnsi="宋体" w:eastAsia="宋体" w:cs="Times New Roman"/>
                      <w:bCs/>
                      <w:color w:val="000000"/>
                      <w:szCs w:val="21"/>
                    </w:rPr>
                    <w:t>对供应商评价合格率&gt;95%</w:t>
                  </w:r>
                </w:p>
              </w:tc>
              <w:tc>
                <w:tcPr>
                  <w:tcW w:w="1271" w:type="dxa"/>
                  <w:noWrap w:val="0"/>
                  <w:vAlign w:val="center"/>
                </w:tcPr>
                <w:p>
                  <w:pPr>
                    <w:spacing w:line="0" w:lineRule="atLeast"/>
                    <w:rPr>
                      <w:rFonts w:hint="eastAsia" w:ascii="宋体" w:hAnsi="宋体" w:eastAsia="宋体" w:cs="Times New Roman"/>
                      <w:bCs/>
                      <w:color w:val="000000"/>
                      <w:szCs w:val="21"/>
                    </w:rPr>
                  </w:pPr>
                  <w:r>
                    <w:rPr>
                      <w:rFonts w:hint="eastAsia" w:ascii="宋体" w:hAnsi="宋体" w:eastAsia="宋体" w:cs="Times New Roman"/>
                      <w:bCs/>
                      <w:color w:val="000000"/>
                      <w:szCs w:val="21"/>
                    </w:rPr>
                    <w:t>100％</w:t>
                  </w:r>
                </w:p>
              </w:tc>
              <w:tc>
                <w:tcPr>
                  <w:tcW w:w="1350" w:type="dxa"/>
                  <w:noWrap w:val="0"/>
                  <w:vAlign w:val="center"/>
                </w:tcPr>
                <w:p>
                  <w:pPr>
                    <w:spacing w:line="0" w:lineRule="atLeast"/>
                    <w:rPr>
                      <w:rFonts w:hint="eastAsia" w:ascii="宋体" w:hAnsi="宋体"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691" w:type="dxa"/>
                  <w:noWrap w:val="0"/>
                  <w:vAlign w:val="center"/>
                </w:tcPr>
                <w:p>
                  <w:pPr>
                    <w:spacing w:line="0" w:lineRule="atLeast"/>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lang w:val="en-US" w:eastAsia="zh-CN"/>
                    </w:rPr>
                    <w:t>6</w:t>
                  </w:r>
                </w:p>
              </w:tc>
              <w:tc>
                <w:tcPr>
                  <w:tcW w:w="2747" w:type="dxa"/>
                  <w:noWrap w:val="0"/>
                  <w:vAlign w:val="top"/>
                </w:tcPr>
                <w:p>
                  <w:pPr>
                    <w:spacing w:line="0" w:lineRule="atLeast"/>
                    <w:rPr>
                      <w:rFonts w:hint="eastAsia" w:ascii="宋体" w:hAnsi="宋体" w:eastAsia="宋体" w:cs="Times New Roman"/>
                      <w:bCs/>
                      <w:color w:val="000000"/>
                      <w:szCs w:val="21"/>
                    </w:rPr>
                  </w:pPr>
                  <w:r>
                    <w:rPr>
                      <w:rFonts w:hint="eastAsia" w:ascii="宋体" w:hAnsi="宋体" w:eastAsia="宋体" w:cs="Times New Roman"/>
                      <w:bCs/>
                      <w:color w:val="000000"/>
                      <w:szCs w:val="21"/>
                    </w:rPr>
                    <w:t>顾客满意达到85%；</w:t>
                  </w:r>
                </w:p>
              </w:tc>
              <w:tc>
                <w:tcPr>
                  <w:tcW w:w="1271" w:type="dxa"/>
                  <w:noWrap w:val="0"/>
                  <w:vAlign w:val="center"/>
                </w:tcPr>
                <w:p>
                  <w:pPr>
                    <w:spacing w:line="0" w:lineRule="atLeast"/>
                    <w:rPr>
                      <w:rFonts w:hint="eastAsia" w:ascii="宋体" w:hAnsi="宋体" w:eastAsia="宋体" w:cs="Times New Roman"/>
                      <w:bCs/>
                      <w:color w:val="000000"/>
                      <w:szCs w:val="21"/>
                    </w:rPr>
                  </w:pPr>
                  <w:r>
                    <w:rPr>
                      <w:rFonts w:hint="eastAsia" w:ascii="宋体" w:hAnsi="宋体" w:eastAsia="宋体" w:cs="Times New Roman"/>
                      <w:bCs/>
                      <w:color w:val="000000"/>
                      <w:szCs w:val="21"/>
                    </w:rPr>
                    <w:t>96％</w:t>
                  </w:r>
                </w:p>
              </w:tc>
              <w:tc>
                <w:tcPr>
                  <w:tcW w:w="1350" w:type="dxa"/>
                  <w:noWrap w:val="0"/>
                  <w:vAlign w:val="center"/>
                </w:tcPr>
                <w:p>
                  <w:pPr>
                    <w:spacing w:line="0" w:lineRule="atLeast"/>
                    <w:rPr>
                      <w:rFonts w:hint="eastAsia" w:ascii="宋体" w:hAnsi="宋体" w:eastAsia="宋体" w:cs="Times New Roman"/>
                      <w:bCs/>
                      <w:color w:val="000000"/>
                      <w:szCs w:val="21"/>
                    </w:rPr>
                  </w:pPr>
                </w:p>
              </w:tc>
            </w:tr>
          </w:tbl>
          <w:p>
            <w:pPr>
              <w:jc w:val="left"/>
              <w:rPr>
                <w:rFonts w:hint="eastAsia" w:ascii="Times New Roman" w:hAnsi="Times New Roman" w:eastAsia="宋体" w:cs="Times New Roman"/>
                <w:kern w:val="2"/>
                <w:sz w:val="21"/>
                <w:szCs w:val="22"/>
                <w:lang w:val="en-US" w:eastAsia="zh-CN" w:bidi="ar-SA"/>
              </w:rPr>
            </w:pP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956" w:type="dxa"/>
            <w:vAlign w:val="top"/>
          </w:tcPr>
          <w:p>
            <w:pPr>
              <w:rPr>
                <w:color w:val="000000" w:themeColor="text1"/>
                <w:szCs w:val="21"/>
              </w:rPr>
            </w:pPr>
          </w:p>
          <w:p>
            <w:pPr>
              <w:rPr>
                <w:color w:val="000000" w:themeColor="text1"/>
                <w:szCs w:val="21"/>
              </w:rPr>
            </w:pPr>
          </w:p>
          <w:p>
            <w:pPr>
              <w:pStyle w:val="3"/>
              <w:rPr>
                <w:color w:val="000000" w:themeColor="text1"/>
                <w:szCs w:val="21"/>
              </w:rPr>
            </w:pPr>
          </w:p>
          <w:p>
            <w:pPr>
              <w:pStyle w:val="4"/>
              <w:rPr>
                <w:color w:val="000000" w:themeColor="text1"/>
                <w:szCs w:val="21"/>
              </w:rPr>
            </w:pPr>
          </w:p>
          <w:p>
            <w:pPr>
              <w:pStyle w:val="4"/>
              <w:rPr>
                <w:color w:val="000000" w:themeColor="text1"/>
                <w:szCs w:val="21"/>
              </w:rPr>
            </w:pPr>
          </w:p>
          <w:p>
            <w:pPr>
              <w:rPr>
                <w:rFonts w:hint="eastAsia" w:ascii="Times New Roman" w:hAnsi="Times New Roman" w:eastAsia="宋体" w:cs="Times New Roman"/>
                <w:color w:val="000000" w:themeColor="text1"/>
                <w:kern w:val="2"/>
                <w:sz w:val="21"/>
                <w:lang w:val="en-US" w:eastAsia="zh-CN" w:bidi="ar-SA"/>
              </w:rPr>
            </w:pPr>
            <w:r>
              <w:rPr>
                <w:rFonts w:hint="eastAsia"/>
                <w:color w:val="000000" w:themeColor="text1"/>
                <w:szCs w:val="21"/>
              </w:rPr>
              <w:t>人员、能力、培训</w:t>
            </w:r>
          </w:p>
        </w:tc>
        <w:tc>
          <w:tcPr>
            <w:tcW w:w="1164" w:type="dxa"/>
            <w:vAlign w:val="top"/>
          </w:tcPr>
          <w:p>
            <w:pPr>
              <w:pStyle w:val="17"/>
              <w:rPr>
                <w:bCs w:val="0"/>
                <w:color w:val="000000" w:themeColor="text1"/>
                <w:spacing w:val="0"/>
                <w:szCs w:val="21"/>
              </w:rPr>
            </w:pPr>
          </w:p>
          <w:p>
            <w:pPr>
              <w:pStyle w:val="17"/>
              <w:rPr>
                <w:bCs w:val="0"/>
                <w:color w:val="000000" w:themeColor="text1"/>
                <w:spacing w:val="0"/>
                <w:szCs w:val="21"/>
              </w:rPr>
            </w:pPr>
          </w:p>
          <w:p>
            <w:pPr>
              <w:pStyle w:val="17"/>
              <w:rPr>
                <w:bCs w:val="0"/>
                <w:color w:val="000000" w:themeColor="text1"/>
                <w:spacing w:val="0"/>
                <w:szCs w:val="21"/>
              </w:rPr>
            </w:pPr>
          </w:p>
          <w:p>
            <w:pPr>
              <w:pStyle w:val="17"/>
              <w:rPr>
                <w:bCs w:val="0"/>
                <w:color w:val="000000" w:themeColor="text1"/>
                <w:spacing w:val="0"/>
                <w:szCs w:val="21"/>
              </w:rPr>
            </w:pPr>
          </w:p>
          <w:p>
            <w:pPr>
              <w:pStyle w:val="17"/>
              <w:rPr>
                <w:bCs w:val="0"/>
                <w:color w:val="000000" w:themeColor="text1"/>
                <w:spacing w:val="0"/>
                <w:szCs w:val="21"/>
              </w:rPr>
            </w:pPr>
          </w:p>
          <w:p>
            <w:pPr>
              <w:pStyle w:val="17"/>
              <w:rPr>
                <w:bCs w:val="0"/>
                <w:color w:val="000000" w:themeColor="text1"/>
                <w:spacing w:val="0"/>
                <w:szCs w:val="21"/>
              </w:rPr>
            </w:pPr>
          </w:p>
          <w:p>
            <w:pPr>
              <w:pStyle w:val="17"/>
              <w:rPr>
                <w:bCs w:val="0"/>
                <w:color w:val="000000" w:themeColor="text1"/>
                <w:spacing w:val="0"/>
                <w:szCs w:val="21"/>
              </w:rPr>
            </w:pPr>
            <w:r>
              <w:rPr>
                <w:rFonts w:hint="eastAsia"/>
                <w:bCs w:val="0"/>
                <w:color w:val="000000" w:themeColor="text1"/>
                <w:spacing w:val="0"/>
                <w:szCs w:val="21"/>
              </w:rPr>
              <w:t>Q：7.1.2</w:t>
            </w:r>
          </w:p>
          <w:p>
            <w:pPr>
              <w:pStyle w:val="17"/>
              <w:ind w:firstLine="420" w:firstLineChars="200"/>
              <w:rPr>
                <w:rFonts w:hint="eastAsia"/>
                <w:bCs w:val="0"/>
                <w:color w:val="000000" w:themeColor="text1"/>
                <w:spacing w:val="0"/>
                <w:szCs w:val="21"/>
              </w:rPr>
            </w:pPr>
            <w:r>
              <w:rPr>
                <w:rFonts w:hint="eastAsia"/>
                <w:bCs w:val="0"/>
                <w:color w:val="000000" w:themeColor="text1"/>
                <w:spacing w:val="0"/>
                <w:szCs w:val="21"/>
              </w:rPr>
              <w:t>7.2</w:t>
            </w:r>
          </w:p>
          <w:p>
            <w:pPr>
              <w:pStyle w:val="17"/>
              <w:ind w:firstLine="420" w:firstLineChars="200"/>
              <w:rPr>
                <w:rFonts w:hint="default" w:eastAsia="宋体"/>
                <w:bCs w:val="0"/>
                <w:color w:val="000000" w:themeColor="text1"/>
                <w:spacing w:val="0"/>
                <w:szCs w:val="21"/>
                <w:lang w:val="en-US" w:eastAsia="zh-CN"/>
              </w:rPr>
            </w:pPr>
            <w:r>
              <w:rPr>
                <w:rFonts w:hint="eastAsia"/>
                <w:bCs w:val="0"/>
                <w:color w:val="000000" w:themeColor="text1"/>
                <w:spacing w:val="0"/>
                <w:szCs w:val="21"/>
                <w:lang w:val="en-US" w:eastAsia="zh-CN"/>
              </w:rPr>
              <w:t>7.3</w:t>
            </w:r>
          </w:p>
          <w:p>
            <w:pPr>
              <w:pStyle w:val="17"/>
              <w:rPr>
                <w:rFonts w:hint="eastAsia" w:ascii="Times New Roman" w:hAnsi="Times New Roman" w:eastAsia="宋体" w:cs="Times New Roman"/>
                <w:bCs w:val="0"/>
                <w:color w:val="000000" w:themeColor="text1"/>
                <w:spacing w:val="0"/>
                <w:kern w:val="2"/>
                <w:sz w:val="21"/>
                <w:szCs w:val="21"/>
                <w:lang w:val="en-US" w:eastAsia="zh-CN" w:bidi="ar-SA"/>
              </w:rPr>
            </w:pPr>
          </w:p>
        </w:tc>
        <w:tc>
          <w:tcPr>
            <w:tcW w:w="11012" w:type="dxa"/>
            <w:vAlign w:val="top"/>
          </w:tcPr>
          <w:p>
            <w:pPr>
              <w:spacing w:line="360" w:lineRule="auto"/>
              <w:jc w:val="left"/>
              <w:rPr>
                <w:color w:val="000000" w:themeColor="text1"/>
                <w:szCs w:val="21"/>
              </w:rPr>
            </w:pPr>
            <w:r>
              <w:rPr>
                <w:rFonts w:hint="eastAsia"/>
                <w:color w:val="000000" w:themeColor="text1"/>
                <w:szCs w:val="21"/>
              </w:rPr>
              <w:t>公司制定了《人力资源管理程序》，通过培训和其他措施提高员工的能力，增强员工的质量管理的意识，并胜任其工作岗位。使员工满足所从事的质量工作对能力的要求。</w:t>
            </w:r>
          </w:p>
          <w:p>
            <w:pPr>
              <w:spacing w:line="360" w:lineRule="auto"/>
              <w:ind w:firstLine="420" w:firstLineChars="200"/>
              <w:jc w:val="left"/>
              <w:rPr>
                <w:color w:val="000000" w:themeColor="text1"/>
                <w:szCs w:val="21"/>
              </w:rPr>
            </w:pPr>
            <w:r>
              <w:rPr>
                <w:rFonts w:hint="eastAsia"/>
                <w:color w:val="000000" w:themeColor="text1"/>
                <w:szCs w:val="21"/>
              </w:rPr>
              <w:t>提供《岗位人员任职要求》，对领导层、综合部、技术部负责人岗位能力工作权限与内容、任职资格，设计人员的学历、经历、</w:t>
            </w:r>
            <w:r>
              <w:rPr>
                <w:color w:val="000000" w:themeColor="text1"/>
                <w:szCs w:val="21"/>
              </w:rPr>
              <w:t>经验</w:t>
            </w:r>
            <w:r>
              <w:rPr>
                <w:rFonts w:hint="eastAsia"/>
                <w:color w:val="000000" w:themeColor="text1"/>
                <w:szCs w:val="21"/>
              </w:rPr>
              <w:t>等作出了规定。</w:t>
            </w:r>
          </w:p>
          <w:p>
            <w:pPr>
              <w:spacing w:line="360" w:lineRule="auto"/>
              <w:ind w:firstLine="420" w:firstLineChars="200"/>
              <w:jc w:val="left"/>
              <w:rPr>
                <w:color w:val="000000" w:themeColor="text1"/>
                <w:szCs w:val="21"/>
              </w:rPr>
            </w:pPr>
            <w:r>
              <w:rPr>
                <w:rFonts w:hint="eastAsia"/>
                <w:color w:val="000000" w:themeColor="text1"/>
                <w:szCs w:val="21"/>
              </w:rPr>
              <w:t>目前公司的设计人员都是本科以上学历，部分是硕士研究生学历，机电一体化专业为主，有产品研发经验，能够满足公司产品的研发能力要求。</w:t>
            </w:r>
          </w:p>
          <w:p>
            <w:pPr>
              <w:pStyle w:val="7"/>
              <w:widowControl/>
              <w:spacing w:line="360" w:lineRule="auto"/>
              <w:jc w:val="left"/>
              <w:rPr>
                <w:rFonts w:ascii="Times New Roman" w:hAnsi="Times New Roman"/>
                <w:color w:val="000000" w:themeColor="text1"/>
                <w:szCs w:val="21"/>
              </w:rPr>
            </w:pPr>
            <w:r>
              <w:rPr>
                <w:rFonts w:hint="eastAsia" w:ascii="Times New Roman" w:hAnsi="Times New Roman"/>
                <w:color w:val="000000" w:themeColor="text1"/>
                <w:szCs w:val="21"/>
                <w:lang w:val="en-US" w:eastAsia="zh-CN"/>
              </w:rPr>
              <w:t>提供，</w:t>
            </w:r>
            <w:r>
              <w:rPr>
                <w:rFonts w:hint="eastAsia" w:ascii="Times New Roman" w:hAnsi="Times New Roman"/>
                <w:color w:val="000000" w:themeColor="text1"/>
                <w:szCs w:val="21"/>
              </w:rPr>
              <w:t>培训计划</w:t>
            </w:r>
            <w:r>
              <w:rPr>
                <w:rFonts w:hint="eastAsia" w:ascii="Times New Roman" w:hAnsi="Times New Roman"/>
                <w:color w:val="000000" w:themeColor="text1"/>
                <w:szCs w:val="21"/>
                <w:lang w:val="en-US" w:eastAsia="zh-CN"/>
              </w:rPr>
              <w:t>及</w:t>
            </w:r>
            <w:r>
              <w:rPr>
                <w:rFonts w:hint="eastAsia" w:ascii="Times New Roman" w:hAnsi="Times New Roman"/>
                <w:color w:val="000000" w:themeColor="text1"/>
                <w:szCs w:val="21"/>
              </w:rPr>
              <w:t>员工培训考核记录表，有关于：质量手册文件、质量意识；检验员基础知识培训；组织关键、特殊过程的操作技能和改进环境表现；法规、制度、管理知识培训等培训，查培训记录、参加培训人员、培训方式、内容、考核方式等内容。</w:t>
            </w:r>
          </w:p>
          <w:p>
            <w:pPr>
              <w:pStyle w:val="7"/>
              <w:widowControl/>
              <w:spacing w:line="360" w:lineRule="auto"/>
              <w:jc w:val="left"/>
              <w:rPr>
                <w:color w:val="000000" w:themeColor="text1"/>
                <w:szCs w:val="21"/>
              </w:rPr>
            </w:pPr>
            <w:r>
              <w:rPr>
                <w:rFonts w:hint="eastAsia" w:ascii="Times New Roman" w:hAnsi="Times New Roman"/>
                <w:color w:val="000000" w:themeColor="text1"/>
                <w:szCs w:val="21"/>
              </w:rPr>
              <w:t>抽查《培训记录表》，提供相应的培训记录，及人员签到表和培训效果评价。</w:t>
            </w:r>
          </w:p>
          <w:p>
            <w:pPr>
              <w:jc w:val="both"/>
              <w:rPr>
                <w:rFonts w:hint="eastAsia" w:ascii="宋体" w:hAnsi="宋体"/>
              </w:rPr>
            </w:pPr>
            <w:r>
              <w:rPr>
                <w:rFonts w:hint="eastAsia" w:ascii="宋体" w:hAnsi="宋体"/>
                <w:lang w:val="en-US" w:eastAsia="zh-CN"/>
              </w:rPr>
              <w:t>20</w:t>
            </w:r>
            <w:r>
              <w:rPr>
                <w:rFonts w:hint="eastAsia" w:ascii="宋体" w:hAnsi="宋体"/>
              </w:rPr>
              <w:t>21.11.6</w:t>
            </w:r>
            <w:r>
              <w:rPr>
                <w:rFonts w:hint="eastAsia"/>
                <w:color w:val="000000" w:themeColor="text1"/>
                <w:szCs w:val="21"/>
              </w:rPr>
              <w:t>，培训内容：</w:t>
            </w:r>
            <w:r>
              <w:rPr>
                <w:rFonts w:hint="eastAsia" w:ascii="宋体" w:hAnsi="宋体"/>
                <w:bCs/>
              </w:rPr>
              <w:t>企业管理知识、质量意识</w:t>
            </w:r>
            <w:r>
              <w:rPr>
                <w:rFonts w:hint="eastAsia"/>
                <w:color w:val="000000" w:themeColor="text1"/>
                <w:szCs w:val="21"/>
              </w:rPr>
              <w:t>，参加人员</w:t>
            </w:r>
            <w:r>
              <w:rPr>
                <w:rFonts w:hint="eastAsia"/>
                <w:color w:val="000000" w:themeColor="text1"/>
                <w:szCs w:val="21"/>
                <w:lang w:eastAsia="zh-CN"/>
              </w:rPr>
              <w:t>：</w:t>
            </w:r>
            <w:r>
              <w:rPr>
                <w:rFonts w:hint="eastAsia" w:ascii="宋体" w:hAnsi="宋体"/>
              </w:rPr>
              <w:t>王慧英、郑先成、高鹏飞、王佐正、郑绪生、焦彤、</w:t>
            </w:r>
          </w:p>
          <w:p>
            <w:pPr>
              <w:jc w:val="both"/>
              <w:rPr>
                <w:color w:val="000000" w:themeColor="text1"/>
                <w:szCs w:val="21"/>
              </w:rPr>
            </w:pPr>
            <w:r>
              <w:rPr>
                <w:rFonts w:hint="eastAsia" w:ascii="宋体" w:hAnsi="宋体"/>
              </w:rPr>
              <w:t>李肇辉、彭昭颖、吕俊辉</w:t>
            </w:r>
            <w:r>
              <w:rPr>
                <w:rFonts w:hint="eastAsia"/>
                <w:color w:val="000000" w:themeColor="text1"/>
                <w:szCs w:val="21"/>
              </w:rPr>
              <w:t>，培训效果验证：提问答辩，考试合格率：100％；</w:t>
            </w:r>
          </w:p>
          <w:p>
            <w:pPr>
              <w:spacing w:line="360" w:lineRule="auto"/>
              <w:rPr>
                <w:color w:val="000000" w:themeColor="text1"/>
                <w:szCs w:val="21"/>
              </w:rPr>
            </w:pPr>
            <w:r>
              <w:rPr>
                <w:rFonts w:hint="eastAsia" w:ascii="宋体" w:hAnsi="宋体"/>
                <w:lang w:val="en-US" w:eastAsia="zh-CN"/>
              </w:rPr>
              <w:t>20</w:t>
            </w:r>
            <w:r>
              <w:rPr>
                <w:rFonts w:hint="eastAsia" w:ascii="宋体" w:hAnsi="宋体"/>
              </w:rPr>
              <w:t>22.1.9</w:t>
            </w:r>
            <w:r>
              <w:rPr>
                <w:rFonts w:hint="eastAsia"/>
                <w:color w:val="000000" w:themeColor="text1"/>
                <w:szCs w:val="21"/>
              </w:rPr>
              <w:t>日，培训内容：</w:t>
            </w:r>
            <w:r>
              <w:rPr>
                <w:rFonts w:hint="eastAsia" w:ascii="宋体" w:hAnsi="宋体"/>
                <w:bCs/>
              </w:rPr>
              <w:t>质量管理手册和程序文件等文件学习</w:t>
            </w:r>
            <w:r>
              <w:rPr>
                <w:rFonts w:hint="eastAsia"/>
                <w:color w:val="000000" w:themeColor="text1"/>
                <w:szCs w:val="21"/>
              </w:rPr>
              <w:t>，参加人员：王慧英、郑先成、高鹏飞、王佐正、郑绪生、焦彤、李肇辉、彭昭颖、吕俊辉，培训效果验证：提问答辩，考试合格率：100％；</w:t>
            </w:r>
          </w:p>
          <w:p>
            <w:pPr>
              <w:spacing w:line="360" w:lineRule="auto"/>
              <w:rPr>
                <w:rFonts w:hint="eastAsia"/>
                <w:color w:val="000000" w:themeColor="text1"/>
                <w:szCs w:val="21"/>
              </w:rPr>
            </w:pPr>
            <w:r>
              <w:rPr>
                <w:rFonts w:hint="eastAsia" w:ascii="宋体" w:hAnsi="宋体"/>
                <w:lang w:val="en-US" w:eastAsia="zh-CN"/>
              </w:rPr>
              <w:t>20</w:t>
            </w:r>
            <w:r>
              <w:rPr>
                <w:rFonts w:hint="eastAsia" w:ascii="宋体" w:hAnsi="宋体"/>
              </w:rPr>
              <w:t>22.5.11</w:t>
            </w:r>
            <w:r>
              <w:rPr>
                <w:rFonts w:hint="eastAsia"/>
                <w:color w:val="000000" w:themeColor="text1"/>
                <w:szCs w:val="21"/>
              </w:rPr>
              <w:t>日</w:t>
            </w:r>
            <w:r>
              <w:rPr>
                <w:rFonts w:hint="eastAsia"/>
                <w:color w:val="000000" w:themeColor="text1"/>
                <w:szCs w:val="21"/>
                <w:lang w:eastAsia="zh-CN"/>
              </w:rPr>
              <w:t>，</w:t>
            </w:r>
            <w:r>
              <w:rPr>
                <w:rFonts w:hint="eastAsia"/>
                <w:color w:val="000000" w:themeColor="text1"/>
                <w:szCs w:val="21"/>
              </w:rPr>
              <w:t>培训内容：作业指导书、规章制度培训，参加人员：王慧英、郑先成、高鹏飞、王佐正、郑绪生、焦彤、</w:t>
            </w:r>
          </w:p>
          <w:p>
            <w:pPr>
              <w:spacing w:line="360" w:lineRule="auto"/>
              <w:rPr>
                <w:rFonts w:hint="eastAsia" w:eastAsia="宋体"/>
                <w:color w:val="000000" w:themeColor="text1"/>
                <w:szCs w:val="21"/>
                <w:lang w:eastAsia="zh-CN"/>
              </w:rPr>
            </w:pPr>
            <w:r>
              <w:rPr>
                <w:rFonts w:hint="eastAsia"/>
                <w:color w:val="000000" w:themeColor="text1"/>
                <w:szCs w:val="21"/>
              </w:rPr>
              <w:t>李肇辉、彭昭颖、吕俊辉，培训效果验证：提问答辩，考试合格率：100％；</w:t>
            </w:r>
          </w:p>
          <w:p>
            <w:pPr>
              <w:spacing w:line="360" w:lineRule="auto"/>
              <w:rPr>
                <w:rFonts w:hint="eastAsia" w:ascii="Times New Roman" w:hAnsi="Times New Roman" w:eastAsia="宋体" w:cs="Times New Roman"/>
                <w:color w:val="000000" w:themeColor="text1"/>
                <w:kern w:val="2"/>
                <w:sz w:val="21"/>
                <w:szCs w:val="21"/>
                <w:lang w:val="en-US" w:eastAsia="zh-CN" w:bidi="ar-SA"/>
              </w:rPr>
            </w:pPr>
            <w:r>
              <w:rPr>
                <w:rFonts w:hint="eastAsia"/>
                <w:color w:val="000000" w:themeColor="text1"/>
                <w:szCs w:val="21"/>
              </w:rPr>
              <w:t xml:space="preserve"> 无特种作业人员。</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956" w:type="dxa"/>
            <w:vAlign w:val="top"/>
          </w:tcPr>
          <w:p>
            <w:pPr>
              <w:spacing w:line="360" w:lineRule="auto"/>
              <w:rPr>
                <w:rFonts w:hint="eastAsia"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基础设施</w:t>
            </w:r>
          </w:p>
          <w:p>
            <w:pPr>
              <w:spacing w:line="360" w:lineRule="auto"/>
              <w:rPr>
                <w:rFonts w:hint="eastAsia" w:ascii="Times New Roman" w:hAnsi="Times New Roman" w:eastAsia="宋体" w:cs="Times New Roman"/>
                <w:color w:val="000000" w:themeColor="text1"/>
                <w:szCs w:val="21"/>
                <w:lang w:val="en-US" w:eastAsia="zh-CN"/>
              </w:rPr>
            </w:pPr>
            <w:r>
              <w:rPr>
                <w:rFonts w:hint="eastAsia" w:ascii="Times New Roman" w:hAnsi="Times New Roman" w:eastAsia="宋体" w:cs="Times New Roman"/>
                <w:color w:val="000000" w:themeColor="text1"/>
                <w:szCs w:val="21"/>
              </w:rPr>
              <w:t>过程运行环境</w:t>
            </w:r>
          </w:p>
        </w:tc>
        <w:tc>
          <w:tcPr>
            <w:tcW w:w="1164" w:type="dxa"/>
            <w:vAlign w:val="top"/>
          </w:tcPr>
          <w:p>
            <w:pPr>
              <w:spacing w:line="360" w:lineRule="auto"/>
              <w:rPr>
                <w:rFonts w:hint="eastAsia"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Q7.1.3</w:t>
            </w:r>
          </w:p>
          <w:p>
            <w:pPr>
              <w:spacing w:line="360" w:lineRule="auto"/>
              <w:rPr>
                <w:rFonts w:hint="eastAsia" w:ascii="Times New Roman" w:hAnsi="Times New Roman" w:eastAsia="宋体" w:cs="Times New Roman"/>
                <w:color w:val="000000" w:themeColor="text1"/>
                <w:szCs w:val="21"/>
                <w:lang w:val="en-US" w:eastAsia="zh-CN"/>
              </w:rPr>
            </w:pPr>
            <w:r>
              <w:rPr>
                <w:rFonts w:hint="eastAsia" w:ascii="Times New Roman" w:hAnsi="Times New Roman" w:eastAsia="宋体" w:cs="Times New Roman"/>
                <w:color w:val="000000" w:themeColor="text1"/>
                <w:szCs w:val="21"/>
              </w:rPr>
              <w:t>Q7.1.4</w:t>
            </w:r>
          </w:p>
        </w:tc>
        <w:tc>
          <w:tcPr>
            <w:tcW w:w="11012" w:type="dxa"/>
            <w:vAlign w:val="top"/>
          </w:tcPr>
          <w:p>
            <w:pPr>
              <w:spacing w:line="360" w:lineRule="auto"/>
              <w:rPr>
                <w:rFonts w:hint="eastAsia" w:ascii="Times New Roman" w:hAnsi="Times New Roman" w:eastAsia="宋体" w:cs="Times New Roman"/>
                <w:color w:val="000000" w:themeColor="text1"/>
                <w:szCs w:val="21"/>
                <w:lang w:eastAsia="zh-CN"/>
              </w:rPr>
            </w:pPr>
            <w:r>
              <w:rPr>
                <w:rFonts w:hint="eastAsia" w:ascii="Times New Roman" w:hAnsi="Times New Roman" w:eastAsia="宋体" w:cs="Times New Roman"/>
                <w:color w:val="000000" w:themeColor="text1"/>
                <w:szCs w:val="21"/>
              </w:rPr>
              <w:t>为确保本公司所经营的</w:t>
            </w:r>
            <w:bookmarkStart w:id="0" w:name="审核范围"/>
            <w:r>
              <w:rPr>
                <w:rFonts w:hint="eastAsia" w:ascii="Times New Roman" w:hAnsi="Times New Roman" w:eastAsia="宋体" w:cs="Times New Roman"/>
                <w:color w:val="000000" w:themeColor="text1"/>
                <w:szCs w:val="21"/>
              </w:rPr>
              <w:t>机电产品和电气设备的测控、仿真系统的研发</w:t>
            </w:r>
            <w:bookmarkEnd w:id="0"/>
            <w:r>
              <w:rPr>
                <w:rFonts w:hint="eastAsia" w:ascii="Times New Roman" w:hAnsi="Times New Roman" w:eastAsia="宋体" w:cs="Times New Roman"/>
                <w:color w:val="000000" w:themeColor="text1"/>
                <w:szCs w:val="21"/>
              </w:rPr>
              <w:t>，本公司确定、配置和维护过程运行所需的基础设施。包括： 建筑物和相关设施；经营、办公设备，包括硬件和软件；车辆、信息和通迅技术</w:t>
            </w:r>
            <w:r>
              <w:rPr>
                <w:rFonts w:hint="eastAsia" w:ascii="Times New Roman" w:hAnsi="Times New Roman" w:eastAsia="宋体" w:cs="Times New Roman"/>
                <w:color w:val="000000" w:themeColor="text1"/>
                <w:szCs w:val="21"/>
                <w:lang w:val="en-US" w:eastAsia="zh-CN"/>
              </w:rPr>
              <w:t>等。</w:t>
            </w:r>
          </w:p>
          <w:p>
            <w:pPr>
              <w:spacing w:line="360" w:lineRule="auto"/>
              <w:rPr>
                <w:rFonts w:hint="eastAsia"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无特种设备。</w:t>
            </w:r>
          </w:p>
          <w:p>
            <w:pPr>
              <w:spacing w:line="360" w:lineRule="auto"/>
              <w:rPr>
                <w:rFonts w:hint="eastAsia"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 xml:space="preserve">过程运行环境： 本公司根据产品和服务特点，确定、提供并维护过程运行所需要的环境，包括社会因素如无歧视、和谐稳定、无对抗；心理因素如舒缓心理压力、预防过度疲劳、保护个人情感；物理因素如温度、热量、湿度、照明、空气流通、卫生、噪声等。以获得合格产品和服务。 </w:t>
            </w:r>
          </w:p>
          <w:p>
            <w:pPr>
              <w:spacing w:line="360" w:lineRule="auto"/>
              <w:rPr>
                <w:rFonts w:hint="eastAsia" w:ascii="Times New Roman" w:hAnsi="Times New Roman" w:eastAsia="宋体" w:cs="Times New Roman"/>
                <w:color w:val="000000" w:themeColor="text1"/>
                <w:szCs w:val="21"/>
                <w:lang w:val="en-US" w:eastAsia="zh-CN"/>
              </w:rPr>
            </w:pPr>
            <w:r>
              <w:rPr>
                <w:rFonts w:hint="eastAsia" w:ascii="Times New Roman" w:hAnsi="Times New Roman" w:eastAsia="宋体" w:cs="Times New Roman"/>
                <w:color w:val="000000" w:themeColor="text1"/>
                <w:szCs w:val="21"/>
              </w:rPr>
              <w:t>——查上述内容基本符合标准要求；</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956" w:type="dxa"/>
            <w:vAlign w:val="center"/>
          </w:tcPr>
          <w:p>
            <w:pPr>
              <w:spacing w:line="360" w:lineRule="auto"/>
              <w:rPr>
                <w:rFonts w:hint="eastAsia" w:ascii="Times New Roman" w:hAnsi="Times New Roman" w:eastAsia="宋体" w:cs="Times New Roman"/>
                <w:color w:val="000000" w:themeColor="text1"/>
                <w:szCs w:val="21"/>
                <w:lang w:val="en-US" w:eastAsia="zh-CN"/>
              </w:rPr>
            </w:pPr>
            <w:r>
              <w:rPr>
                <w:rFonts w:hint="eastAsia" w:ascii="Times New Roman" w:hAnsi="Times New Roman" w:eastAsia="宋体" w:cs="Times New Roman"/>
                <w:color w:val="000000" w:themeColor="text1"/>
                <w:szCs w:val="21"/>
              </w:rPr>
              <w:t>组织知识</w:t>
            </w:r>
          </w:p>
        </w:tc>
        <w:tc>
          <w:tcPr>
            <w:tcW w:w="1164" w:type="dxa"/>
            <w:vAlign w:val="top"/>
          </w:tcPr>
          <w:p>
            <w:pPr>
              <w:spacing w:line="360" w:lineRule="auto"/>
              <w:rPr>
                <w:rFonts w:hint="eastAsia" w:ascii="Times New Roman" w:hAnsi="Times New Roman" w:eastAsia="宋体" w:cs="Times New Roman"/>
                <w:color w:val="000000" w:themeColor="text1"/>
                <w:szCs w:val="21"/>
              </w:rPr>
            </w:pPr>
          </w:p>
          <w:p>
            <w:pPr>
              <w:spacing w:line="360" w:lineRule="auto"/>
              <w:rPr>
                <w:rFonts w:hint="eastAsia" w:ascii="Times New Roman" w:hAnsi="Times New Roman" w:eastAsia="宋体" w:cs="Times New Roman"/>
                <w:color w:val="000000" w:themeColor="text1"/>
                <w:szCs w:val="21"/>
              </w:rPr>
            </w:pPr>
          </w:p>
          <w:p>
            <w:pPr>
              <w:spacing w:line="360" w:lineRule="auto"/>
              <w:rPr>
                <w:rFonts w:hint="eastAsia" w:ascii="Times New Roman" w:hAnsi="Times New Roman" w:eastAsia="宋体" w:cs="Times New Roman"/>
                <w:color w:val="000000" w:themeColor="text1"/>
                <w:szCs w:val="21"/>
              </w:rPr>
            </w:pPr>
          </w:p>
          <w:p>
            <w:pPr>
              <w:spacing w:line="360" w:lineRule="auto"/>
              <w:rPr>
                <w:rFonts w:hint="eastAsia" w:ascii="Times New Roman" w:hAnsi="Times New Roman" w:eastAsia="宋体" w:cs="Times New Roman"/>
                <w:color w:val="000000" w:themeColor="text1"/>
                <w:szCs w:val="21"/>
                <w:lang w:val="en-US" w:eastAsia="zh-CN"/>
              </w:rPr>
            </w:pPr>
            <w:r>
              <w:rPr>
                <w:rFonts w:hint="eastAsia" w:ascii="Times New Roman" w:hAnsi="Times New Roman" w:eastAsia="宋体" w:cs="Times New Roman"/>
                <w:color w:val="000000" w:themeColor="text1"/>
                <w:szCs w:val="21"/>
              </w:rPr>
              <w:t>Q</w:t>
            </w:r>
            <w:r>
              <w:rPr>
                <w:rFonts w:hint="eastAsia" w:ascii="Times New Roman" w:hAnsi="Times New Roman" w:eastAsia="宋体" w:cs="Times New Roman"/>
                <w:color w:val="000000" w:themeColor="text1"/>
                <w:szCs w:val="21"/>
                <w:lang w:val="en-US" w:eastAsia="zh-CN"/>
              </w:rPr>
              <w:t xml:space="preserve"> </w:t>
            </w:r>
            <w:r>
              <w:rPr>
                <w:rFonts w:hint="eastAsia" w:ascii="Times New Roman" w:hAnsi="Times New Roman" w:eastAsia="宋体" w:cs="Times New Roman"/>
                <w:color w:val="000000" w:themeColor="text1"/>
                <w:szCs w:val="21"/>
              </w:rPr>
              <w:t xml:space="preserve">7.1.6 </w:t>
            </w:r>
          </w:p>
        </w:tc>
        <w:tc>
          <w:tcPr>
            <w:tcW w:w="11012" w:type="dxa"/>
            <w:vAlign w:val="top"/>
          </w:tcPr>
          <w:p>
            <w:pPr>
              <w:spacing w:line="360" w:lineRule="auto"/>
              <w:rPr>
                <w:rFonts w:hint="eastAsia"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执行《知识管理控制程序》，企业确定运行过程所需要的知识，包括专业知识、外部知识。提供了《组织知识清单》，有获取方法、更新方式、责任目标等。</w:t>
            </w:r>
          </w:p>
          <w:p>
            <w:pPr>
              <w:spacing w:line="360" w:lineRule="auto"/>
              <w:rPr>
                <w:rFonts w:hint="eastAsia"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经组织识别，组织内外部知识包括：外部知识、专业知识、管理经验、教训，不断发现问题、解决问题，通过会议，文件传达或制定有关作业指导书并进行培训。</w:t>
            </w:r>
          </w:p>
          <w:p>
            <w:pPr>
              <w:spacing w:line="360" w:lineRule="auto"/>
              <w:rPr>
                <w:rFonts w:hint="eastAsia"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现场看到组织各部门层次基本有相应的管理制度、岗位职责、工作要求等组织内部知识。此外还通过文件发放、会议传达、专题培训等方式进行内部知识的获得、交流和更新等。</w:t>
            </w:r>
          </w:p>
          <w:p>
            <w:pPr>
              <w:spacing w:line="360" w:lineRule="auto"/>
              <w:rPr>
                <w:rFonts w:hint="eastAsia" w:ascii="Times New Roman" w:hAnsi="Times New Roman" w:eastAsia="宋体" w:cs="Times New Roman"/>
                <w:color w:val="000000" w:themeColor="text1"/>
                <w:szCs w:val="21"/>
                <w:lang w:val="en-US" w:eastAsia="zh-CN"/>
              </w:rPr>
            </w:pPr>
            <w:r>
              <w:rPr>
                <w:rFonts w:hint="eastAsia" w:ascii="Times New Roman" w:hAnsi="Times New Roman" w:eastAsia="宋体" w:cs="Times New Roman"/>
                <w:color w:val="000000" w:themeColor="text1"/>
                <w:szCs w:val="21"/>
                <w:lang w:val="en-US" w:eastAsia="zh-CN"/>
              </w:rPr>
              <w:t>综合部</w:t>
            </w:r>
            <w:r>
              <w:rPr>
                <w:rFonts w:hint="eastAsia" w:ascii="Times New Roman" w:hAnsi="Times New Roman" w:eastAsia="宋体" w:cs="Times New Roman"/>
                <w:color w:val="000000" w:themeColor="text1"/>
                <w:szCs w:val="21"/>
              </w:rPr>
              <w:t>负责整理收集组织相关的知识，定期更新。</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956" w:type="dxa"/>
          </w:tcPr>
          <w:p>
            <w:pPr>
              <w:tabs>
                <w:tab w:val="center" w:pos="3169"/>
              </w:tabs>
              <w:spacing w:line="400" w:lineRule="exact"/>
              <w:jc w:val="left"/>
            </w:pPr>
          </w:p>
          <w:p>
            <w:pPr>
              <w:tabs>
                <w:tab w:val="center" w:pos="3169"/>
              </w:tabs>
              <w:spacing w:line="400" w:lineRule="exact"/>
              <w:ind w:firstLine="210" w:firstLineChars="100"/>
              <w:jc w:val="left"/>
              <w:rPr>
                <w:rFonts w:ascii="宋体" w:hAnsi="宋体" w:cs="宋体"/>
                <w:szCs w:val="21"/>
                <w:lang w:bidi="ar"/>
              </w:rPr>
            </w:pPr>
            <w:r>
              <w:rPr>
                <w:rFonts w:hint="eastAsia"/>
              </w:rPr>
              <w:t>意识</w:t>
            </w:r>
          </w:p>
        </w:tc>
        <w:tc>
          <w:tcPr>
            <w:tcW w:w="1164" w:type="dxa"/>
          </w:tcPr>
          <w:p>
            <w:pPr>
              <w:tabs>
                <w:tab w:val="center" w:pos="3169"/>
              </w:tabs>
              <w:spacing w:line="400" w:lineRule="exact"/>
              <w:jc w:val="left"/>
            </w:pPr>
          </w:p>
          <w:p>
            <w:pPr>
              <w:tabs>
                <w:tab w:val="center" w:pos="3169"/>
              </w:tabs>
              <w:spacing w:line="400" w:lineRule="exact"/>
              <w:jc w:val="left"/>
              <w:rPr>
                <w:rFonts w:ascii="宋体" w:hAnsi="宋体" w:cs="宋体"/>
                <w:szCs w:val="21"/>
                <w:lang w:bidi="ar"/>
              </w:rPr>
            </w:pPr>
            <w:r>
              <w:rPr>
                <w:rFonts w:hint="eastAsia"/>
              </w:rPr>
              <w:t>Q</w:t>
            </w:r>
            <w:r>
              <w:rPr>
                <w:rFonts w:hint="eastAsia"/>
                <w:lang w:val="en-US" w:eastAsia="zh-CN"/>
              </w:rPr>
              <w:t xml:space="preserve"> </w:t>
            </w:r>
            <w:r>
              <w:rPr>
                <w:rFonts w:hint="eastAsia"/>
              </w:rPr>
              <w:t>7.3</w:t>
            </w:r>
          </w:p>
        </w:tc>
        <w:tc>
          <w:tcPr>
            <w:tcW w:w="11012"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4"/>
              <w:ind w:left="0"/>
            </w:pPr>
            <w:r>
              <w:rPr>
                <w:rFonts w:hint="eastAsia" w:ascii="宋体" w:hAnsi="宋体" w:cs="宋体"/>
                <w:szCs w:val="21"/>
              </w:rPr>
              <w:t>---经与员工</w:t>
            </w:r>
            <w:r>
              <w:rPr>
                <w:rFonts w:hint="eastAsia" w:ascii="宋体" w:hAnsi="宋体"/>
                <w:lang w:val="en-US" w:eastAsia="zh-CN"/>
              </w:rPr>
              <w:t>罗美君</w:t>
            </w:r>
            <w:r>
              <w:rPr>
                <w:rFonts w:hint="eastAsia" w:ascii="宋体" w:hAnsi="宋体"/>
              </w:rPr>
              <w:t>、</w:t>
            </w:r>
            <w:r>
              <w:rPr>
                <w:rFonts w:hint="eastAsia" w:ascii="宋体" w:hAnsi="宋体"/>
                <w:lang w:val="en-US" w:eastAsia="zh-CN"/>
              </w:rPr>
              <w:t>范文君</w:t>
            </w:r>
            <w:r>
              <w:rPr>
                <w:rFonts w:hint="eastAsia" w:ascii="宋体" w:hAnsi="宋体" w:cs="宋体"/>
                <w:szCs w:val="21"/>
              </w:rPr>
              <w:t>等沟通了解，其2位均基本具备以上必要的质量意识和质量管理体系相关意识。</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956" w:type="dxa"/>
          </w:tcPr>
          <w:p>
            <w:pPr>
              <w:tabs>
                <w:tab w:val="center" w:pos="3169"/>
              </w:tabs>
              <w:spacing w:line="400" w:lineRule="exact"/>
              <w:ind w:firstLine="210" w:firstLineChars="100"/>
              <w:jc w:val="left"/>
            </w:pPr>
          </w:p>
          <w:p>
            <w:pPr>
              <w:tabs>
                <w:tab w:val="center" w:pos="3169"/>
              </w:tabs>
              <w:spacing w:line="400" w:lineRule="exact"/>
              <w:ind w:firstLine="210" w:firstLineChars="100"/>
              <w:jc w:val="left"/>
            </w:pPr>
          </w:p>
          <w:p>
            <w:pPr>
              <w:tabs>
                <w:tab w:val="center" w:pos="3169"/>
              </w:tabs>
              <w:spacing w:line="400" w:lineRule="exact"/>
              <w:jc w:val="left"/>
            </w:pPr>
          </w:p>
          <w:p>
            <w:pPr>
              <w:tabs>
                <w:tab w:val="center" w:pos="3169"/>
              </w:tabs>
              <w:spacing w:line="400" w:lineRule="exact"/>
              <w:ind w:firstLine="210" w:firstLineChars="100"/>
              <w:jc w:val="left"/>
              <w:rPr>
                <w:rFonts w:ascii="宋体" w:hAnsi="宋体" w:cs="宋体"/>
                <w:szCs w:val="21"/>
                <w:lang w:bidi="ar"/>
              </w:rPr>
            </w:pPr>
            <w:r>
              <w:rPr>
                <w:rFonts w:hint="eastAsia"/>
              </w:rPr>
              <w:t>沟通</w:t>
            </w:r>
          </w:p>
        </w:tc>
        <w:tc>
          <w:tcPr>
            <w:tcW w:w="1164" w:type="dxa"/>
          </w:tcPr>
          <w:p>
            <w:pPr>
              <w:tabs>
                <w:tab w:val="center" w:pos="3169"/>
              </w:tabs>
              <w:spacing w:line="400" w:lineRule="exact"/>
              <w:jc w:val="left"/>
            </w:pPr>
          </w:p>
          <w:p>
            <w:pPr>
              <w:tabs>
                <w:tab w:val="center" w:pos="3169"/>
              </w:tabs>
              <w:spacing w:line="400" w:lineRule="exact"/>
              <w:jc w:val="left"/>
            </w:pPr>
          </w:p>
          <w:p>
            <w:pPr>
              <w:tabs>
                <w:tab w:val="center" w:pos="3169"/>
              </w:tabs>
              <w:spacing w:line="400" w:lineRule="exact"/>
              <w:jc w:val="left"/>
            </w:pPr>
          </w:p>
          <w:p>
            <w:pPr>
              <w:tabs>
                <w:tab w:val="center" w:pos="3169"/>
              </w:tabs>
              <w:spacing w:line="400" w:lineRule="exact"/>
              <w:jc w:val="left"/>
              <w:rPr>
                <w:rFonts w:ascii="宋体" w:hAnsi="宋体" w:cs="宋体"/>
                <w:szCs w:val="21"/>
                <w:lang w:bidi="ar"/>
              </w:rPr>
            </w:pPr>
            <w:r>
              <w:rPr>
                <w:rFonts w:hint="eastAsia"/>
              </w:rPr>
              <w:t>Q</w:t>
            </w:r>
            <w:r>
              <w:rPr>
                <w:rFonts w:hint="eastAsia"/>
                <w:lang w:val="en-US" w:eastAsia="zh-CN"/>
              </w:rPr>
              <w:t xml:space="preserve"> </w:t>
            </w:r>
            <w:r>
              <w:rPr>
                <w:rFonts w:hint="eastAsia"/>
              </w:rPr>
              <w:t>7.4</w:t>
            </w:r>
          </w:p>
        </w:tc>
        <w:tc>
          <w:tcPr>
            <w:tcW w:w="11012"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现场查见会议记录、培训记录、文件签收等组织内部培训方式相关记录。</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综合部是内外部信息交流的中心，通过会议、邮件、培训等形式进行内部交流，向外部接收各种文件传递各种报表等。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经交流：目前与质量信息交流主要是参加会议、接收来文、电话、邮件等，均按要求予以传达和落实，沟通情况较好。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1）参与公司管理方针与目标的制定，及管理体系的策划。</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2）参加管理评审，就公司管理体系的绩效、管理方针与目标的实施进行评价。</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3）参与讨论技术问题。</w:t>
            </w:r>
          </w:p>
          <w:p>
            <w:pPr>
              <w:pStyle w:val="4"/>
              <w:ind w:left="0"/>
            </w:pPr>
            <w:r>
              <w:rPr>
                <w:rFonts w:hint="eastAsia" w:asciiTheme="minorEastAsia" w:hAnsiTheme="minorEastAsia" w:eastAsiaTheme="minorEastAsia"/>
                <w:szCs w:val="24"/>
              </w:rPr>
              <w:t>现有的沟通渠道和方法能满足要求。审核中未发现因沟通不利不及时而造成（影响）某项工作不能正常运行的情况。</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956" w:type="dxa"/>
            <w:vAlign w:val="center"/>
          </w:tcPr>
          <w:p>
            <w:pPr>
              <w:spacing w:line="360" w:lineRule="auto"/>
              <w:rPr>
                <w:rFonts w:hint="eastAsia" w:cs="Times New Roman" w:asciiTheme="minorEastAsia" w:hAnsiTheme="minorEastAsia" w:eastAsiaTheme="minorEastAsia"/>
                <w:szCs w:val="24"/>
                <w:lang w:val="en-US" w:eastAsia="zh-CN"/>
              </w:rPr>
            </w:pPr>
            <w:r>
              <w:rPr>
                <w:rFonts w:hint="eastAsia" w:cs="Times New Roman" w:asciiTheme="minorEastAsia" w:hAnsiTheme="minorEastAsia" w:eastAsiaTheme="minorEastAsia"/>
                <w:szCs w:val="24"/>
              </w:rPr>
              <w:t>形成文件的信息</w:t>
            </w:r>
          </w:p>
        </w:tc>
        <w:tc>
          <w:tcPr>
            <w:tcW w:w="1164" w:type="dxa"/>
            <w:vAlign w:val="top"/>
          </w:tcPr>
          <w:p>
            <w:pPr>
              <w:spacing w:line="360" w:lineRule="auto"/>
              <w:ind w:firstLine="420" w:firstLineChars="200"/>
              <w:rPr>
                <w:rFonts w:hint="eastAsia" w:cs="Times New Roman" w:asciiTheme="minorEastAsia" w:hAnsiTheme="minorEastAsia" w:eastAsiaTheme="minorEastAsia"/>
                <w:szCs w:val="24"/>
              </w:rPr>
            </w:pPr>
          </w:p>
          <w:p>
            <w:pPr>
              <w:spacing w:line="360" w:lineRule="auto"/>
              <w:ind w:firstLine="420" w:firstLineChars="200"/>
              <w:rPr>
                <w:rFonts w:hint="eastAsia" w:cs="Times New Roman" w:asciiTheme="minorEastAsia" w:hAnsiTheme="minorEastAsia" w:eastAsiaTheme="minorEastAsia"/>
                <w:szCs w:val="24"/>
              </w:rPr>
            </w:pPr>
          </w:p>
          <w:p>
            <w:pPr>
              <w:pStyle w:val="3"/>
              <w:rPr>
                <w:rFonts w:hint="eastAsia" w:cs="Times New Roman" w:asciiTheme="minorEastAsia" w:hAnsiTheme="minorEastAsia" w:eastAsiaTheme="minorEastAsia"/>
                <w:szCs w:val="24"/>
              </w:rPr>
            </w:pPr>
          </w:p>
          <w:p>
            <w:pPr>
              <w:pStyle w:val="4"/>
              <w:ind w:left="0" w:leftChars="0" w:firstLine="0" w:firstLineChars="0"/>
              <w:rPr>
                <w:rFonts w:hint="eastAsia" w:cs="Times New Roman" w:asciiTheme="minorEastAsia" w:hAnsiTheme="minorEastAsia" w:eastAsiaTheme="minorEastAsia"/>
                <w:szCs w:val="24"/>
              </w:rPr>
            </w:pPr>
          </w:p>
          <w:p>
            <w:pPr>
              <w:spacing w:line="360" w:lineRule="auto"/>
              <w:rPr>
                <w:rFonts w:hint="eastAsia" w:ascii="Times New Roman" w:hAnsi="Times New Roman" w:eastAsia="宋体" w:cs="Times New Roman"/>
              </w:rPr>
            </w:pPr>
          </w:p>
          <w:p>
            <w:pPr>
              <w:spacing w:line="360" w:lineRule="auto"/>
              <w:rPr>
                <w:rFonts w:hint="eastAsia" w:cs="Times New Roman" w:asciiTheme="minorEastAsia" w:hAnsiTheme="minorEastAsia" w:eastAsiaTheme="minorEastAsia"/>
                <w:szCs w:val="24"/>
                <w:lang w:val="en-US" w:eastAsia="zh-CN"/>
              </w:rPr>
            </w:pPr>
            <w:r>
              <w:rPr>
                <w:rFonts w:hint="eastAsia" w:ascii="Times New Roman" w:hAnsi="Times New Roman" w:eastAsia="宋体" w:cs="Times New Roman"/>
              </w:rPr>
              <w:t>Q7.5</w:t>
            </w:r>
          </w:p>
        </w:tc>
        <w:tc>
          <w:tcPr>
            <w:tcW w:w="11012" w:type="dxa"/>
            <w:vAlign w:val="top"/>
          </w:tcPr>
          <w:p>
            <w:pPr>
              <w:spacing w:line="360" w:lineRule="auto"/>
              <w:ind w:firstLine="420" w:firstLineChars="200"/>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编制了《文件控制程序》、《记录控制程序》，规定了对文件的编制、审批、更新、更改、现行修订状态、文件的发放、保存、使用、借阅、复制以及外来文件的管理、记录的形成和收集、传递和归档、储存和处理、分类和编码、借阅等，基本符合标准控制要求。</w:t>
            </w:r>
          </w:p>
          <w:p>
            <w:pPr>
              <w:spacing w:line="360" w:lineRule="auto"/>
              <w:ind w:firstLine="420" w:firstLineChars="200"/>
              <w:rPr>
                <w:rFonts w:hint="default" w:cs="Times New Roman" w:asciiTheme="minorEastAsia" w:hAnsiTheme="minorEastAsia" w:eastAsiaTheme="minorEastAsia"/>
                <w:szCs w:val="24"/>
                <w:lang w:val="en-US" w:eastAsia="zh-CN"/>
              </w:rPr>
            </w:pPr>
            <w:r>
              <w:rPr>
                <w:rFonts w:hint="eastAsia" w:cs="Times New Roman" w:asciiTheme="minorEastAsia" w:hAnsiTheme="minorEastAsia" w:eastAsiaTheme="minorEastAsia"/>
                <w:szCs w:val="24"/>
                <w:lang w:val="en-US" w:eastAsia="zh-CN"/>
              </w:rPr>
              <w:t>查</w:t>
            </w:r>
            <w:r>
              <w:rPr>
                <w:rFonts w:hint="eastAsia" w:cs="Times New Roman" w:asciiTheme="minorEastAsia" w:hAnsiTheme="minorEastAsia" w:eastAsiaTheme="minorEastAsia"/>
                <w:szCs w:val="24"/>
              </w:rPr>
              <w:t>《质量管理手册》</w:t>
            </w:r>
            <w:r>
              <w:rPr>
                <w:rFonts w:hint="eastAsia" w:cs="Times New Roman" w:asciiTheme="minorEastAsia" w:hAnsiTheme="minorEastAsia" w:eastAsiaTheme="minorEastAsia"/>
                <w:szCs w:val="24"/>
                <w:lang w:val="en-US" w:eastAsia="zh-CN"/>
              </w:rPr>
              <w:t>及</w:t>
            </w:r>
            <w:r>
              <w:rPr>
                <w:rFonts w:hint="eastAsia" w:cs="Times New Roman" w:asciiTheme="minorEastAsia" w:hAnsiTheme="minorEastAsia" w:eastAsiaTheme="minorEastAsia"/>
                <w:szCs w:val="24"/>
              </w:rPr>
              <w:t>《程序文件》</w:t>
            </w:r>
            <w:r>
              <w:rPr>
                <w:rFonts w:hint="eastAsia" w:cs="Times New Roman" w:asciiTheme="minorEastAsia" w:hAnsiTheme="minorEastAsia" w:eastAsiaTheme="minorEastAsia"/>
                <w:szCs w:val="24"/>
                <w:lang w:eastAsia="zh-CN"/>
              </w:rPr>
              <w:t>，</w:t>
            </w:r>
            <w:r>
              <w:rPr>
                <w:rFonts w:hint="eastAsia" w:cs="Times New Roman" w:asciiTheme="minorEastAsia" w:hAnsiTheme="minorEastAsia" w:eastAsiaTheme="minorEastAsia"/>
                <w:szCs w:val="24"/>
                <w:lang w:val="zh-CN"/>
              </w:rPr>
              <w:t>2017年11月</w:t>
            </w:r>
            <w:r>
              <w:rPr>
                <w:rFonts w:hint="eastAsia" w:cs="Times New Roman" w:asciiTheme="minorEastAsia" w:hAnsiTheme="minorEastAsia" w:eastAsiaTheme="minorEastAsia"/>
                <w:szCs w:val="24"/>
              </w:rPr>
              <w:t>5日</w:t>
            </w:r>
            <w:r>
              <w:rPr>
                <w:rFonts w:hint="eastAsia" w:cs="Times New Roman" w:asciiTheme="minorEastAsia" w:hAnsiTheme="minorEastAsia" w:eastAsiaTheme="minorEastAsia"/>
                <w:szCs w:val="24"/>
                <w:lang w:val="zh-CN"/>
              </w:rPr>
              <w:t>发布实施，</w:t>
            </w:r>
            <w:r>
              <w:rPr>
                <w:rFonts w:hint="eastAsia" w:cs="Times New Roman" w:asciiTheme="minorEastAsia" w:hAnsiTheme="minorEastAsia" w:eastAsiaTheme="minorEastAsia"/>
                <w:szCs w:val="24"/>
              </w:rPr>
              <w:t>版本</w:t>
            </w:r>
            <w:r>
              <w:rPr>
                <w:rFonts w:hint="eastAsia" w:cs="Times New Roman" w:asciiTheme="minorEastAsia" w:hAnsiTheme="minorEastAsia" w:eastAsiaTheme="minorEastAsia"/>
                <w:szCs w:val="24"/>
                <w:lang w:val="en-US" w:eastAsia="zh-CN"/>
              </w:rPr>
              <w:t>01</w:t>
            </w:r>
            <w:r>
              <w:rPr>
                <w:rFonts w:hint="eastAsia" w:cs="Times New Roman" w:asciiTheme="minorEastAsia" w:hAnsiTheme="minorEastAsia" w:eastAsiaTheme="minorEastAsia"/>
                <w:szCs w:val="24"/>
                <w:lang w:eastAsia="zh-CN"/>
              </w:rPr>
              <w:t>，</w:t>
            </w:r>
            <w:r>
              <w:rPr>
                <w:rFonts w:hint="eastAsia" w:cs="Times New Roman" w:asciiTheme="minorEastAsia" w:hAnsiTheme="minorEastAsia" w:eastAsiaTheme="minorEastAsia"/>
                <w:szCs w:val="24"/>
                <w:lang w:val="en-US" w:eastAsia="zh-CN"/>
              </w:rPr>
              <w:t>经过多年运行未进行修改。</w:t>
            </w:r>
          </w:p>
          <w:p>
            <w:pPr>
              <w:spacing w:line="360" w:lineRule="auto"/>
              <w:ind w:firstLine="420" w:firstLineChars="200"/>
              <w:rPr>
                <w:rFonts w:hint="eastAsia" w:cs="Times New Roman" w:asciiTheme="minorEastAsia" w:hAnsiTheme="minorEastAsia" w:eastAsiaTheme="minorEastAsia"/>
                <w:szCs w:val="24"/>
              </w:rPr>
            </w:pPr>
            <w:r>
              <w:rPr>
                <w:rFonts w:hint="eastAsia" w:cs="Times New Roman" w:asciiTheme="minorEastAsia" w:hAnsiTheme="minorEastAsia" w:eastAsiaTheme="minorEastAsia"/>
                <w:szCs w:val="24"/>
              </w:rPr>
              <w:t>公司体系文件运行良好，能够满足经营需要，手册和程序文件基本符合标准要求。</w:t>
            </w:r>
          </w:p>
          <w:p>
            <w:pPr>
              <w:spacing w:line="360" w:lineRule="auto"/>
              <w:ind w:firstLine="420" w:firstLineChars="200"/>
              <w:rPr>
                <w:rFonts w:hint="eastAsia" w:cs="Times New Roman" w:asciiTheme="minorEastAsia" w:hAnsiTheme="minorEastAsia" w:eastAsiaTheme="minorEastAsia"/>
                <w:szCs w:val="24"/>
              </w:rPr>
            </w:pPr>
            <w:r>
              <w:rPr>
                <w:rFonts w:hint="eastAsia" w:cs="Times New Roman" w:asciiTheme="minorEastAsia" w:hAnsiTheme="minorEastAsia" w:eastAsiaTheme="minorEastAsia"/>
                <w:szCs w:val="24"/>
              </w:rPr>
              <w:t>查见《受控文件清单》，登录有手册、程序、管理制度等受控文件，包含了体系要求的成文信息，文件规定基本符合组织实际，满足标准要求。</w:t>
            </w:r>
          </w:p>
          <w:p>
            <w:pPr>
              <w:spacing w:line="360" w:lineRule="auto"/>
              <w:ind w:firstLine="420" w:firstLineChars="200"/>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抽查以上体系文件，均有编制、审批人员，符合要求。</w:t>
            </w:r>
          </w:p>
          <w:p>
            <w:pPr>
              <w:spacing w:line="360" w:lineRule="auto"/>
              <w:ind w:firstLine="420" w:firstLineChars="200"/>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查文件发放情况：</w:t>
            </w:r>
          </w:p>
          <w:p>
            <w:pPr>
              <w:spacing w:line="360" w:lineRule="auto"/>
              <w:ind w:firstLine="420" w:firstLineChars="200"/>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提供了《文件发放、回收记录》，所有文件均由办公室发放，录有管理手册、程序、管理制度及标准、法律法规等外来文件。</w:t>
            </w:r>
          </w:p>
          <w:p>
            <w:pPr>
              <w:spacing w:line="360" w:lineRule="auto"/>
              <w:ind w:firstLine="420" w:firstLineChars="200"/>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查外来文件管理：</w:t>
            </w:r>
          </w:p>
          <w:p>
            <w:pPr>
              <w:spacing w:line="360" w:lineRule="auto"/>
              <w:ind w:firstLine="420" w:firstLineChars="200"/>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公司对外来文件及法律法规进行了收集、识别、分发、控制。外来文件采用了统一保管、借阅使用的方法进行控制。由后勤部负责通过到主管部门、网上收集、标准发布部门进行购买，并对外来文件的识别、跟踪、控制。查到：《外来文件一览表（QMS）》</w:t>
            </w:r>
            <w:r>
              <w:rPr>
                <w:rFonts w:hint="eastAsia" w:cs="Times New Roman" w:asciiTheme="minorEastAsia" w:hAnsiTheme="minorEastAsia" w:eastAsiaTheme="minorEastAsia"/>
                <w:szCs w:val="24"/>
                <w:lang w:eastAsia="zh-CN"/>
              </w:rPr>
              <w:t>，</w:t>
            </w:r>
            <w:r>
              <w:rPr>
                <w:rFonts w:hint="eastAsia" w:cs="Times New Roman" w:asciiTheme="minorEastAsia" w:hAnsiTheme="minorEastAsia" w:eastAsiaTheme="minorEastAsia"/>
                <w:szCs w:val="24"/>
              </w:rPr>
              <w:t>外来文件管理符合要求。</w:t>
            </w:r>
          </w:p>
          <w:p>
            <w:pPr>
              <w:spacing w:line="360" w:lineRule="auto"/>
              <w:ind w:firstLine="420" w:firstLineChars="200"/>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查作废文件控制</w:t>
            </w:r>
            <w:r>
              <w:rPr>
                <w:rFonts w:hint="eastAsia" w:cs="Times New Roman" w:asciiTheme="minorEastAsia" w:hAnsiTheme="minorEastAsia" w:eastAsiaTheme="minorEastAsia"/>
                <w:szCs w:val="24"/>
                <w:lang w:eastAsia="zh-CN"/>
              </w:rPr>
              <w:t>，</w:t>
            </w:r>
            <w:r>
              <w:rPr>
                <w:rFonts w:hint="eastAsia" w:cs="Times New Roman" w:asciiTheme="minorEastAsia" w:hAnsiTheme="minorEastAsia" w:eastAsiaTheme="minorEastAsia"/>
                <w:szCs w:val="24"/>
              </w:rPr>
              <w:t>对发生文件的更改、作废、销毁，将按相关规定执行。</w:t>
            </w:r>
          </w:p>
          <w:p>
            <w:pPr>
              <w:spacing w:line="360" w:lineRule="auto"/>
              <w:ind w:firstLine="420" w:firstLineChars="200"/>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查到了“记录清单”，记录设置符合公司实施运行要求，基本包含了体系要求的相关记录；“记录清单”，内容清晰，规定了记录的名称、编号、保存期限等信息。记录以名称、编号进行唯一性标识。</w:t>
            </w:r>
          </w:p>
          <w:p>
            <w:pPr>
              <w:spacing w:line="360" w:lineRule="auto"/>
              <w:ind w:firstLine="420" w:firstLineChars="200"/>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察看文件及记录存放处：各类文件记录分类存放，部门用记录由相关部门保管，置于文件夹或档案盒（袋）内，统一放置于文件资料柜中，干燥、通风、容易查询，记录保存方式和地点基本可以满足企业现有的体系运行需求。</w:t>
            </w:r>
          </w:p>
          <w:p>
            <w:pPr>
              <w:spacing w:line="360" w:lineRule="auto"/>
              <w:ind w:firstLine="420" w:firstLineChars="200"/>
              <w:rPr>
                <w:rFonts w:hint="eastAsia" w:cs="Times New Roman" w:asciiTheme="minorEastAsia" w:hAnsiTheme="minorEastAsia" w:eastAsiaTheme="minorEastAsia"/>
                <w:szCs w:val="24"/>
                <w:lang w:val="en-US" w:eastAsia="zh-CN"/>
              </w:rPr>
            </w:pPr>
            <w:r>
              <w:rPr>
                <w:rFonts w:hint="eastAsia" w:cs="Times New Roman" w:asciiTheme="minorEastAsia" w:hAnsiTheme="minorEastAsia" w:eastAsiaTheme="minorEastAsia"/>
                <w:szCs w:val="24"/>
              </w:rPr>
              <w:t>公司文件化信息控制基本有效。</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956" w:type="dxa"/>
            <w:vAlign w:val="top"/>
          </w:tcPr>
          <w:p>
            <w:pPr>
              <w:tabs>
                <w:tab w:val="center" w:pos="3169"/>
              </w:tabs>
              <w:spacing w:line="400" w:lineRule="exact"/>
              <w:jc w:val="left"/>
              <w:rPr>
                <w:rFonts w:hint="eastAsia"/>
              </w:rPr>
            </w:pPr>
          </w:p>
          <w:p>
            <w:pPr>
              <w:tabs>
                <w:tab w:val="center" w:pos="3169"/>
              </w:tabs>
              <w:spacing w:line="400" w:lineRule="exact"/>
              <w:jc w:val="left"/>
              <w:rPr>
                <w:rFonts w:hint="eastAsia"/>
              </w:rPr>
            </w:pPr>
          </w:p>
          <w:p>
            <w:pPr>
              <w:tabs>
                <w:tab w:val="center" w:pos="3169"/>
              </w:tabs>
              <w:spacing w:line="400" w:lineRule="exact"/>
              <w:jc w:val="left"/>
              <w:rPr>
                <w:rFonts w:hint="eastAsia"/>
              </w:rPr>
            </w:pPr>
          </w:p>
          <w:p>
            <w:pPr>
              <w:tabs>
                <w:tab w:val="center" w:pos="3169"/>
              </w:tabs>
              <w:spacing w:line="400" w:lineRule="exact"/>
              <w:jc w:val="left"/>
              <w:rPr>
                <w:rFonts w:hint="eastAsia"/>
              </w:rPr>
            </w:pPr>
          </w:p>
          <w:p>
            <w:pPr>
              <w:tabs>
                <w:tab w:val="center" w:pos="3169"/>
              </w:tabs>
              <w:spacing w:line="400" w:lineRule="exact"/>
              <w:jc w:val="left"/>
              <w:rPr>
                <w:rFonts w:hint="eastAsia"/>
              </w:rPr>
            </w:pPr>
          </w:p>
          <w:p>
            <w:pPr>
              <w:tabs>
                <w:tab w:val="center" w:pos="3169"/>
              </w:tabs>
              <w:spacing w:line="400" w:lineRule="exact"/>
              <w:jc w:val="left"/>
              <w:rPr>
                <w:rFonts w:hint="eastAsia"/>
              </w:rPr>
            </w:pPr>
          </w:p>
          <w:p>
            <w:pPr>
              <w:tabs>
                <w:tab w:val="center" w:pos="3169"/>
              </w:tabs>
              <w:spacing w:line="400" w:lineRule="exact"/>
              <w:jc w:val="left"/>
              <w:rPr>
                <w:rFonts w:hint="eastAsia" w:ascii="Times New Roman" w:hAnsi="Times New Roman" w:eastAsia="宋体" w:cs="Times New Roman"/>
                <w:kern w:val="2"/>
                <w:sz w:val="21"/>
                <w:lang w:val="en-US" w:eastAsia="zh-CN" w:bidi="ar-SA"/>
              </w:rPr>
            </w:pPr>
            <w:r>
              <w:rPr>
                <w:rFonts w:hint="eastAsia"/>
              </w:rPr>
              <w:t>产品和服务的要求</w:t>
            </w:r>
          </w:p>
        </w:tc>
        <w:tc>
          <w:tcPr>
            <w:tcW w:w="1164" w:type="dxa"/>
            <w:vAlign w:val="top"/>
          </w:tcPr>
          <w:p>
            <w:pPr>
              <w:tabs>
                <w:tab w:val="center" w:pos="3169"/>
              </w:tabs>
              <w:spacing w:line="400" w:lineRule="exact"/>
              <w:jc w:val="left"/>
              <w:rPr>
                <w:rFonts w:hint="eastAsia"/>
              </w:rPr>
            </w:pPr>
          </w:p>
          <w:p>
            <w:pPr>
              <w:tabs>
                <w:tab w:val="center" w:pos="3169"/>
              </w:tabs>
              <w:spacing w:line="400" w:lineRule="exact"/>
              <w:jc w:val="left"/>
              <w:rPr>
                <w:rFonts w:hint="eastAsia"/>
              </w:rPr>
            </w:pPr>
          </w:p>
          <w:p>
            <w:pPr>
              <w:tabs>
                <w:tab w:val="center" w:pos="3169"/>
              </w:tabs>
              <w:spacing w:line="400" w:lineRule="exact"/>
              <w:jc w:val="left"/>
              <w:rPr>
                <w:rFonts w:hint="eastAsia"/>
              </w:rPr>
            </w:pPr>
          </w:p>
          <w:p>
            <w:pPr>
              <w:tabs>
                <w:tab w:val="center" w:pos="3169"/>
              </w:tabs>
              <w:spacing w:line="400" w:lineRule="exact"/>
              <w:jc w:val="left"/>
              <w:rPr>
                <w:rFonts w:hint="eastAsia"/>
              </w:rPr>
            </w:pPr>
          </w:p>
          <w:p>
            <w:pPr>
              <w:tabs>
                <w:tab w:val="center" w:pos="3169"/>
              </w:tabs>
              <w:spacing w:line="400" w:lineRule="exact"/>
              <w:jc w:val="left"/>
              <w:rPr>
                <w:rFonts w:hint="eastAsia"/>
              </w:rPr>
            </w:pPr>
          </w:p>
          <w:p>
            <w:pPr>
              <w:tabs>
                <w:tab w:val="center" w:pos="3169"/>
              </w:tabs>
              <w:spacing w:line="400" w:lineRule="exact"/>
              <w:jc w:val="left"/>
              <w:rPr>
                <w:rFonts w:hint="eastAsia"/>
              </w:rPr>
            </w:pPr>
          </w:p>
          <w:p>
            <w:pPr>
              <w:tabs>
                <w:tab w:val="center" w:pos="3169"/>
              </w:tabs>
              <w:spacing w:line="400" w:lineRule="exact"/>
              <w:jc w:val="left"/>
              <w:rPr>
                <w:rFonts w:hint="eastAsia" w:ascii="Times New Roman" w:hAnsi="Times New Roman" w:eastAsia="宋体" w:cs="Times New Roman"/>
                <w:kern w:val="2"/>
                <w:sz w:val="21"/>
                <w:lang w:val="en-US" w:eastAsia="zh-CN" w:bidi="ar-SA"/>
              </w:rPr>
            </w:pPr>
            <w:r>
              <w:rPr>
                <w:rFonts w:hint="eastAsia"/>
              </w:rPr>
              <w:t>Q：8.2</w:t>
            </w:r>
          </w:p>
        </w:tc>
        <w:tc>
          <w:tcPr>
            <w:tcW w:w="11012" w:type="dxa"/>
            <w:vAlign w:val="top"/>
          </w:tcPr>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综合部负责人介绍沟通方式主要是电话、传真、资料传递、公司网站、广告等形式宣传本公司有关产品及公司的有关信誉等。</w:t>
            </w:r>
          </w:p>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针对合同洽谈、签订、履行过程中的问题，及时电话联系，明确各自的要求，执行合同。</w:t>
            </w:r>
          </w:p>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目前沟通效果良好。通过招标会、市场调查、客户的走访、电话、传真了解市场的需求状态：主要业务以招标文件、订单、合同、电话、邮件、传真等形式确定与产品有关的要求，均已保存或进行相应的记录。对顾客的要求由综合部直接对顾客要求进行识别、确认，对于存在的问题直接提出和顾客进行交流沟通，在合同签订前公司对合同的要求进行评审，并填写合同评审记录，合同评审均是在合同回传给客户之前进行。</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抽查1）</w:t>
            </w:r>
            <w:r>
              <w:rPr>
                <w:rFonts w:hint="eastAsia" w:ascii="宋体" w:hAnsi="宋体" w:eastAsia="宋体" w:cs="宋体"/>
                <w:color w:val="000000"/>
                <w:kern w:val="0"/>
                <w:szCs w:val="21"/>
                <w:lang w:val="en-US" w:eastAsia="zh-CN"/>
              </w:rPr>
              <w:t>合同编号：JD设备-2002-01-0028，签订日期：2022.01.28 《买卖合同》客户：天津航空机电有限公司，</w:t>
            </w:r>
          </w:p>
          <w:p>
            <w:pPr>
              <w:pStyle w:val="6"/>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产品：电气负荷管理中心性能测试试验台，</w:t>
            </w:r>
            <w:r>
              <w:rPr>
                <w:rFonts w:hint="eastAsia" w:ascii="宋体" w:hAnsi="宋体" w:eastAsia="宋体" w:cs="宋体"/>
                <w:color w:val="000000"/>
                <w:kern w:val="0"/>
                <w:szCs w:val="21"/>
              </w:rPr>
              <w:t>合同约定了价格、质量技术要求、交货期限、地点、方式、包装及运费、结算方式、质保和服务等内容。</w:t>
            </w:r>
          </w:p>
          <w:p>
            <w:pPr>
              <w:pStyle w:val="6"/>
              <w:tabs>
                <w:tab w:val="left" w:pos="902"/>
                <w:tab w:val="left" w:pos="1630"/>
                <w:tab w:val="clear" w:pos="1069"/>
                <w:tab w:val="clear" w:pos="2149"/>
              </w:tabs>
              <w:spacing w:line="360" w:lineRule="auto"/>
              <w:ind w:left="0" w:leftChars="0" w:right="1" w:firstLine="0" w:firstLineChars="0"/>
              <w:rPr>
                <w:rFonts w:ascii="宋体" w:hAnsi="宋体" w:eastAsia="宋体" w:cs="宋体"/>
                <w:color w:val="000000"/>
                <w:kern w:val="0"/>
                <w:szCs w:val="21"/>
              </w:rPr>
            </w:pPr>
            <w:r>
              <w:rPr>
                <w:rFonts w:hint="eastAsia" w:ascii="宋体" w:hAnsi="宋体" w:eastAsia="宋体" w:cs="宋体"/>
                <w:color w:val="000000"/>
                <w:kern w:val="0"/>
                <w:szCs w:val="21"/>
              </w:rPr>
              <w:t>查到合同评审表，公司综合部、</w:t>
            </w:r>
            <w:r>
              <w:rPr>
                <w:rFonts w:hint="eastAsia" w:ascii="宋体" w:hAnsi="宋体" w:eastAsia="宋体" w:cs="宋体"/>
                <w:color w:val="000000"/>
                <w:kern w:val="0"/>
                <w:szCs w:val="21"/>
                <w:lang w:val="en-US" w:eastAsia="zh-CN"/>
              </w:rPr>
              <w:t>技术</w:t>
            </w:r>
            <w:r>
              <w:rPr>
                <w:rFonts w:hint="eastAsia" w:ascii="宋体" w:hAnsi="宋体" w:eastAsia="宋体" w:cs="宋体"/>
                <w:color w:val="000000"/>
                <w:kern w:val="0"/>
                <w:szCs w:val="21"/>
              </w:rPr>
              <w:t>部等相关人员于20</w:t>
            </w:r>
            <w:r>
              <w:rPr>
                <w:rFonts w:hint="eastAsia" w:ascii="宋体" w:hAnsi="宋体" w:eastAsia="宋体" w:cs="宋体"/>
                <w:color w:val="000000"/>
                <w:kern w:val="0"/>
                <w:szCs w:val="21"/>
                <w:lang w:val="en-US" w:eastAsia="zh-CN"/>
              </w:rPr>
              <w:t>22</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01</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26</w:t>
            </w:r>
            <w:r>
              <w:rPr>
                <w:rFonts w:hint="eastAsia" w:ascii="宋体" w:hAnsi="宋体" w:eastAsia="宋体" w:cs="宋体"/>
                <w:color w:val="000000"/>
                <w:kern w:val="0"/>
                <w:szCs w:val="21"/>
              </w:rPr>
              <w:t>日评审，评审内容：技术要求、评审设计能力及交期、评审设计能力、评审验证能力、评审合同的合法、完整、明确性等方面，评审结论为：可以签订合同，评审在与客户签订合同之前进行。</w:t>
            </w:r>
          </w:p>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抽查2）签订日期202</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12</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日，</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技术服务合同</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客户：</w:t>
            </w:r>
            <w:r>
              <w:rPr>
                <w:rFonts w:hint="eastAsia" w:ascii="宋体" w:hAnsi="宋体" w:eastAsia="宋体" w:cs="宋体"/>
                <w:color w:val="000000"/>
                <w:kern w:val="0"/>
                <w:szCs w:val="21"/>
                <w:lang w:val="en-US" w:eastAsia="zh-CN"/>
              </w:rPr>
              <w:t>中国航空工业集团公司沈阳飞机设计研究所</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项目名称</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基于架构仿真的能源系统关键数据传递研究与模型开发</w:t>
            </w:r>
            <w:r>
              <w:rPr>
                <w:rFonts w:hint="eastAsia" w:ascii="宋体" w:hAnsi="宋体" w:eastAsia="宋体" w:cs="宋体"/>
                <w:color w:val="000000"/>
                <w:kern w:val="0"/>
                <w:szCs w:val="21"/>
              </w:rPr>
              <w:t>，合同约定了价格、质量技术要求、交货期限、地点、方式、包装及运费、结算方式、质保和服务等内容。</w:t>
            </w:r>
          </w:p>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查到合同评审表，公司综合部、技术部等相关人员于202</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12</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日评审，评审内容：技术要求、评审设计能力及交期、评审设计能力、评审验证能力、评审合同的合法、完整、明确性等方面，评审结论为：可以签订合同，评审在与客户签订合同之前进行。</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另外查2份合同，均是在评审后签订，设计产品包括了公司认证范围内产品。</w:t>
            </w:r>
          </w:p>
          <w:p>
            <w:pPr>
              <w:pStyle w:val="6"/>
              <w:tabs>
                <w:tab w:val="left" w:pos="902"/>
                <w:tab w:val="left" w:pos="1630"/>
                <w:tab w:val="clear" w:pos="1069"/>
                <w:tab w:val="clear" w:pos="2149"/>
              </w:tabs>
              <w:spacing w:line="360" w:lineRule="auto"/>
              <w:ind w:left="0" w:leftChars="0" w:right="1" w:rightChars="0" w:firstLine="420" w:firstLineChars="200"/>
              <w:rPr>
                <w:rFonts w:hint="eastAsia" w:ascii="楷体_GB2312" w:hAnsi="Times New Roman" w:eastAsia="楷体_GB2312" w:cs="Times New Roman"/>
                <w:kern w:val="2"/>
                <w:sz w:val="21"/>
                <w:lang w:val="en-US" w:eastAsia="zh-CN" w:bidi="ar-SA"/>
              </w:rPr>
            </w:pPr>
            <w:r>
              <w:rPr>
                <w:rFonts w:hint="eastAsia" w:ascii="宋体" w:hAnsi="宋体" w:eastAsia="宋体" w:cs="宋体"/>
                <w:color w:val="000000"/>
                <w:kern w:val="0"/>
                <w:szCs w:val="21"/>
              </w:rPr>
              <w:t>产品和服务要求的评审基本符合标准要求。</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956" w:type="dxa"/>
            <w:vAlign w:val="top"/>
          </w:tcPr>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Cs w:val="21"/>
              </w:rPr>
            </w:pPr>
          </w:p>
          <w:p>
            <w:pPr>
              <w:tabs>
                <w:tab w:val="center" w:pos="3169"/>
              </w:tabs>
              <w:spacing w:line="400" w:lineRule="exact"/>
              <w:jc w:val="left"/>
              <w:rPr>
                <w:rFonts w:hint="eastAsia" w:ascii="Times New Roman" w:hAnsi="Times New Roman" w:eastAsia="宋体" w:cs="Times New Roman"/>
              </w:rPr>
            </w:pPr>
            <w:r>
              <w:rPr>
                <w:rFonts w:hint="eastAsia" w:ascii="Times New Roman" w:hAnsi="Times New Roman" w:eastAsia="宋体" w:cs="Times New Roman"/>
              </w:rPr>
              <w:t>外部提供的过程、产品和服务的控制</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Cs w:val="21"/>
              </w:rPr>
            </w:pP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Cs w:val="21"/>
                <w:lang w:val="en-US" w:eastAsia="zh-CN"/>
              </w:rPr>
            </w:pPr>
          </w:p>
        </w:tc>
        <w:tc>
          <w:tcPr>
            <w:tcW w:w="1164" w:type="dxa"/>
            <w:vAlign w:val="top"/>
          </w:tcPr>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Cs w:val="21"/>
              </w:rPr>
            </w:pPr>
          </w:p>
          <w:p>
            <w:pPr>
              <w:tabs>
                <w:tab w:val="center" w:pos="3169"/>
              </w:tabs>
              <w:spacing w:line="400" w:lineRule="exact"/>
              <w:jc w:val="left"/>
              <w:rPr>
                <w:rFonts w:hint="eastAsia" w:ascii="Times New Roman" w:hAnsi="Times New Roman" w:eastAsia="宋体" w:cs="Times New Roman"/>
              </w:rPr>
            </w:pPr>
            <w:r>
              <w:rPr>
                <w:rFonts w:hint="eastAsia" w:ascii="Times New Roman" w:hAnsi="Times New Roman" w:eastAsia="宋体" w:cs="Times New Roman"/>
                <w:lang w:val="en-US" w:eastAsia="zh-CN"/>
              </w:rPr>
              <w:t>Q：8.4</w:t>
            </w:r>
            <w:r>
              <w:rPr>
                <w:rFonts w:hint="eastAsia" w:ascii="Times New Roman" w:hAnsi="Times New Roman" w:eastAsia="宋体" w:cs="Times New Roman"/>
              </w:rPr>
              <w:t xml:space="preserve"> </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Cs w:val="21"/>
              </w:rPr>
            </w:pP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Cs w:val="21"/>
                <w:lang w:val="en-US" w:eastAsia="zh-CN"/>
              </w:rPr>
            </w:pPr>
          </w:p>
        </w:tc>
        <w:tc>
          <w:tcPr>
            <w:tcW w:w="11012" w:type="dxa"/>
            <w:vAlign w:val="center"/>
          </w:tcPr>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企</w:t>
            </w:r>
            <w:r>
              <w:rPr>
                <w:rFonts w:hint="eastAsia" w:ascii="宋体" w:hAnsi="宋体" w:eastAsia="宋体" w:cs="宋体"/>
                <w:color w:val="000000"/>
                <w:kern w:val="0"/>
                <w:szCs w:val="21"/>
                <w:lang w:val="en-US" w:eastAsia="zh-CN"/>
              </w:rPr>
              <w:t>业对产品进行设计开发，产品外包制作。原材料、零部件由公司采购。执行《外部提供过程产品服务控制程序》，职责负责对采购物资的控制和管理；负责对采购程序的监督，采购人员负责采购任务的实施。</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提供了《合格供方评价标准》，评价内容包含管理体系、质量安全环境要求、交货期、人员、设备、现场、生产能力、资质、价格、服务等，分数比例5-10分不等，各分项有相应的评分标准。并有相应的得分与供方级别说明。</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提供了《合格供方名录》，有昆山国力源通新能源科技有限公司、西安爱科赛博电气股份有限公司、陕西威迈仪器设备有限公司、西安科兴众诚智能技术有限公司等合格供方，有供方名称，供应产品、列入日期、联系人、联系电话、供方详细地址等信息。</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查见《合格供方评价记录》，通过管理体系、产品质量、交货期、价格、资质、信誉、服务等方面经打分评价，评价结果：合格。日期：2022年01月12日。</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企业在对供方进行选择和评价时，收集了企业的相关产品的说明书、合格证等，对于供方的相关资质，应保持更新，与负责人进行了沟通。</w:t>
            </w:r>
          </w:p>
          <w:p>
            <w:pPr>
              <w:pStyle w:val="6"/>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抽查1）、采购合同，编号：20220622  《产品销售合同》，供方：昆山国力源通新能源科技有限公司   产品名称：直流接触器</w:t>
            </w:r>
          </w:p>
          <w:p>
            <w:pPr>
              <w:pStyle w:val="6"/>
              <w:tabs>
                <w:tab w:val="left" w:pos="902"/>
                <w:tab w:val="left" w:pos="1630"/>
                <w:tab w:val="clear" w:pos="1069"/>
                <w:tab w:val="clear" w:pos="2149"/>
              </w:tabs>
              <w:spacing w:line="360" w:lineRule="auto"/>
              <w:ind w:left="0" w:leftChars="0" w:right="1" w:firstLine="420" w:firstLineChars="20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经，查验产品外观、数量、合格证，合格使用。</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抽查2）、采购合同，2022.6.15签订 《工业品买卖合同》，供方：西安爱科赛博电气股份有限公司  产品名称：可编程交流电源、爱克赛博双向高带宽可编程交流电源控制控制软件V1.0，经，查验证软件运行良好、满足使用要求。</w:t>
            </w:r>
          </w:p>
          <w:p>
            <w:pPr>
              <w:pStyle w:val="6"/>
              <w:tabs>
                <w:tab w:val="left" w:pos="902"/>
                <w:tab w:val="left" w:pos="1630"/>
                <w:tab w:val="clear" w:pos="1069"/>
                <w:tab w:val="clear" w:pos="2149"/>
              </w:tabs>
              <w:spacing w:line="360" w:lineRule="auto"/>
              <w:ind w:left="0" w:leftChars="0" w:right="1" w:firstLine="420" w:firstLineChars="200"/>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抽查3）采购合同，2022年6月14日，编号：DQ-2022-082X  《产品购销合同》，供方：西安德乔电子科技有限公司。</w:t>
            </w:r>
          </w:p>
          <w:p>
            <w:pPr>
              <w:pStyle w:val="6"/>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产品名称：机箱、继电器模块、控制器、多功能采集卡等。</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经，查验产品外观、数量、合格证，合格使用。</w:t>
            </w:r>
          </w:p>
          <w:p>
            <w:pPr>
              <w:pStyle w:val="6"/>
              <w:tabs>
                <w:tab w:val="left" w:pos="902"/>
                <w:tab w:val="left" w:pos="1630"/>
                <w:tab w:val="clear" w:pos="1069"/>
                <w:tab w:val="clear" w:pos="2149"/>
              </w:tabs>
              <w:spacing w:line="360" w:lineRule="auto"/>
              <w:ind w:left="0" w:leftChars="0" w:right="1" w:firstLine="420" w:firstLineChars="200"/>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抽查4）采购合同，编号：XAFH20220519-088  《购销合同》供方：BST26211-02、BSTA1149芯片等</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经，查验产品外观、数量、合格证，合格使用。</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采购合同均在审批后后签订，设计产品包括了公司认证范围内产品。</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产品和服务要求的评审基本符合标准要求。</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956" w:type="dxa"/>
            <w:vAlign w:val="top"/>
          </w:tcPr>
          <w:p>
            <w:pPr>
              <w:pStyle w:val="3"/>
              <w:rPr>
                <w:rFonts w:ascii="宋体" w:hAnsi="宋体" w:cs="宋体"/>
                <w:b w:val="0"/>
                <w:bCs w:val="0"/>
                <w:sz w:val="21"/>
                <w:szCs w:val="21"/>
                <w:lang w:bidi="ar"/>
              </w:rPr>
            </w:pPr>
          </w:p>
          <w:p>
            <w:pPr>
              <w:pStyle w:val="4"/>
              <w:rPr>
                <w:lang w:bidi="ar"/>
              </w:rPr>
            </w:pPr>
          </w:p>
          <w:p>
            <w:pPr>
              <w:pStyle w:val="3"/>
              <w:rPr>
                <w:rFonts w:hint="eastAsia" w:ascii="宋体" w:hAnsi="宋体" w:eastAsia="宋体" w:cs="宋体"/>
                <w:b w:val="0"/>
                <w:bCs w:val="0"/>
                <w:kern w:val="2"/>
                <w:sz w:val="21"/>
                <w:szCs w:val="21"/>
                <w:lang w:val="en-US" w:eastAsia="zh-CN" w:bidi="ar"/>
              </w:rPr>
            </w:pPr>
            <w:r>
              <w:rPr>
                <w:rFonts w:hint="eastAsia" w:ascii="宋体" w:hAnsi="宋体" w:cs="宋体"/>
                <w:b w:val="0"/>
                <w:bCs w:val="0"/>
                <w:sz w:val="21"/>
                <w:szCs w:val="21"/>
                <w:lang w:bidi="ar"/>
              </w:rPr>
              <w:t>顾客满意</w:t>
            </w:r>
          </w:p>
        </w:tc>
        <w:tc>
          <w:tcPr>
            <w:tcW w:w="1164" w:type="dxa"/>
            <w:vAlign w:val="top"/>
          </w:tcPr>
          <w:p>
            <w:pPr>
              <w:pStyle w:val="4"/>
              <w:spacing w:line="360" w:lineRule="auto"/>
              <w:ind w:left="0"/>
              <w:rPr>
                <w:rFonts w:hint="eastAsia" w:ascii="宋体" w:hAnsi="宋体" w:cs="新宋体"/>
                <w:szCs w:val="21"/>
              </w:rPr>
            </w:pPr>
          </w:p>
          <w:p>
            <w:pPr>
              <w:pStyle w:val="4"/>
              <w:spacing w:line="360" w:lineRule="auto"/>
              <w:ind w:left="0"/>
              <w:rPr>
                <w:rFonts w:ascii="宋体" w:hAnsi="宋体" w:cs="新宋体"/>
                <w:szCs w:val="21"/>
              </w:rPr>
            </w:pPr>
            <w:r>
              <w:rPr>
                <w:rFonts w:hint="eastAsia" w:ascii="宋体" w:hAnsi="宋体" w:cs="新宋体"/>
                <w:szCs w:val="21"/>
                <w:lang w:val="en-US" w:eastAsia="zh-CN"/>
              </w:rPr>
              <w:t>Q</w:t>
            </w:r>
            <w:r>
              <w:rPr>
                <w:rFonts w:hint="eastAsia" w:ascii="宋体" w:hAnsi="宋体" w:cs="新宋体"/>
                <w:szCs w:val="21"/>
              </w:rPr>
              <w:t>9.1.2</w:t>
            </w:r>
          </w:p>
          <w:p>
            <w:pPr>
              <w:pStyle w:val="4"/>
              <w:spacing w:line="360" w:lineRule="auto"/>
              <w:ind w:left="0" w:leftChars="0"/>
              <w:rPr>
                <w:rFonts w:hint="eastAsia" w:ascii="宋体" w:hAnsi="宋体" w:eastAsia="宋体" w:cs="新宋体"/>
                <w:kern w:val="0"/>
                <w:sz w:val="21"/>
                <w:szCs w:val="21"/>
                <w:lang w:val="en-US" w:eastAsia="zh-CN" w:bidi="ar-SA"/>
              </w:rPr>
            </w:pPr>
          </w:p>
        </w:tc>
        <w:tc>
          <w:tcPr>
            <w:tcW w:w="11012" w:type="dxa"/>
            <w:vAlign w:val="top"/>
          </w:tcPr>
          <w:p>
            <w:pPr>
              <w:pStyle w:val="4"/>
              <w:spacing w:line="360" w:lineRule="auto"/>
              <w:ind w:left="0" w:firstLine="420" w:firstLineChars="200"/>
              <w:rPr>
                <w:rFonts w:ascii="宋体" w:hAnsi="宋体" w:cs="新宋体"/>
                <w:szCs w:val="21"/>
              </w:rPr>
            </w:pPr>
            <w:r>
              <w:rPr>
                <w:rFonts w:hint="eastAsia" w:ascii="宋体" w:hAnsi="宋体" w:cs="新宋体"/>
                <w:szCs w:val="21"/>
              </w:rPr>
              <w:t>针对公司顾客采取不定期顾客回访的办法，了解顾客需求、采购意向，每次跟踪订单等方式进行满意度调查，查见202</w:t>
            </w:r>
            <w:r>
              <w:rPr>
                <w:rFonts w:hint="eastAsia" w:ascii="宋体" w:hAnsi="宋体" w:cs="新宋体"/>
                <w:szCs w:val="21"/>
                <w:lang w:val="en-US" w:eastAsia="zh-CN"/>
              </w:rPr>
              <w:t>2年4月，</w:t>
            </w:r>
            <w:bookmarkStart w:id="1" w:name="_GoBack"/>
            <w:bookmarkEnd w:id="1"/>
            <w:r>
              <w:rPr>
                <w:rFonts w:hint="eastAsia" w:ascii="宋体" w:hAnsi="宋体" w:cs="新宋体"/>
                <w:szCs w:val="21"/>
              </w:rPr>
              <w:t>对主要客户的《顾客满意度调查表》2份，调查项目包括：质量、价格、交货期、服务等方面，分为：很满意、满意、一般、不满意等4个级别。</w:t>
            </w:r>
          </w:p>
          <w:p>
            <w:pPr>
              <w:pStyle w:val="4"/>
              <w:spacing w:line="360" w:lineRule="auto"/>
              <w:ind w:left="0" w:firstLine="420" w:firstLineChars="200"/>
              <w:rPr>
                <w:rFonts w:ascii="宋体" w:hAnsi="宋体" w:cs="新宋体"/>
                <w:szCs w:val="21"/>
              </w:rPr>
            </w:pPr>
            <w:r>
              <w:rPr>
                <w:rFonts w:hint="eastAsia" w:ascii="宋体" w:hAnsi="宋体" w:cs="新宋体"/>
                <w:szCs w:val="21"/>
              </w:rPr>
              <w:t>调查之后进行了顾客满意情况分析，总体满意度9</w:t>
            </w:r>
            <w:r>
              <w:rPr>
                <w:rFonts w:hint="eastAsia" w:ascii="宋体" w:hAnsi="宋体" w:cs="新宋体"/>
                <w:szCs w:val="21"/>
                <w:lang w:val="en-US" w:eastAsia="zh-CN"/>
              </w:rPr>
              <w:t>8</w:t>
            </w:r>
            <w:r>
              <w:rPr>
                <w:rFonts w:hint="eastAsia" w:ascii="宋体" w:hAnsi="宋体" w:cs="新宋体"/>
                <w:szCs w:val="21"/>
              </w:rPr>
              <w:t>%，达到了目标要求，但调查程度肤浅、调查方式单一、调查比例较小，收集的信息进行简单利用，交流进一步改进。</w:t>
            </w:r>
          </w:p>
          <w:p>
            <w:pPr>
              <w:pStyle w:val="4"/>
              <w:spacing w:line="360" w:lineRule="auto"/>
              <w:ind w:left="0"/>
              <w:rPr>
                <w:rFonts w:ascii="宋体" w:hAnsi="宋体" w:cs="新宋体"/>
                <w:szCs w:val="21"/>
              </w:rPr>
            </w:pPr>
            <w:r>
              <w:rPr>
                <w:rFonts w:hint="eastAsia" w:ascii="宋体" w:hAnsi="宋体" w:cs="新宋体"/>
                <w:szCs w:val="21"/>
              </w:rPr>
              <w:t xml:space="preserve">    对于顾客日常有关信息反馈及时进行了处理，由于只是小问题都已及时解决，没有形成记录，现场审核时已交流进一步改进，尽量保持记录。</w:t>
            </w:r>
          </w:p>
          <w:p>
            <w:pPr>
              <w:pStyle w:val="4"/>
              <w:spacing w:line="360" w:lineRule="auto"/>
              <w:ind w:left="0" w:leftChars="0"/>
              <w:rPr>
                <w:rFonts w:hint="eastAsia" w:ascii="宋体" w:hAnsi="宋体" w:eastAsia="宋体" w:cs="新宋体"/>
                <w:kern w:val="0"/>
                <w:sz w:val="21"/>
                <w:szCs w:val="21"/>
                <w:lang w:val="en-US" w:eastAsia="zh-CN" w:bidi="ar-SA"/>
              </w:rPr>
            </w:pPr>
            <w:r>
              <w:rPr>
                <w:rFonts w:hint="eastAsia" w:ascii="宋体" w:hAnsi="宋体" w:cs="新宋体"/>
                <w:szCs w:val="21"/>
              </w:rPr>
              <w:t xml:space="preserve">    部门介绍至今没有发生顾客投诉，现在现场审核时也未发现顾客投诉的情形或相关资料。</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956"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cs="Arial"/>
                <w:sz w:val="21"/>
                <w:szCs w:val="21"/>
              </w:rPr>
              <w:t>分析与评价</w:t>
            </w:r>
          </w:p>
        </w:tc>
        <w:tc>
          <w:tcPr>
            <w:tcW w:w="1164"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Q9.1.</w:t>
            </w:r>
            <w:r>
              <w:rPr>
                <w:rFonts w:hint="eastAsia" w:ascii="宋体" w:hAnsi="宋体" w:eastAsia="宋体" w:cs="宋体"/>
                <w:szCs w:val="21"/>
                <w:lang w:val="en-US" w:eastAsia="zh-CN"/>
              </w:rPr>
              <w:t>3</w:t>
            </w:r>
          </w:p>
        </w:tc>
        <w:tc>
          <w:tcPr>
            <w:tcW w:w="11012" w:type="dxa"/>
            <w:vAlign w:val="center"/>
          </w:tcPr>
          <w:p>
            <w:pPr>
              <w:keepNext w:val="0"/>
              <w:keepLines w:val="0"/>
              <w:suppressLineNumbers w:val="0"/>
              <w:spacing w:before="0" w:beforeAutospacing="0" w:after="0" w:afterAutospacing="0" w:line="360" w:lineRule="auto"/>
              <w:ind w:left="0" w:right="0" w:firstLine="420" w:firstLineChars="200"/>
              <w:rPr>
                <w:rFonts w:hint="eastAsia" w:ascii="宋体" w:hAnsi="宋体"/>
                <w:sz w:val="21"/>
                <w:szCs w:val="21"/>
              </w:rPr>
            </w:pPr>
            <w:r>
              <w:rPr>
                <w:rFonts w:hint="eastAsia" w:ascii="宋体" w:hAnsi="宋体"/>
                <w:sz w:val="21"/>
                <w:szCs w:val="21"/>
              </w:rPr>
              <w:t>经查：部门根据监视和测量获得的数据和信息，组织相关部门进行了分析评价。包括：对公司及各部门质量目标完成情见进行分析，确定</w:t>
            </w:r>
            <w:r>
              <w:rPr>
                <w:rFonts w:hint="eastAsia" w:ascii="宋体" w:hAnsi="宋体"/>
                <w:sz w:val="21"/>
                <w:szCs w:val="21"/>
                <w:lang w:val="en-US" w:eastAsia="zh-CN"/>
              </w:rPr>
              <w:t>管理</w:t>
            </w:r>
            <w:r>
              <w:rPr>
                <w:rFonts w:hint="eastAsia" w:ascii="宋体" w:hAnsi="宋体"/>
                <w:sz w:val="21"/>
                <w:szCs w:val="21"/>
              </w:rPr>
              <w:t>体系运行状况（见管理评审输入）；对顾客满意有关的信息进行了分析，以确定顾客满意程度；</w:t>
            </w:r>
          </w:p>
          <w:p>
            <w:pPr>
              <w:keepNext w:val="0"/>
              <w:keepLines w:val="0"/>
              <w:suppressLineNumbers w:val="0"/>
              <w:spacing w:before="0" w:beforeAutospacing="0" w:after="0" w:afterAutospacing="0" w:line="360" w:lineRule="auto"/>
              <w:ind w:left="0" w:right="0" w:firstLine="420" w:firstLineChars="200"/>
              <w:rPr>
                <w:rFonts w:hint="eastAsia" w:ascii="宋体" w:hAnsi="宋体"/>
                <w:sz w:val="21"/>
                <w:szCs w:val="21"/>
              </w:rPr>
            </w:pPr>
            <w:r>
              <w:rPr>
                <w:rFonts w:hint="eastAsia" w:ascii="宋体" w:hAnsi="宋体"/>
                <w:sz w:val="21"/>
                <w:szCs w:val="21"/>
              </w:rPr>
              <w:t>对内部审核的有关信息和应对风险措施的有效性进行分析，以确定</w:t>
            </w:r>
            <w:r>
              <w:rPr>
                <w:rFonts w:hint="eastAsia" w:ascii="宋体" w:hAnsi="宋体"/>
                <w:sz w:val="21"/>
                <w:szCs w:val="21"/>
                <w:lang w:val="en-US" w:eastAsia="zh-CN"/>
              </w:rPr>
              <w:t>管理</w:t>
            </w:r>
            <w:r>
              <w:rPr>
                <w:rFonts w:hint="eastAsia" w:ascii="宋体" w:hAnsi="宋体"/>
                <w:sz w:val="21"/>
                <w:szCs w:val="21"/>
              </w:rPr>
              <w:t>管理体系的有效性。</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sz w:val="21"/>
                <w:szCs w:val="21"/>
              </w:rPr>
              <w:t>部门在汇总以上分析结果的基础上，分析针对风险和机遇所采取措施的有效性，积极寻找</w:t>
            </w:r>
            <w:r>
              <w:rPr>
                <w:rFonts w:hint="eastAsia" w:ascii="宋体" w:hAnsi="宋体"/>
                <w:sz w:val="21"/>
                <w:szCs w:val="21"/>
                <w:lang w:val="en-US" w:eastAsia="zh-CN"/>
              </w:rPr>
              <w:t>管理</w:t>
            </w:r>
            <w:r>
              <w:rPr>
                <w:rFonts w:hint="eastAsia" w:ascii="宋体" w:hAnsi="宋体"/>
                <w:sz w:val="21"/>
                <w:szCs w:val="21"/>
              </w:rPr>
              <w:t>管理体系持续改进的机会，通过管理评审会议的改进决策进行</w:t>
            </w:r>
            <w:r>
              <w:rPr>
                <w:rFonts w:hint="eastAsia" w:ascii="宋体" w:hAnsi="宋体"/>
                <w:sz w:val="21"/>
                <w:szCs w:val="21"/>
                <w:lang w:val="en-US" w:eastAsia="zh-CN"/>
              </w:rPr>
              <w:t>管理</w:t>
            </w:r>
            <w:r>
              <w:rPr>
                <w:rFonts w:hint="eastAsia" w:ascii="宋体" w:hAnsi="宋体"/>
                <w:sz w:val="21"/>
                <w:szCs w:val="21"/>
              </w:rPr>
              <w:t>管理体系的持续改进。</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956" w:type="dxa"/>
            <w:vAlign w:val="center"/>
          </w:tcPr>
          <w:p>
            <w:pPr>
              <w:spacing w:line="360" w:lineRule="auto"/>
              <w:rPr>
                <w:rFonts w:ascii="宋体" w:hAnsi="宋体" w:cs="宋体"/>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rPr>
              <w:t>不合格和纠正措施</w:t>
            </w:r>
          </w:p>
        </w:tc>
        <w:tc>
          <w:tcPr>
            <w:tcW w:w="1164" w:type="dxa"/>
            <w:vAlign w:val="center"/>
          </w:tcPr>
          <w:p>
            <w:pPr>
              <w:spacing w:line="360" w:lineRule="auto"/>
              <w:rPr>
                <w:rFonts w:ascii="宋体" w:hAnsi="宋体" w:cs="宋体"/>
                <w:szCs w:val="21"/>
              </w:rPr>
            </w:pPr>
          </w:p>
          <w:p>
            <w:pPr>
              <w:spacing w:line="360" w:lineRule="auto"/>
              <w:jc w:val="center"/>
              <w:rPr>
                <w:rFonts w:ascii="宋体" w:hAnsi="宋体" w:cs="宋体"/>
                <w:szCs w:val="21"/>
              </w:rPr>
            </w:pPr>
          </w:p>
          <w:p>
            <w:pPr>
              <w:spacing w:line="360" w:lineRule="auto"/>
              <w:jc w:val="center"/>
              <w:rPr>
                <w:rFonts w:hAnsi="宋体" w:cs="Arial"/>
                <w:szCs w:val="21"/>
              </w:rPr>
            </w:pPr>
            <w:r>
              <w:rPr>
                <w:rFonts w:hint="eastAsia" w:ascii="宋体" w:hAnsi="宋体" w:cs="宋体"/>
                <w:szCs w:val="21"/>
              </w:rPr>
              <w:t>Q：10.2</w:t>
            </w:r>
          </w:p>
          <w:p>
            <w:pPr>
              <w:spacing w:line="360" w:lineRule="auto"/>
              <w:jc w:val="center"/>
              <w:rPr>
                <w:rFonts w:hint="eastAsia" w:ascii="宋体" w:hAnsi="宋体" w:eastAsia="宋体" w:cs="Arial"/>
                <w:spacing w:val="-6"/>
                <w:kern w:val="2"/>
                <w:sz w:val="21"/>
                <w:szCs w:val="21"/>
                <w:lang w:val="en-US" w:eastAsia="zh-CN" w:bidi="ar-SA"/>
              </w:rPr>
            </w:pPr>
          </w:p>
        </w:tc>
        <w:tc>
          <w:tcPr>
            <w:tcW w:w="11012" w:type="dxa"/>
            <w:vAlign w:val="top"/>
          </w:tcPr>
          <w:p>
            <w:pPr>
              <w:spacing w:line="360" w:lineRule="auto"/>
              <w:ind w:firstLine="420" w:firstLineChars="200"/>
              <w:rPr>
                <w:rFonts w:ascii="宋体" w:hAnsi="宋体" w:cs="宋体"/>
                <w:szCs w:val="21"/>
              </w:rPr>
            </w:pPr>
            <w:r>
              <w:rPr>
                <w:rFonts w:hint="eastAsia" w:ascii="宋体" w:hAnsi="宋体" w:cs="宋体"/>
                <w:szCs w:val="21"/>
              </w:rPr>
              <w:t>实施《</w:t>
            </w:r>
            <w:r>
              <w:rPr>
                <w:rFonts w:hint="eastAsia" w:ascii="宋体" w:hAnsi="宋体"/>
                <w:szCs w:val="21"/>
              </w:rPr>
              <w:t>纠正措施和预防措施控制程序</w:t>
            </w:r>
            <w:r>
              <w:rPr>
                <w:rFonts w:hint="eastAsia" w:ascii="宋体" w:hAnsi="宋体" w:cs="宋体"/>
                <w:szCs w:val="21"/>
              </w:rPr>
              <w:t xml:space="preserve">》，对纠正预防措施识别、评审、验证等作了规定，其内容符合组织实际及标准要求。 </w:t>
            </w:r>
          </w:p>
          <w:p>
            <w:pPr>
              <w:spacing w:line="360" w:lineRule="auto"/>
              <w:rPr>
                <w:rFonts w:ascii="宋体" w:hAnsi="宋体" w:cs="宋体"/>
                <w:szCs w:val="21"/>
              </w:rPr>
            </w:pPr>
            <w:r>
              <w:rPr>
                <w:rFonts w:hint="eastAsia" w:ascii="宋体" w:hAnsi="宋体" w:cs="宋体"/>
                <w:szCs w:val="21"/>
              </w:rPr>
              <w:t xml:space="preserve">    对内审中提出不合格项进行了原因分析,并制定、实施了纠正措施，并由内审员对所采取的纠正措施进行了验证，纠正措施有效，管理评审中发现的薄弱环节，分析了原因，采取了纠正措施。</w:t>
            </w:r>
          </w:p>
          <w:p>
            <w:pPr>
              <w:spacing w:line="360" w:lineRule="auto"/>
              <w:ind w:firstLine="420" w:firstLineChars="200"/>
              <w:rPr>
                <w:rFonts w:ascii="宋体" w:hAnsi="宋体" w:cs="宋体"/>
                <w:szCs w:val="21"/>
              </w:rPr>
            </w:pPr>
            <w:r>
              <w:rPr>
                <w:rFonts w:hint="eastAsia" w:ascii="宋体" w:hAnsi="宋体" w:cs="宋体"/>
                <w:szCs w:val="21"/>
              </w:rPr>
              <w:t>体系运行以来公司按照体系的要求，通过运行控制、加强培训，以及开展管理评审活动等方式采取预防措施，防止不符合/不合格的发生，不符合得到了有效控制，人员质量意识有了明显提高，没有发现潜在的不符合，没有发生重大质量事故和投诉处罚。</w:t>
            </w:r>
          </w:p>
          <w:p>
            <w:pPr>
              <w:tabs>
                <w:tab w:val="left" w:pos="6597"/>
              </w:tabs>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企业纠正和预防措施的管理符合标准规定要求。</w:t>
            </w:r>
          </w:p>
        </w:tc>
        <w:tc>
          <w:tcPr>
            <w:tcW w:w="577" w:type="dxa"/>
          </w:tcPr>
          <w:p>
            <w:pPr>
              <w:rPr>
                <w:color w:val="000000" w:themeColor="text1"/>
              </w:rPr>
            </w:pPr>
          </w:p>
        </w:tc>
      </w:tr>
    </w:tbl>
    <w:p/>
    <w:p>
      <w:pPr>
        <w:pStyle w:val="10"/>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0" locked="0" layoutInCell="1" allowOverlap="1">
          <wp:simplePos x="0" y="0"/>
          <wp:positionH relativeFrom="column">
            <wp:posOffset>-38100</wp:posOffset>
          </wp:positionH>
          <wp:positionV relativeFrom="paragraph">
            <wp:posOffset>-108585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1"/>
      <w:pBdr>
        <w:bottom w:val="none" w:color="auto" w:sz="0" w:space="1"/>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sz w:val="18"/>
                    <w:szCs w:val="18"/>
                  </w:rPr>
                </w:pPr>
                <w:r>
                  <w:rPr>
                    <w:rFonts w:hint="eastAsia"/>
                    <w:sz w:val="18"/>
                    <w:szCs w:val="18"/>
                  </w:rPr>
                  <w:t>ISC-B-II-12(05版）</w:t>
                </w:r>
              </w:p>
              <w:p/>
            </w:txbxContent>
          </v:textbox>
        </v:shape>
      </w:pict>
    </w:r>
    <w:r>
      <w:rPr>
        <w:rStyle w:val="21"/>
        <w:rFonts w:hint="default"/>
      </w:rPr>
      <w:t xml:space="preserve">        </w:t>
    </w:r>
    <w:r>
      <w:rPr>
        <w:rStyle w:val="21"/>
        <w:rFonts w:hint="default"/>
        <w:w w:val="90"/>
      </w:rPr>
      <w:t>Beijing International Standard united Certification Co.,Ltd.</w:t>
    </w:r>
    <w:r>
      <w:rPr>
        <w:rStyle w:val="21"/>
        <w:rFonts w:hint="default"/>
        <w:w w:val="90"/>
        <w:szCs w:val="21"/>
      </w:rPr>
      <w:t xml:space="preserve">  </w:t>
    </w:r>
    <w:r>
      <w:rPr>
        <w:rStyle w:val="21"/>
        <w:rFonts w:hint="default"/>
        <w:w w:val="90"/>
        <w:sz w:val="20"/>
      </w:rPr>
      <w:t xml:space="preserve"> </w:t>
    </w:r>
    <w:r>
      <w:rPr>
        <w:rStyle w:val="21"/>
        <w:rFonts w:hint="default"/>
        <w:w w:val="90"/>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none"/>
      <w:pStyle w:val="22"/>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JhN2U4Y2Q5MGE2Mzc1MDlkNDVmNzZkYmRlMTYyYjcifQ=="/>
  </w:docVars>
  <w:rsids>
    <w:rsidRoot w:val="009973B4"/>
    <w:rsid w:val="000237F6"/>
    <w:rsid w:val="0003373A"/>
    <w:rsid w:val="0003667D"/>
    <w:rsid w:val="00054090"/>
    <w:rsid w:val="00066CCD"/>
    <w:rsid w:val="0006752B"/>
    <w:rsid w:val="0008247D"/>
    <w:rsid w:val="0009030B"/>
    <w:rsid w:val="000B26CB"/>
    <w:rsid w:val="000C3C5E"/>
    <w:rsid w:val="000C5E28"/>
    <w:rsid w:val="00163C22"/>
    <w:rsid w:val="00171D5D"/>
    <w:rsid w:val="001A1CC9"/>
    <w:rsid w:val="001A2D7F"/>
    <w:rsid w:val="001B02F3"/>
    <w:rsid w:val="001E02F7"/>
    <w:rsid w:val="001E6908"/>
    <w:rsid w:val="00216381"/>
    <w:rsid w:val="0022483E"/>
    <w:rsid w:val="00234E37"/>
    <w:rsid w:val="00245DDD"/>
    <w:rsid w:val="00253017"/>
    <w:rsid w:val="002818E5"/>
    <w:rsid w:val="002A5962"/>
    <w:rsid w:val="002D4958"/>
    <w:rsid w:val="00337922"/>
    <w:rsid w:val="00340867"/>
    <w:rsid w:val="00380837"/>
    <w:rsid w:val="003A198A"/>
    <w:rsid w:val="003D516B"/>
    <w:rsid w:val="00410914"/>
    <w:rsid w:val="0044200C"/>
    <w:rsid w:val="004620E9"/>
    <w:rsid w:val="0047492E"/>
    <w:rsid w:val="004C497F"/>
    <w:rsid w:val="004E2216"/>
    <w:rsid w:val="004E4244"/>
    <w:rsid w:val="00536930"/>
    <w:rsid w:val="0054256A"/>
    <w:rsid w:val="00554A9A"/>
    <w:rsid w:val="00564E53"/>
    <w:rsid w:val="0056703D"/>
    <w:rsid w:val="0057481F"/>
    <w:rsid w:val="005768D3"/>
    <w:rsid w:val="005879D0"/>
    <w:rsid w:val="005D3A7C"/>
    <w:rsid w:val="005D5220"/>
    <w:rsid w:val="00616930"/>
    <w:rsid w:val="006250AD"/>
    <w:rsid w:val="00644FE2"/>
    <w:rsid w:val="00655B94"/>
    <w:rsid w:val="0066295B"/>
    <w:rsid w:val="0067640C"/>
    <w:rsid w:val="006915E5"/>
    <w:rsid w:val="006D5C37"/>
    <w:rsid w:val="006E678B"/>
    <w:rsid w:val="00726A4E"/>
    <w:rsid w:val="00774C81"/>
    <w:rsid w:val="007757F3"/>
    <w:rsid w:val="00776B1A"/>
    <w:rsid w:val="0079339C"/>
    <w:rsid w:val="00795E2F"/>
    <w:rsid w:val="007E45B3"/>
    <w:rsid w:val="007E6978"/>
    <w:rsid w:val="007E6AEB"/>
    <w:rsid w:val="007F1126"/>
    <w:rsid w:val="00882229"/>
    <w:rsid w:val="008973EE"/>
    <w:rsid w:val="008A3602"/>
    <w:rsid w:val="008F1A1E"/>
    <w:rsid w:val="00903BE7"/>
    <w:rsid w:val="0094367B"/>
    <w:rsid w:val="00945ED8"/>
    <w:rsid w:val="00946BAE"/>
    <w:rsid w:val="009506BF"/>
    <w:rsid w:val="00953EFA"/>
    <w:rsid w:val="00971600"/>
    <w:rsid w:val="009973B4"/>
    <w:rsid w:val="009C28C1"/>
    <w:rsid w:val="009D7B1E"/>
    <w:rsid w:val="009E184F"/>
    <w:rsid w:val="009F7EED"/>
    <w:rsid w:val="00A11C2B"/>
    <w:rsid w:val="00A26791"/>
    <w:rsid w:val="00A955F8"/>
    <w:rsid w:val="00AF0AAB"/>
    <w:rsid w:val="00B11714"/>
    <w:rsid w:val="00B56173"/>
    <w:rsid w:val="00B82BDA"/>
    <w:rsid w:val="00BE0DAB"/>
    <w:rsid w:val="00BF597E"/>
    <w:rsid w:val="00C03263"/>
    <w:rsid w:val="00C16242"/>
    <w:rsid w:val="00C46D08"/>
    <w:rsid w:val="00C51A36"/>
    <w:rsid w:val="00C55228"/>
    <w:rsid w:val="00C82D4A"/>
    <w:rsid w:val="00C96CCE"/>
    <w:rsid w:val="00CB7E78"/>
    <w:rsid w:val="00CE315A"/>
    <w:rsid w:val="00D06F59"/>
    <w:rsid w:val="00D47359"/>
    <w:rsid w:val="00D75672"/>
    <w:rsid w:val="00D8388C"/>
    <w:rsid w:val="00E21F51"/>
    <w:rsid w:val="00E60E9D"/>
    <w:rsid w:val="00E71F28"/>
    <w:rsid w:val="00EA065D"/>
    <w:rsid w:val="00EB0164"/>
    <w:rsid w:val="00ED0F62"/>
    <w:rsid w:val="00ED5D35"/>
    <w:rsid w:val="00EE1254"/>
    <w:rsid w:val="00F45872"/>
    <w:rsid w:val="00F66BA2"/>
    <w:rsid w:val="00F82154"/>
    <w:rsid w:val="00F90AA2"/>
    <w:rsid w:val="01237055"/>
    <w:rsid w:val="014321E6"/>
    <w:rsid w:val="02602D37"/>
    <w:rsid w:val="02EC0344"/>
    <w:rsid w:val="031C06B3"/>
    <w:rsid w:val="036A70FE"/>
    <w:rsid w:val="03F04342"/>
    <w:rsid w:val="043A2F29"/>
    <w:rsid w:val="055A79E5"/>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E4201EE"/>
    <w:rsid w:val="0E9D1693"/>
    <w:rsid w:val="0EB50B3B"/>
    <w:rsid w:val="0F477E75"/>
    <w:rsid w:val="0F635936"/>
    <w:rsid w:val="0FE43FBC"/>
    <w:rsid w:val="0FEF77FA"/>
    <w:rsid w:val="107550D5"/>
    <w:rsid w:val="108219C2"/>
    <w:rsid w:val="10883E8A"/>
    <w:rsid w:val="110B0911"/>
    <w:rsid w:val="11225C23"/>
    <w:rsid w:val="113D55B8"/>
    <w:rsid w:val="11C66B5E"/>
    <w:rsid w:val="11D41D45"/>
    <w:rsid w:val="120E53B5"/>
    <w:rsid w:val="123034E8"/>
    <w:rsid w:val="127575BD"/>
    <w:rsid w:val="12780633"/>
    <w:rsid w:val="130B599F"/>
    <w:rsid w:val="142C5ADC"/>
    <w:rsid w:val="143D632D"/>
    <w:rsid w:val="143D7BB1"/>
    <w:rsid w:val="14890295"/>
    <w:rsid w:val="153717A5"/>
    <w:rsid w:val="156D05A1"/>
    <w:rsid w:val="15774AEE"/>
    <w:rsid w:val="157D5558"/>
    <w:rsid w:val="15B23614"/>
    <w:rsid w:val="15D30DE7"/>
    <w:rsid w:val="16440ED9"/>
    <w:rsid w:val="16543128"/>
    <w:rsid w:val="16F7510A"/>
    <w:rsid w:val="17924A21"/>
    <w:rsid w:val="17A67230"/>
    <w:rsid w:val="17BE048E"/>
    <w:rsid w:val="17FC15DA"/>
    <w:rsid w:val="18D3715E"/>
    <w:rsid w:val="197C75B5"/>
    <w:rsid w:val="1A57282B"/>
    <w:rsid w:val="1AA210F7"/>
    <w:rsid w:val="1B0065D0"/>
    <w:rsid w:val="1B087E14"/>
    <w:rsid w:val="1CAD5010"/>
    <w:rsid w:val="1D1242D7"/>
    <w:rsid w:val="1D86717A"/>
    <w:rsid w:val="1E350D4D"/>
    <w:rsid w:val="1E54581A"/>
    <w:rsid w:val="1E6E174C"/>
    <w:rsid w:val="1ED45FD8"/>
    <w:rsid w:val="1F85566C"/>
    <w:rsid w:val="200E4909"/>
    <w:rsid w:val="202C6533"/>
    <w:rsid w:val="20444302"/>
    <w:rsid w:val="20961A16"/>
    <w:rsid w:val="21122D5D"/>
    <w:rsid w:val="221C084C"/>
    <w:rsid w:val="227257C1"/>
    <w:rsid w:val="22D7582D"/>
    <w:rsid w:val="23235F87"/>
    <w:rsid w:val="23732F32"/>
    <w:rsid w:val="24BD65A1"/>
    <w:rsid w:val="255D6D75"/>
    <w:rsid w:val="25A74E1A"/>
    <w:rsid w:val="25C71E86"/>
    <w:rsid w:val="25D826BB"/>
    <w:rsid w:val="261D2BC4"/>
    <w:rsid w:val="26BB47F8"/>
    <w:rsid w:val="26F45C8F"/>
    <w:rsid w:val="27571BB0"/>
    <w:rsid w:val="275D5156"/>
    <w:rsid w:val="282355F9"/>
    <w:rsid w:val="28C8582D"/>
    <w:rsid w:val="28DF2BCF"/>
    <w:rsid w:val="291202D2"/>
    <w:rsid w:val="299C23FC"/>
    <w:rsid w:val="29AA0642"/>
    <w:rsid w:val="29AF13DF"/>
    <w:rsid w:val="29F80E54"/>
    <w:rsid w:val="2B3D669F"/>
    <w:rsid w:val="2C04664A"/>
    <w:rsid w:val="2C917839"/>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7711BB"/>
    <w:rsid w:val="32860EED"/>
    <w:rsid w:val="32A818D5"/>
    <w:rsid w:val="330F505D"/>
    <w:rsid w:val="3328502A"/>
    <w:rsid w:val="332B0841"/>
    <w:rsid w:val="33997DE2"/>
    <w:rsid w:val="3494193A"/>
    <w:rsid w:val="34DA7F4E"/>
    <w:rsid w:val="352019F8"/>
    <w:rsid w:val="35AE2D88"/>
    <w:rsid w:val="35C13BFD"/>
    <w:rsid w:val="35C26EE4"/>
    <w:rsid w:val="38103FE1"/>
    <w:rsid w:val="3814590E"/>
    <w:rsid w:val="387E5472"/>
    <w:rsid w:val="38C248EF"/>
    <w:rsid w:val="393A51D1"/>
    <w:rsid w:val="39A04658"/>
    <w:rsid w:val="3B59769B"/>
    <w:rsid w:val="3B5F54C4"/>
    <w:rsid w:val="3BF3205C"/>
    <w:rsid w:val="3C871C4F"/>
    <w:rsid w:val="3C9A2BF5"/>
    <w:rsid w:val="3D5B555C"/>
    <w:rsid w:val="3D9A6CF0"/>
    <w:rsid w:val="3DB92AC4"/>
    <w:rsid w:val="3EC07009"/>
    <w:rsid w:val="3F1C24D3"/>
    <w:rsid w:val="3F1F20F4"/>
    <w:rsid w:val="3FFD17CC"/>
    <w:rsid w:val="401E6CDA"/>
    <w:rsid w:val="40425DD8"/>
    <w:rsid w:val="40882793"/>
    <w:rsid w:val="40FF3C83"/>
    <w:rsid w:val="416877C4"/>
    <w:rsid w:val="41846EFA"/>
    <w:rsid w:val="41C50928"/>
    <w:rsid w:val="42A83790"/>
    <w:rsid w:val="42D005BA"/>
    <w:rsid w:val="42D62122"/>
    <w:rsid w:val="43543C1C"/>
    <w:rsid w:val="43B04046"/>
    <w:rsid w:val="44483C60"/>
    <w:rsid w:val="45BE3CAA"/>
    <w:rsid w:val="461A5941"/>
    <w:rsid w:val="461C30E9"/>
    <w:rsid w:val="463175C9"/>
    <w:rsid w:val="46A0119E"/>
    <w:rsid w:val="46CB5A97"/>
    <w:rsid w:val="46DB4564"/>
    <w:rsid w:val="479033F0"/>
    <w:rsid w:val="47FF0F4B"/>
    <w:rsid w:val="48160645"/>
    <w:rsid w:val="48210BFD"/>
    <w:rsid w:val="48752520"/>
    <w:rsid w:val="48D92A98"/>
    <w:rsid w:val="493A73ED"/>
    <w:rsid w:val="4A02594A"/>
    <w:rsid w:val="4A174CB7"/>
    <w:rsid w:val="4B511DE2"/>
    <w:rsid w:val="4C017549"/>
    <w:rsid w:val="4CFF3B84"/>
    <w:rsid w:val="4D105FCE"/>
    <w:rsid w:val="4D4E2263"/>
    <w:rsid w:val="4EA8785F"/>
    <w:rsid w:val="4F9420A0"/>
    <w:rsid w:val="4FA333A8"/>
    <w:rsid w:val="4FC219C0"/>
    <w:rsid w:val="50A05722"/>
    <w:rsid w:val="50FA26C7"/>
    <w:rsid w:val="510942DE"/>
    <w:rsid w:val="51D313D7"/>
    <w:rsid w:val="51EB76B4"/>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E243229"/>
    <w:rsid w:val="5E2D3CAF"/>
    <w:rsid w:val="5E7D51D5"/>
    <w:rsid w:val="5E9A53DF"/>
    <w:rsid w:val="5EA12B9A"/>
    <w:rsid w:val="5EAC1CF0"/>
    <w:rsid w:val="5EB9199F"/>
    <w:rsid w:val="5EBF0B8F"/>
    <w:rsid w:val="5F6B5B9C"/>
    <w:rsid w:val="5FC26D77"/>
    <w:rsid w:val="601217D3"/>
    <w:rsid w:val="60C97544"/>
    <w:rsid w:val="615960EE"/>
    <w:rsid w:val="61B4110F"/>
    <w:rsid w:val="61F25C0D"/>
    <w:rsid w:val="61FE677C"/>
    <w:rsid w:val="628F5DE4"/>
    <w:rsid w:val="63244403"/>
    <w:rsid w:val="63272C6B"/>
    <w:rsid w:val="634C0405"/>
    <w:rsid w:val="634D35C3"/>
    <w:rsid w:val="63577018"/>
    <w:rsid w:val="63A076AF"/>
    <w:rsid w:val="63B15496"/>
    <w:rsid w:val="63BC1E27"/>
    <w:rsid w:val="64450F89"/>
    <w:rsid w:val="64816A20"/>
    <w:rsid w:val="64C23928"/>
    <w:rsid w:val="652C57B3"/>
    <w:rsid w:val="65967FA2"/>
    <w:rsid w:val="65D63B50"/>
    <w:rsid w:val="6626385E"/>
    <w:rsid w:val="67706016"/>
    <w:rsid w:val="689F5105"/>
    <w:rsid w:val="693B0827"/>
    <w:rsid w:val="69416448"/>
    <w:rsid w:val="69A060E5"/>
    <w:rsid w:val="6A2D6512"/>
    <w:rsid w:val="6ABD5712"/>
    <w:rsid w:val="6AC66944"/>
    <w:rsid w:val="6B5621A9"/>
    <w:rsid w:val="6BC1205F"/>
    <w:rsid w:val="6BD211F2"/>
    <w:rsid w:val="6C1C5AEE"/>
    <w:rsid w:val="6C8464CC"/>
    <w:rsid w:val="6CE7352A"/>
    <w:rsid w:val="6DEF6D71"/>
    <w:rsid w:val="6E5E28AB"/>
    <w:rsid w:val="6E9844C6"/>
    <w:rsid w:val="6ED008C7"/>
    <w:rsid w:val="6F1C0C18"/>
    <w:rsid w:val="6F2F6271"/>
    <w:rsid w:val="6F3944D9"/>
    <w:rsid w:val="6F4E570C"/>
    <w:rsid w:val="6FB02F06"/>
    <w:rsid w:val="6FDF3742"/>
    <w:rsid w:val="70DD4915"/>
    <w:rsid w:val="71107D1F"/>
    <w:rsid w:val="7140022C"/>
    <w:rsid w:val="71430325"/>
    <w:rsid w:val="720476F4"/>
    <w:rsid w:val="723E7AE4"/>
    <w:rsid w:val="7259038B"/>
    <w:rsid w:val="725D5CB2"/>
    <w:rsid w:val="72716478"/>
    <w:rsid w:val="72724CB0"/>
    <w:rsid w:val="72BE5A93"/>
    <w:rsid w:val="72F5594B"/>
    <w:rsid w:val="73724608"/>
    <w:rsid w:val="744E64E8"/>
    <w:rsid w:val="75147C44"/>
    <w:rsid w:val="753A3ACD"/>
    <w:rsid w:val="755D14B0"/>
    <w:rsid w:val="757229A2"/>
    <w:rsid w:val="75873C45"/>
    <w:rsid w:val="75EA0CC5"/>
    <w:rsid w:val="76520262"/>
    <w:rsid w:val="76B811E6"/>
    <w:rsid w:val="76D0356B"/>
    <w:rsid w:val="771C2CCF"/>
    <w:rsid w:val="7724202B"/>
    <w:rsid w:val="78104A82"/>
    <w:rsid w:val="78113928"/>
    <w:rsid w:val="782B046B"/>
    <w:rsid w:val="789A3093"/>
    <w:rsid w:val="78B623DE"/>
    <w:rsid w:val="79BA1408"/>
    <w:rsid w:val="79EC345A"/>
    <w:rsid w:val="7A037F40"/>
    <w:rsid w:val="7A69531B"/>
    <w:rsid w:val="7B1156A0"/>
    <w:rsid w:val="7B1D7775"/>
    <w:rsid w:val="7B5444C2"/>
    <w:rsid w:val="7CC273FE"/>
    <w:rsid w:val="7D3751AD"/>
    <w:rsid w:val="7D726D57"/>
    <w:rsid w:val="7DA350EE"/>
    <w:rsid w:val="7DAD7FDA"/>
    <w:rsid w:val="7DB8777E"/>
    <w:rsid w:val="7ED67998"/>
    <w:rsid w:val="7F021588"/>
    <w:rsid w:val="7F601B7C"/>
    <w:rsid w:val="7F8F18F2"/>
    <w:rsid w:val="7FBD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Indent"/>
    <w:basedOn w:val="1"/>
    <w:qFormat/>
    <w:uiPriority w:val="0"/>
    <w:pPr>
      <w:spacing w:after="120"/>
      <w:ind w:left="420" w:leftChars="200"/>
    </w:pPr>
  </w:style>
  <w:style w:type="paragraph" w:styleId="6">
    <w:name w:val="Block Text"/>
    <w:basedOn w:val="1"/>
    <w:qFormat/>
    <w:uiPriority w:val="0"/>
    <w:pPr>
      <w:tabs>
        <w:tab w:val="left" w:pos="709"/>
        <w:tab w:val="left" w:pos="1069"/>
        <w:tab w:val="left" w:pos="2149"/>
      </w:tabs>
      <w:ind w:left="1429" w:right="194"/>
    </w:pPr>
    <w:rPr>
      <w:rFonts w:ascii="楷体_GB2312" w:eastAsia="楷体_GB2312"/>
    </w:rPr>
  </w:style>
  <w:style w:type="paragraph" w:styleId="7">
    <w:name w:val="Plain Text"/>
    <w:basedOn w:val="1"/>
    <w:qFormat/>
    <w:uiPriority w:val="0"/>
    <w:rPr>
      <w:rFonts w:ascii="宋体" w:hAnsi="Courier New"/>
    </w:rPr>
  </w:style>
  <w:style w:type="paragraph" w:styleId="8">
    <w:name w:val="Date"/>
    <w:basedOn w:val="1"/>
    <w:next w:val="1"/>
    <w:qFormat/>
    <w:uiPriority w:val="0"/>
    <w:pPr>
      <w:widowControl/>
      <w:ind w:left="100" w:leftChars="2500"/>
      <w:jc w:val="left"/>
    </w:pPr>
    <w:rPr>
      <w:kern w:val="0"/>
    </w:rPr>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表格文字"/>
    <w:basedOn w:val="1"/>
    <w:qFormat/>
    <w:uiPriority w:val="0"/>
    <w:pPr>
      <w:spacing w:before="25" w:after="25"/>
    </w:pPr>
    <w:rPr>
      <w:bCs/>
      <w:spacing w:val="10"/>
    </w:rPr>
  </w:style>
  <w:style w:type="character" w:customStyle="1" w:styleId="18">
    <w:name w:val="页眉 Char"/>
    <w:basedOn w:val="15"/>
    <w:link w:val="11"/>
    <w:qFormat/>
    <w:uiPriority w:val="99"/>
    <w:rPr>
      <w:rFonts w:ascii="Times New Roman" w:hAnsi="Times New Roman" w:eastAsia="宋体" w:cs="Times New Roman"/>
      <w:sz w:val="18"/>
      <w:szCs w:val="18"/>
    </w:rPr>
  </w:style>
  <w:style w:type="character" w:customStyle="1" w:styleId="19">
    <w:name w:val="页脚 Char"/>
    <w:basedOn w:val="15"/>
    <w:link w:val="10"/>
    <w:qFormat/>
    <w:uiPriority w:val="99"/>
    <w:rPr>
      <w:rFonts w:ascii="Times New Roman" w:hAnsi="Times New Roman" w:eastAsia="宋体" w:cs="Times New Roman"/>
      <w:sz w:val="18"/>
      <w:szCs w:val="18"/>
    </w:rPr>
  </w:style>
  <w:style w:type="character" w:customStyle="1" w:styleId="20">
    <w:name w:val="批注框文本 Char"/>
    <w:basedOn w:val="15"/>
    <w:link w:val="9"/>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附录表标题"/>
    <w:next w:val="1"/>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 w:type="paragraph" w:customStyle="1" w:styleId="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680</Words>
  <Characters>3876</Characters>
  <Lines>32</Lines>
  <Paragraphs>9</Paragraphs>
  <TotalTime>1</TotalTime>
  <ScaleCrop>false</ScaleCrop>
  <LinksUpToDate>false</LinksUpToDate>
  <CharactersWithSpaces>4547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2022-06-24T07:09:45Z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3E09126B653645199DF3A1E9B6714A1D</vt:lpwstr>
  </property>
</Properties>
</file>