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val="en-US" w:eastAsia="zh-CN"/>
              </w:rPr>
              <w:t>/</w:t>
            </w:r>
            <w:r>
              <w:rPr>
                <w:rFonts w:hint="eastAsia"/>
                <w:sz w:val="24"/>
                <w:szCs w:val="24"/>
              </w:rPr>
              <w:t>陪同人员：</w:t>
            </w:r>
            <w:bookmarkStart w:id="0" w:name="管理者代表"/>
            <w:r>
              <w:rPr>
                <w:rFonts w:hint="eastAsia"/>
                <w:sz w:val="24"/>
                <w:szCs w:val="24"/>
                <w:lang w:val="en-US" w:eastAsia="zh-CN"/>
              </w:rPr>
              <w:t>李向东、</w:t>
            </w:r>
            <w:r>
              <w:rPr>
                <w:rFonts w:hint="eastAsia"/>
                <w:sz w:val="24"/>
                <w:szCs w:val="24"/>
              </w:rPr>
              <w:t>邓元冬</w:t>
            </w:r>
            <w:bookmarkEnd w:id="0"/>
            <w:r>
              <w:rPr>
                <w:rFonts w:hint="eastAsia"/>
                <w:sz w:val="24"/>
                <w:szCs w:val="24"/>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周文；</w:t>
            </w:r>
            <w:r>
              <w:rPr>
                <w:rFonts w:hint="eastAsia"/>
                <w:sz w:val="24"/>
                <w:szCs w:val="24"/>
              </w:rPr>
              <w:t>审核时间：</w:t>
            </w:r>
            <w:bookmarkStart w:id="1" w:name="审核日期"/>
            <w:r>
              <w:t>2022年06月24日 上午至2022年06月25日 下午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jc w:val="left"/>
              <w:rPr>
                <w:rFonts w:hint="eastAsia"/>
                <w:sz w:val="24"/>
                <w:szCs w:val="24"/>
              </w:rPr>
            </w:pPr>
            <w:r>
              <w:rPr>
                <w:rFonts w:hint="eastAsia"/>
                <w:sz w:val="24"/>
                <w:szCs w:val="24"/>
              </w:rPr>
              <w:t>审核条款：</w:t>
            </w:r>
          </w:p>
          <w:p>
            <w:pPr>
              <w:spacing w:line="300" w:lineRule="exact"/>
              <w:jc w:val="left"/>
              <w:rPr>
                <w:rFonts w:hint="default"/>
                <w:lang w:val="en-US" w:eastAsia="zh-CN"/>
              </w:rPr>
            </w:pPr>
            <w:r>
              <w:rPr>
                <w:rFonts w:hint="eastAsia"/>
                <w:lang w:val="en-US" w:eastAsia="zh-CN"/>
              </w:rPr>
              <w:t>QES4.1/4.2/4.3/4.4/5.1/5.2/5.3/6.2/6.3/9.1.1/9.3/10.1/10.3</w:t>
            </w:r>
          </w:p>
          <w:p>
            <w:pPr>
              <w:pStyle w:val="13"/>
              <w:rPr>
                <w:rFonts w:hint="eastAsia"/>
                <w:sz w:val="21"/>
                <w:szCs w:val="21"/>
                <w:lang w:val="en-US" w:eastAsia="zh-CN"/>
              </w:rPr>
            </w:pPr>
            <w:r>
              <w:rPr>
                <w:rFonts w:hint="eastAsia"/>
                <w:sz w:val="21"/>
                <w:szCs w:val="21"/>
                <w:lang w:val="en-US" w:eastAsia="zh-CN"/>
              </w:rPr>
              <w:t>Q:6.1/7.1</w:t>
            </w:r>
          </w:p>
          <w:p>
            <w:pPr>
              <w:pStyle w:val="13"/>
              <w:rPr>
                <w:rFonts w:hint="eastAsia"/>
                <w:sz w:val="21"/>
                <w:szCs w:val="21"/>
                <w:lang w:val="en-US" w:eastAsia="zh-CN"/>
              </w:rPr>
            </w:pPr>
            <w:r>
              <w:rPr>
                <w:rFonts w:hint="eastAsia"/>
                <w:sz w:val="21"/>
                <w:szCs w:val="21"/>
                <w:lang w:val="en-US" w:eastAsia="zh-CN"/>
              </w:rPr>
              <w:t>ES:6.1.1/7.1.1</w:t>
            </w:r>
          </w:p>
          <w:p>
            <w:pPr>
              <w:pStyle w:val="13"/>
              <w:rPr>
                <w:rFonts w:hint="default"/>
                <w:sz w:val="21"/>
                <w:szCs w:val="21"/>
                <w:lang w:val="en-US" w:eastAsia="zh-CN"/>
              </w:rPr>
            </w:pPr>
            <w:r>
              <w:rPr>
                <w:rFonts w:hint="eastAsia"/>
                <w:sz w:val="21"/>
                <w:szCs w:val="21"/>
                <w:lang w:val="en-US" w:eastAsia="zh-CN"/>
              </w:rPr>
              <w:t>H:1.1/1.3/1.4/1.5/2.4/3.1/4.12/5.4/6.2</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tabs>
                <w:tab w:val="left" w:pos="709"/>
              </w:tabs>
              <w:spacing w:line="240" w:lineRule="auto"/>
              <w:ind w:right="57"/>
              <w:rPr>
                <w:sz w:val="24"/>
                <w:szCs w:val="24"/>
              </w:rPr>
            </w:pPr>
            <w:r>
              <w:rPr>
                <w:rFonts w:hint="eastAsia"/>
                <w:sz w:val="24"/>
                <w:szCs w:val="24"/>
              </w:rPr>
              <w:t>企业概况及组织体系总体策划和建立过程：</w:t>
            </w:r>
          </w:p>
          <w:p>
            <w:r>
              <w:rPr>
                <w:rFonts w:hint="eastAsia"/>
                <w:sz w:val="24"/>
                <w:szCs w:val="24"/>
              </w:rPr>
              <w:t>*影响企业管理体系预期结果的风险识别与应对，包括相关方需求识别和应对，以及风险识别与应对机制的建立</w:t>
            </w:r>
          </w:p>
        </w:tc>
        <w:tc>
          <w:tcPr>
            <w:tcW w:w="960" w:type="dxa"/>
          </w:tcPr>
          <w:p>
            <w:pPr>
              <w:rPr>
                <w:rFonts w:hint="default"/>
                <w:lang w:val="en-US" w:eastAsia="zh-CN"/>
              </w:rPr>
            </w:pPr>
            <w:r>
              <w:rPr>
                <w:rFonts w:hint="eastAsia"/>
                <w:lang w:val="en-US" w:eastAsia="zh-CN"/>
              </w:rPr>
              <w:t>QES4.1/4.2;</w:t>
            </w:r>
          </w:p>
          <w:p>
            <w:pPr>
              <w:rPr>
                <w:rFonts w:hint="eastAsia"/>
                <w:lang w:val="en-US" w:eastAsia="zh-CN"/>
              </w:rPr>
            </w:pPr>
            <w:r>
              <w:rPr>
                <w:rFonts w:hint="eastAsia"/>
                <w:lang w:val="en-US" w:eastAsia="zh-CN"/>
              </w:rPr>
              <w:t>Q6.1；</w:t>
            </w:r>
          </w:p>
          <w:p>
            <w:pPr>
              <w:pStyle w:val="2"/>
              <w:bidi w:val="0"/>
              <w:rPr>
                <w:rFonts w:hint="eastAsia" w:ascii="宋体" w:hAnsi="宋体" w:eastAsia="宋体" w:cs="宋体"/>
                <w:lang w:val="en-US" w:eastAsia="zh-CN"/>
              </w:rPr>
            </w:pPr>
            <w:r>
              <w:rPr>
                <w:rFonts w:hint="eastAsia" w:ascii="宋体" w:hAnsi="宋体" w:eastAsia="宋体" w:cs="宋体"/>
                <w:lang w:val="en-US" w:eastAsia="zh-CN"/>
              </w:rPr>
              <w:t>ES6.1.1</w:t>
            </w:r>
          </w:p>
          <w:p>
            <w:pPr>
              <w:pStyle w:val="2"/>
              <w:bidi w:val="0"/>
              <w:rPr>
                <w:rFonts w:hint="default" w:ascii="宋体" w:hAnsi="宋体" w:eastAsia="宋体" w:cs="宋体"/>
                <w:lang w:val="en-US" w:eastAsia="zh-CN"/>
              </w:rPr>
            </w:pPr>
            <w:r>
              <w:rPr>
                <w:rFonts w:hint="eastAsia" w:ascii="宋体" w:hAnsi="宋体" w:eastAsia="宋体" w:cs="宋体"/>
                <w:lang w:val="en-US" w:eastAsia="zh-CN"/>
              </w:rPr>
              <w:t>H1.5/2.2/2.3</w:t>
            </w:r>
          </w:p>
        </w:tc>
        <w:tc>
          <w:tcPr>
            <w:tcW w:w="10004" w:type="dxa"/>
          </w:tcPr>
          <w:p>
            <w:pPr>
              <w:pStyle w:val="14"/>
              <w:spacing w:line="24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---法人/董事长：李向东；总经理/管代：邓元冬</w:t>
            </w:r>
          </w:p>
          <w:p>
            <w:pPr>
              <w:pStyle w:val="14"/>
              <w:spacing w:line="24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总经理兼管代邓元冬介绍，安庆博安安全服务技术有限公司（以下简称博安公司）是安徽盈创石化检修安装有限责任公司全资子公司，成立于2021年11月。公司经营范围：安全技术防范系统设计施工服务；安全咨询服务；技术服务；技术开发；技术咨询；技术交流、技术转让、技术推广；特种劳动防护用品销售；业务培训（不含教育培训，职业技能培训等需取得许可的培训）；安全系统监控服务；网络与信息安全软件开发（除许可业务外，可自主经营法律法规非禁止或限制的项目）（注：目前管理体系覆盖范围是安全咨询服务及安全系统监控服务）。</w:t>
            </w:r>
          </w:p>
          <w:p>
            <w:pPr>
              <w:pStyle w:val="14"/>
              <w:spacing w:line="240" w:lineRule="auto"/>
              <w:ind w:firstLine="480" w:firstLineChars="200"/>
              <w:rPr>
                <w:rFonts w:hint="eastAsia" w:ascii="Times New Roman" w:hAnsi="Times New Roman"/>
                <w:sz w:val="24"/>
                <w:szCs w:val="24"/>
              </w:rPr>
            </w:pPr>
            <w:r>
              <w:rPr>
                <w:rFonts w:hint="eastAsia" w:ascii="Times New Roman" w:hAnsi="Times New Roman"/>
                <w:sz w:val="24"/>
                <w:szCs w:val="24"/>
                <w:lang w:val="en-US" w:eastAsia="zh-CN"/>
              </w:rPr>
              <w:t>公司于2022年2月1日依据GB/T19001-2015 idt ISO9001：2015《质量管理体系  要求》、GB/T24001-2015 idt ISO14001：2015《环境管理体系  要求及使用指南》、GB/T45001-2020/ISO45001:2020《职业健康安全管理体系 要求及使用指南》、《中国石油化工集团有限公司HSE管理体系手册》2021-06</w:t>
            </w:r>
            <w:r>
              <w:rPr>
                <w:rFonts w:hint="eastAsia" w:ascii="Times New Roman" w:hAnsi="Times New Roman"/>
                <w:sz w:val="24"/>
                <w:szCs w:val="24"/>
              </w:rPr>
              <w:t>结合本公司的实际情况和产品特性</w:t>
            </w:r>
            <w:r>
              <w:rPr>
                <w:rFonts w:hint="eastAsia" w:ascii="Times New Roman" w:hAnsi="Times New Roman"/>
                <w:sz w:val="24"/>
                <w:szCs w:val="24"/>
                <w:lang w:eastAsia="zh-CN"/>
              </w:rPr>
              <w:t>，</w:t>
            </w:r>
            <w:r>
              <w:rPr>
                <w:rFonts w:hint="eastAsia" w:ascii="Times New Roman" w:hAnsi="Times New Roman"/>
                <w:sz w:val="24"/>
                <w:szCs w:val="24"/>
              </w:rPr>
              <w:t>建立</w:t>
            </w:r>
            <w:r>
              <w:rPr>
                <w:rFonts w:hint="eastAsia" w:ascii="Times New Roman" w:hAnsi="Times New Roman"/>
                <w:sz w:val="24"/>
                <w:szCs w:val="24"/>
                <w:lang w:eastAsia="zh-CN"/>
              </w:rPr>
              <w:t>、</w:t>
            </w:r>
            <w:r>
              <w:rPr>
                <w:rFonts w:hint="eastAsia" w:ascii="Times New Roman" w:hAnsi="Times New Roman"/>
                <w:sz w:val="24"/>
                <w:szCs w:val="24"/>
                <w:lang w:val="en-US" w:eastAsia="zh-CN"/>
              </w:rPr>
              <w:t>实施、保持和持续改进</w:t>
            </w:r>
            <w:r>
              <w:rPr>
                <w:rFonts w:hint="eastAsia" w:ascii="Times New Roman" w:hAnsi="Times New Roman"/>
                <w:sz w:val="24"/>
                <w:szCs w:val="24"/>
              </w:rPr>
              <w:t>了质量</w:t>
            </w:r>
            <w:r>
              <w:rPr>
                <w:rFonts w:hint="eastAsia" w:ascii="Times New Roman" w:hAnsi="Times New Roman"/>
                <w:sz w:val="24"/>
                <w:szCs w:val="24"/>
                <w:lang w:eastAsia="zh-CN"/>
              </w:rPr>
              <w:t>、</w:t>
            </w:r>
            <w:r>
              <w:rPr>
                <w:rFonts w:hint="eastAsia" w:ascii="Times New Roman" w:hAnsi="Times New Roman"/>
                <w:sz w:val="24"/>
                <w:szCs w:val="24"/>
                <w:lang w:val="en-US" w:eastAsia="zh-CN"/>
              </w:rPr>
              <w:t>环境、职业健康安全一体化管理</w:t>
            </w:r>
            <w:r>
              <w:rPr>
                <w:rFonts w:hint="eastAsia" w:ascii="Times New Roman" w:hAnsi="Times New Roman"/>
                <w:sz w:val="24"/>
                <w:szCs w:val="24"/>
              </w:rPr>
              <w:t>体系，确保在满足国家法规的基础上为客户提供优质的产品和完善的服务。</w:t>
            </w:r>
          </w:p>
          <w:p>
            <w:pPr>
              <w:pStyle w:val="14"/>
              <w:spacing w:line="240" w:lineRule="auto"/>
              <w:ind w:firstLine="480" w:firstLineChars="200"/>
              <w:rPr>
                <w:rFonts w:hint="eastAsia" w:ascii="Times New Roman" w:hAnsi="Times New Roman"/>
                <w:sz w:val="24"/>
                <w:szCs w:val="24"/>
              </w:rPr>
            </w:pPr>
            <w:r>
              <w:rPr>
                <w:rFonts w:hint="eastAsia" w:ascii="Times New Roman" w:hAnsi="Times New Roman"/>
                <w:sz w:val="24"/>
                <w:szCs w:val="24"/>
              </w:rPr>
              <w:t>根据顾客要求、企业的经验和资源状况，以过程方法模式，识别公司的管理体系所需的过程。采用PDCA循环的管理方法。重点</w:t>
            </w:r>
            <w:r>
              <w:rPr>
                <w:rFonts w:hint="eastAsia" w:ascii="Times New Roman" w:hAnsi="Times New Roman"/>
                <w:sz w:val="24"/>
                <w:szCs w:val="24"/>
                <w:lang w:val="en-US" w:eastAsia="zh-CN"/>
              </w:rPr>
              <w:t>识别安全咨询服务及</w:t>
            </w:r>
            <w:r>
              <w:rPr>
                <w:rFonts w:hint="eastAsia" w:ascii="Times New Roman" w:hAnsi="Times New Roman"/>
                <w:sz w:val="24"/>
                <w:szCs w:val="24"/>
              </w:rPr>
              <w:t>相关环境</w:t>
            </w:r>
            <w:r>
              <w:rPr>
                <w:rFonts w:hint="eastAsia" w:ascii="Times New Roman" w:hAnsi="Times New Roman"/>
                <w:sz w:val="24"/>
                <w:szCs w:val="24"/>
                <w:lang w:eastAsia="zh-CN"/>
              </w:rPr>
              <w:t>、</w:t>
            </w:r>
            <w:r>
              <w:rPr>
                <w:rFonts w:hint="eastAsia" w:ascii="Times New Roman" w:hAnsi="Times New Roman"/>
                <w:sz w:val="24"/>
                <w:szCs w:val="24"/>
                <w:lang w:val="en-US" w:eastAsia="zh-CN"/>
              </w:rPr>
              <w:t>职业健康安全</w:t>
            </w:r>
            <w:r>
              <w:rPr>
                <w:rFonts w:hint="eastAsia" w:ascii="Times New Roman" w:hAnsi="Times New Roman"/>
                <w:sz w:val="24"/>
                <w:szCs w:val="24"/>
              </w:rPr>
              <w:t>管理活动实现过程、关键过程及其相互作用。通过把管理的过程方法原则和系统方法原理相结合，实现企业的全面管理。</w:t>
            </w:r>
          </w:p>
          <w:p>
            <w:pPr>
              <w:pStyle w:val="14"/>
              <w:spacing w:line="24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---以顾客为关注焦点，对影响</w:t>
            </w:r>
            <w:r>
              <w:rPr>
                <w:rFonts w:hint="eastAsia"/>
                <w:sz w:val="24"/>
                <w:szCs w:val="24"/>
              </w:rPr>
              <w:t>公司</w:t>
            </w:r>
            <w:r>
              <w:rPr>
                <w:rFonts w:hint="eastAsia"/>
                <w:sz w:val="24"/>
                <w:szCs w:val="24"/>
                <w:lang w:val="en-US" w:eastAsia="zh-CN"/>
              </w:rPr>
              <w:t>管理体系预期结果的相关方进行了全面的识别和评价，</w:t>
            </w:r>
            <w:r>
              <w:rPr>
                <w:rFonts w:hint="eastAsia"/>
                <w:sz w:val="24"/>
                <w:szCs w:val="24"/>
              </w:rPr>
              <w:t>策划了“</w:t>
            </w:r>
            <w:r>
              <w:rPr>
                <w:rFonts w:hint="eastAsia" w:ascii="宋体" w:hAnsi="宋体"/>
                <w:sz w:val="24"/>
                <w:szCs w:val="24"/>
              </w:rPr>
              <w:t>组织环境理解和分析管理程序</w:t>
            </w:r>
            <w:r>
              <w:rPr>
                <w:rFonts w:hint="eastAsia"/>
                <w:sz w:val="24"/>
                <w:szCs w:val="24"/>
              </w:rPr>
              <w:t>”、</w:t>
            </w:r>
            <w:r>
              <w:rPr>
                <w:rFonts w:hint="eastAsia"/>
                <w:sz w:val="24"/>
                <w:szCs w:val="24"/>
                <w:lang w:eastAsia="zh-CN"/>
              </w:rPr>
              <w:t>“风险和机遇控制程序”、“</w:t>
            </w:r>
            <w:r>
              <w:rPr>
                <w:rFonts w:hint="eastAsia" w:ascii="宋体" w:hAnsi="宋体"/>
                <w:spacing w:val="14"/>
                <w:sz w:val="24"/>
              </w:rPr>
              <w:t>环境因素识别与评价控制程序</w:t>
            </w:r>
            <w:r>
              <w:rPr>
                <w:rFonts w:hint="eastAsia" w:ascii="宋体" w:hAnsi="宋体"/>
                <w:spacing w:val="14"/>
                <w:sz w:val="24"/>
                <w:lang w:eastAsia="zh-CN"/>
              </w:rPr>
              <w:t>”、</w:t>
            </w:r>
            <w:r>
              <w:rPr>
                <w:rFonts w:hint="eastAsia"/>
                <w:sz w:val="24"/>
                <w:szCs w:val="24"/>
                <w:lang w:eastAsia="zh-CN"/>
              </w:rPr>
              <w:t>“危险源辨识与风险评价控制程序、</w:t>
            </w:r>
            <w:r>
              <w:rPr>
                <w:rFonts w:hint="eastAsia"/>
                <w:sz w:val="24"/>
                <w:szCs w:val="24"/>
              </w:rPr>
              <w:t>“</w:t>
            </w:r>
            <w:r>
              <w:rPr>
                <w:rFonts w:hint="eastAsia" w:ascii="宋体" w:hAnsi="宋体"/>
                <w:sz w:val="24"/>
                <w:szCs w:val="24"/>
              </w:rPr>
              <w:t>合规义务控制程序</w:t>
            </w:r>
            <w:r>
              <w:rPr>
                <w:rFonts w:hint="eastAsia"/>
                <w:sz w:val="24"/>
                <w:szCs w:val="24"/>
              </w:rPr>
              <w:t>”</w:t>
            </w:r>
            <w:r>
              <w:rPr>
                <w:rFonts w:hint="eastAsia"/>
                <w:sz w:val="24"/>
                <w:szCs w:val="24"/>
                <w:lang w:val="en-US" w:eastAsia="zh-CN"/>
              </w:rPr>
              <w:t>等</w:t>
            </w:r>
            <w:r>
              <w:rPr>
                <w:rFonts w:hint="eastAsia"/>
                <w:sz w:val="24"/>
                <w:szCs w:val="24"/>
              </w:rPr>
              <w:t>。</w:t>
            </w:r>
          </w:p>
          <w:p>
            <w:pPr>
              <w:pStyle w:val="14"/>
              <w:spacing w:line="240" w:lineRule="auto"/>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出示有“JL-CX-01-01组织环境外部因素分析表”、“JL-02-01相关方需求与期望应对表”及“ JL-CX-02-01风险评估与应对措施表”等记录，基于风险的思维对可能导致对过程和预期结果产生影响的公司内外部的因素、风险和机遇及与管理体系有关的相关方的信息进行了监视与评审。</w:t>
            </w:r>
          </w:p>
          <w:p>
            <w:pPr>
              <w:pStyle w:val="14"/>
              <w:spacing w:line="24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---核查“JL-CX-02-01风险评估与应对措施表”，采用定性分析法对涉及质量、环境、安全及过程的内外部因素进行了分析。 编审批齐全；抽查：</w:t>
            </w:r>
          </w:p>
          <w:p>
            <w:pPr>
              <w:pStyle w:val="14"/>
              <w:spacing w:line="240" w:lineRule="auto"/>
              <w:rPr>
                <w:rFonts w:hint="eastAsia" w:ascii="Times New Roman" w:hAnsi="Times New Roman"/>
                <w:sz w:val="24"/>
                <w:szCs w:val="24"/>
                <w:lang w:val="en-US" w:eastAsia="zh-CN"/>
              </w:rPr>
            </w:pPr>
            <w:r>
              <w:rPr>
                <w:rFonts w:hint="eastAsia"/>
                <w:color w:val="000000" w:themeColor="text1"/>
                <w:szCs w:val="21"/>
              </w:rPr>
              <w:t>运营风险</w:t>
            </w:r>
          </w:p>
          <w:p>
            <w:pPr>
              <w:pStyle w:val="14"/>
              <w:spacing w:line="240" w:lineRule="auto"/>
              <w:rPr>
                <w:rFonts w:hint="eastAsia"/>
                <w:sz w:val="24"/>
                <w:szCs w:val="24"/>
              </w:rPr>
            </w:pPr>
            <w:r>
              <w:rPr>
                <w:rFonts w:hint="eastAsia"/>
                <w:color w:val="000000" w:themeColor="text1"/>
                <w:szCs w:val="21"/>
              </w:rPr>
              <w:t>重大质量安全环境事故</w:t>
            </w:r>
            <w:r>
              <w:rPr>
                <w:rFonts w:hint="eastAsia"/>
                <w:sz w:val="24"/>
                <w:szCs w:val="24"/>
              </w:rPr>
              <w:t>。</w:t>
            </w:r>
          </w:p>
          <w:p>
            <w:pPr>
              <w:pStyle w:val="14"/>
              <w:spacing w:line="240" w:lineRule="auto"/>
              <w:rPr>
                <w:rFonts w:hint="eastAsia"/>
                <w:sz w:val="24"/>
                <w:szCs w:val="24"/>
                <w:lang w:val="en-US" w:eastAsia="zh-CN"/>
              </w:rPr>
            </w:pPr>
            <w:r>
              <w:rPr>
                <w:rFonts w:hint="eastAsia"/>
                <w:sz w:val="24"/>
                <w:szCs w:val="24"/>
                <w:lang w:val="en-US" w:eastAsia="zh-CN"/>
              </w:rPr>
              <w:t>措施：</w:t>
            </w:r>
          </w:p>
          <w:p>
            <w:pPr>
              <w:spacing w:line="320" w:lineRule="exact"/>
              <w:rPr>
                <w:color w:val="000000" w:themeColor="text1"/>
                <w:szCs w:val="21"/>
              </w:rPr>
            </w:pPr>
            <w:r>
              <w:rPr>
                <w:rFonts w:hint="eastAsia"/>
                <w:color w:val="000000" w:themeColor="text1"/>
                <w:szCs w:val="21"/>
              </w:rPr>
              <w:t>1、建立和运行HSE管理体系</w:t>
            </w:r>
          </w:p>
          <w:p>
            <w:pPr>
              <w:pStyle w:val="14"/>
              <w:spacing w:line="240" w:lineRule="auto"/>
              <w:rPr>
                <w:rFonts w:hint="eastAsia"/>
                <w:color w:val="000000" w:themeColor="text1"/>
                <w:szCs w:val="21"/>
              </w:rPr>
            </w:pPr>
            <w:r>
              <w:rPr>
                <w:rFonts w:hint="eastAsia"/>
                <w:color w:val="000000" w:themeColor="text1"/>
                <w:szCs w:val="21"/>
              </w:rPr>
              <w:t>2、制定管理体系目标予以控制</w:t>
            </w:r>
          </w:p>
          <w:p>
            <w:pPr>
              <w:pStyle w:val="14"/>
              <w:numPr>
                <w:ilvl w:val="0"/>
                <w:numId w:val="0"/>
              </w:numPr>
              <w:spacing w:line="240" w:lineRule="auto"/>
              <w:rPr>
                <w:rFonts w:hint="default"/>
                <w:sz w:val="24"/>
                <w:szCs w:val="24"/>
                <w:lang w:val="en-US" w:eastAsia="zh-CN"/>
              </w:rPr>
            </w:pPr>
          </w:p>
          <w:p>
            <w:pPr>
              <w:spacing w:line="240" w:lineRule="auto"/>
              <w:rPr>
                <w:sz w:val="24"/>
                <w:szCs w:val="24"/>
              </w:rPr>
            </w:pPr>
            <w:r>
              <w:rPr>
                <w:rFonts w:hint="eastAsia"/>
                <w:sz w:val="24"/>
                <w:szCs w:val="24"/>
              </w:rPr>
              <w:t>——满足要求。</w:t>
            </w:r>
          </w:p>
          <w:p>
            <w:pPr>
              <w:pStyle w:val="2"/>
              <w:rPr>
                <w:rFonts w:hint="default"/>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240" w:lineRule="auto"/>
              <w:rPr>
                <w:rFonts w:hint="eastAsia" w:ascii="宋体"/>
                <w:sz w:val="24"/>
                <w:szCs w:val="24"/>
                <w:highlight w:val="none"/>
              </w:rPr>
            </w:pPr>
            <w:r>
              <w:rPr>
                <w:rFonts w:hint="eastAsia" w:ascii="宋体"/>
                <w:sz w:val="24"/>
                <w:szCs w:val="24"/>
                <w:highlight w:val="none"/>
              </w:rPr>
              <w:t>管理体系范围确定的适宜性和充分性</w:t>
            </w:r>
          </w:p>
          <w:p>
            <w:pPr>
              <w:spacing w:line="240" w:lineRule="auto"/>
              <w:rPr>
                <w:rFonts w:hint="eastAsia" w:ascii="宋体"/>
                <w:sz w:val="24"/>
                <w:szCs w:val="24"/>
                <w:highlight w:val="none"/>
              </w:rPr>
            </w:pPr>
            <w:r>
              <w:rPr>
                <w:rFonts w:hint="eastAsia" w:ascii="宋体"/>
                <w:sz w:val="24"/>
                <w:szCs w:val="24"/>
                <w:highlight w:val="none"/>
              </w:rPr>
              <w:t>管理体系策划、建立、</w:t>
            </w:r>
          </w:p>
          <w:p>
            <w:pPr>
              <w:spacing w:line="240" w:lineRule="auto"/>
              <w:rPr>
                <w:rFonts w:hint="eastAsia" w:ascii="宋体"/>
                <w:sz w:val="24"/>
                <w:szCs w:val="24"/>
                <w:highlight w:val="none"/>
              </w:rPr>
            </w:pPr>
            <w:r>
              <w:rPr>
                <w:rFonts w:hint="eastAsia" w:ascii="宋体"/>
                <w:sz w:val="24"/>
                <w:szCs w:val="24"/>
                <w:highlight w:val="none"/>
              </w:rPr>
              <w:t>变更的策划</w:t>
            </w:r>
          </w:p>
          <w:p/>
        </w:tc>
        <w:tc>
          <w:tcPr>
            <w:tcW w:w="960" w:type="dxa"/>
          </w:tcPr>
          <w:p>
            <w:pPr>
              <w:spacing w:line="240" w:lineRule="auto"/>
              <w:rPr>
                <w:rFonts w:hint="eastAsia"/>
                <w:lang w:val="en-US" w:eastAsia="zh-CN"/>
              </w:rPr>
            </w:pPr>
            <w:r>
              <w:rPr>
                <w:rFonts w:hint="eastAsia"/>
                <w:lang w:val="en-US" w:eastAsia="zh-CN"/>
              </w:rPr>
              <w:t>QES4.3/4.4;</w:t>
            </w:r>
          </w:p>
          <w:p>
            <w:pPr>
              <w:rPr>
                <w:rFonts w:hint="eastAsia"/>
                <w:lang w:val="en-US" w:eastAsia="zh-CN"/>
              </w:rPr>
            </w:pPr>
            <w:r>
              <w:rPr>
                <w:rFonts w:hint="eastAsia"/>
                <w:lang w:val="en-US" w:eastAsia="zh-CN"/>
              </w:rPr>
              <w:t>Q6.3</w:t>
            </w:r>
          </w:p>
          <w:p>
            <w:pPr>
              <w:pStyle w:val="2"/>
              <w:rPr>
                <w:rFonts w:hint="default" w:eastAsia="宋体"/>
                <w:lang w:val="en-US" w:eastAsia="zh-CN"/>
              </w:rPr>
            </w:pPr>
            <w:r>
              <w:rPr>
                <w:rFonts w:hint="eastAsia" w:ascii="Times New Roman" w:hAnsi="Times New Roman" w:eastAsia="宋体" w:cs="Times New Roman"/>
                <w:kern w:val="2"/>
                <w:sz w:val="21"/>
                <w:szCs w:val="20"/>
                <w:lang w:val="en-US" w:eastAsia="zh-CN" w:bidi="ar-SA"/>
              </w:rPr>
              <w:t>H1.1/4.12</w:t>
            </w:r>
          </w:p>
        </w:tc>
        <w:tc>
          <w:tcPr>
            <w:tcW w:w="10004" w:type="dxa"/>
          </w:tcPr>
          <w:p>
            <w:pPr>
              <w:spacing w:line="240" w:lineRule="auto"/>
              <w:ind w:hanging="1"/>
              <w:rPr>
                <w:rFonts w:hint="eastAsia" w:ascii="宋体" w:hAnsi="宋体" w:cs="宋体"/>
                <w:bCs/>
                <w:sz w:val="24"/>
                <w:szCs w:val="24"/>
              </w:rPr>
            </w:pPr>
            <w:r>
              <w:rPr>
                <w:rFonts w:hint="eastAsia"/>
                <w:sz w:val="24"/>
                <w:szCs w:val="24"/>
                <w:lang w:val="en-US" w:eastAsia="zh-CN"/>
              </w:rPr>
              <w:t>---查管理手册</w:t>
            </w:r>
            <w:r>
              <w:rPr>
                <w:rFonts w:hint="eastAsia" w:ascii="宋体" w:hAnsi="宋体" w:cs="宋体"/>
                <w:b/>
                <w:sz w:val="24"/>
                <w:szCs w:val="24"/>
              </w:rPr>
              <w:t>1.2适用范围：</w:t>
            </w:r>
            <w:r>
              <w:rPr>
                <w:rFonts w:hint="eastAsia" w:ascii="宋体" w:hAnsi="宋体" w:cs="宋体"/>
                <w:bCs/>
                <w:sz w:val="24"/>
                <w:szCs w:val="24"/>
              </w:rPr>
              <w:t>本手册描述的管理体系范围适用于“安全咨询服务；安全系统监控服务”。</w:t>
            </w:r>
          </w:p>
          <w:p>
            <w:pPr>
              <w:spacing w:line="240" w:lineRule="auto"/>
              <w:ind w:hanging="1"/>
              <w:rPr>
                <w:rFonts w:hint="eastAsia" w:ascii="宋体" w:hAnsi="宋体" w:cs="宋体"/>
                <w:bCs/>
                <w:sz w:val="24"/>
                <w:szCs w:val="24"/>
              </w:rPr>
            </w:pPr>
            <w:r>
              <w:rPr>
                <w:rFonts w:hint="eastAsia" w:ascii="宋体" w:hAnsi="宋体" w:cs="宋体"/>
                <w:bCs/>
                <w:sz w:val="24"/>
                <w:szCs w:val="24"/>
              </w:rPr>
              <w:t>公司组织相关人员对四个标准相关要求进行了评审，对标准所有条款全部采纳。</w:t>
            </w:r>
          </w:p>
          <w:p>
            <w:pPr>
              <w:spacing w:line="240" w:lineRule="auto"/>
              <w:ind w:hanging="1"/>
              <w:rPr>
                <w:rFonts w:hint="eastAsia" w:ascii="宋体" w:hAnsi="宋体" w:cs="宋体"/>
                <w:bCs/>
                <w:sz w:val="24"/>
                <w:szCs w:val="24"/>
              </w:rPr>
            </w:pPr>
            <w:r>
              <w:rPr>
                <w:rFonts w:hint="eastAsia" w:ascii="宋体" w:hAnsi="宋体" w:cs="宋体"/>
                <w:bCs/>
                <w:sz w:val="24"/>
                <w:szCs w:val="24"/>
              </w:rPr>
              <w:t>经确认本公司安全咨询及安全系统监控服务暂无外包过程，若有按照8.4条款要求实施控制。</w:t>
            </w:r>
          </w:p>
          <w:p>
            <w:pPr>
              <w:spacing w:line="240" w:lineRule="auto"/>
              <w:ind w:hanging="1"/>
              <w:rPr>
                <w:rFonts w:hint="eastAsia" w:ascii="宋体" w:hAnsi="宋体" w:cs="宋体"/>
                <w:bCs/>
                <w:sz w:val="24"/>
                <w:szCs w:val="24"/>
              </w:rPr>
            </w:pPr>
          </w:p>
          <w:p>
            <w:pPr>
              <w:spacing w:line="240" w:lineRule="auto"/>
              <w:rPr>
                <w:rFonts w:hint="eastAsia"/>
                <w:sz w:val="24"/>
                <w:szCs w:val="24"/>
                <w:lang w:val="en-US" w:eastAsia="zh-CN"/>
              </w:rPr>
            </w:pPr>
            <w:r>
              <w:rPr>
                <w:rFonts w:hint="eastAsia"/>
                <w:sz w:val="24"/>
                <w:szCs w:val="24"/>
                <w:lang w:val="en-US" w:eastAsia="zh-CN"/>
              </w:rPr>
              <w:t>即：</w:t>
            </w:r>
          </w:p>
          <w:p>
            <w:pPr>
              <w:pStyle w:val="14"/>
              <w:spacing w:line="240" w:lineRule="auto"/>
              <w:rPr>
                <w:rFonts w:hint="eastAsia" w:ascii="Times New Roman" w:hAnsi="Times New Roman"/>
                <w:sz w:val="24"/>
                <w:szCs w:val="24"/>
                <w:lang w:val="en-US" w:eastAsia="zh-CN"/>
              </w:rPr>
            </w:pPr>
            <w:bookmarkStart w:id="2" w:name="审核范围"/>
            <w:r>
              <w:rPr>
                <w:rFonts w:hint="eastAsia" w:ascii="Times New Roman" w:hAnsi="Times New Roman"/>
                <w:sz w:val="24"/>
                <w:szCs w:val="24"/>
                <w:lang w:val="en-US" w:eastAsia="zh-CN"/>
              </w:rPr>
              <w:t>Q：安全咨询服务</w:t>
            </w:r>
          </w:p>
          <w:p>
            <w:pPr>
              <w:pStyle w:val="14"/>
              <w:spacing w:line="24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E：安全咨询服务所涉及场所的相关环境管理活动</w:t>
            </w:r>
          </w:p>
          <w:p>
            <w:pPr>
              <w:pStyle w:val="14"/>
              <w:spacing w:line="24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O：安全咨询及服务所涉及场所的相关职业健康安全管理活动</w:t>
            </w:r>
          </w:p>
          <w:p>
            <w:pPr>
              <w:pStyle w:val="14"/>
              <w:spacing w:line="240" w:lineRule="auto"/>
              <w:rPr>
                <w:rFonts w:hint="eastAsia" w:ascii="Times New Roman" w:hAnsi="Times New Roman"/>
                <w:sz w:val="24"/>
                <w:szCs w:val="24"/>
                <w:lang w:val="en-US" w:eastAsia="zh-CN"/>
              </w:rPr>
            </w:pPr>
            <w:r>
              <w:rPr>
                <w:rFonts w:hint="eastAsia" w:ascii="Times New Roman" w:hAnsi="Times New Roman"/>
                <w:sz w:val="24"/>
                <w:szCs w:val="24"/>
                <w:lang w:val="en-US" w:eastAsia="zh-CN"/>
              </w:rPr>
              <w:t>HSE：安全咨询服务</w:t>
            </w:r>
            <w:bookmarkEnd w:id="2"/>
          </w:p>
          <w:p>
            <w:pPr>
              <w:pStyle w:val="14"/>
              <w:spacing w:line="240" w:lineRule="auto"/>
              <w:rPr>
                <w:rFonts w:hint="default" w:ascii="Times New Roman" w:hAnsi="Times New Roman"/>
                <w:sz w:val="24"/>
                <w:szCs w:val="24"/>
                <w:lang w:val="en-US" w:eastAsia="zh-CN"/>
              </w:rPr>
            </w:pPr>
            <w:r>
              <w:rPr>
                <w:rFonts w:hint="eastAsia" w:ascii="Times New Roman" w:hAnsi="Times New Roman"/>
                <w:sz w:val="24"/>
                <w:szCs w:val="24"/>
                <w:lang w:val="en-US" w:eastAsia="zh-CN"/>
              </w:rPr>
              <w:t>物理边界：</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注册地址</w:t>
            </w:r>
            <w:r>
              <w:rPr>
                <w:rFonts w:hint="eastAsia" w:ascii="Times New Roman" w:hAnsi="Times New Roman" w:eastAsia="宋体" w:cs="Times New Roman"/>
                <w:sz w:val="24"/>
                <w:szCs w:val="24"/>
                <w:lang w:val="en-US" w:eastAsia="zh-CN"/>
              </w:rPr>
              <w:tab/>
            </w:r>
            <w:bookmarkStart w:id="3" w:name="注册地址"/>
            <w:r>
              <w:rPr>
                <w:rFonts w:hint="eastAsia" w:ascii="Times New Roman" w:hAnsi="Times New Roman" w:eastAsia="宋体" w:cs="Times New Roman"/>
                <w:sz w:val="24"/>
                <w:szCs w:val="24"/>
                <w:lang w:val="en-US" w:eastAsia="zh-CN"/>
              </w:rPr>
              <w:t>安徽省安庆市大观区油化一路五号</w:t>
            </w:r>
            <w:bookmarkEnd w:id="3"/>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经营地址</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安徽省安庆市大观区油化一路五号</w:t>
            </w:r>
          </w:p>
          <w:p>
            <w:pPr>
              <w:rPr>
                <w:rFonts w:hint="default"/>
                <w:color w:val="000000"/>
                <w:szCs w:val="21"/>
                <w:u w:val="single"/>
                <w:lang w:val="en-US"/>
              </w:rPr>
            </w:pPr>
            <w:r>
              <w:rPr>
                <w:rFonts w:hint="eastAsia" w:ascii="Times New Roman" w:hAnsi="Times New Roman" w:cs="Times New Roman"/>
                <w:sz w:val="24"/>
                <w:szCs w:val="24"/>
                <w:lang w:val="en-US" w:eastAsia="zh-CN"/>
              </w:rPr>
              <w:t xml:space="preserve">本次审核抽查临时现场  </w:t>
            </w:r>
            <w:r>
              <w:rPr>
                <w:rFonts w:hint="eastAsia" w:ascii="Times New Roman" w:hAnsi="Times New Roman" w:eastAsia="宋体" w:cs="Times New Roman"/>
                <w:kern w:val="2"/>
                <w:sz w:val="24"/>
                <w:szCs w:val="24"/>
                <w:lang w:val="en-US" w:eastAsia="zh-CN" w:bidi="ar-SA"/>
              </w:rPr>
              <w:t>安庆市高新区安全管家服务场所（安徽时联特种溶剂股份有限公司；安庆市大观区皖河大道7号）来回时间1小时内。</w:t>
            </w:r>
          </w:p>
          <w:p>
            <w:pPr>
              <w:pStyle w:val="14"/>
              <w:spacing w:line="240" w:lineRule="auto"/>
              <w:rPr>
                <w:rFonts w:hint="default" w:ascii="Times New Roman" w:hAnsi="Times New Roman" w:cs="Times New Roman"/>
                <w:sz w:val="24"/>
                <w:szCs w:val="24"/>
                <w:lang w:val="en-US" w:eastAsia="zh-CN"/>
              </w:rPr>
            </w:pPr>
          </w:p>
          <w:p>
            <w:pPr>
              <w:pStyle w:val="14"/>
              <w:spacing w:line="24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---核查审核范围内的资质许可</w:t>
            </w:r>
          </w:p>
          <w:p>
            <w:pPr>
              <w:spacing w:line="240" w:lineRule="auto"/>
              <w:rPr>
                <w:rFonts w:hint="eastAsia" w:ascii="Times New Roman" w:hAnsi="Times New Roman" w:eastAsia="宋体" w:cs="Times New Roman"/>
                <w:sz w:val="24"/>
                <w:szCs w:val="24"/>
                <w:lang w:val="en-US" w:eastAsia="zh-CN"/>
              </w:rPr>
            </w:pPr>
            <w:r>
              <w:rPr>
                <w:rFonts w:hint="eastAsia"/>
                <w:sz w:val="24"/>
                <w:szCs w:val="24"/>
                <w:lang w:val="en-US" w:eastAsia="zh-CN"/>
              </w:rPr>
              <w:t>——核</w:t>
            </w:r>
            <w:r>
              <w:rPr>
                <w:rFonts w:hint="eastAsia" w:ascii="Times New Roman" w:hAnsi="Times New Roman" w:eastAsia="宋体" w:cs="Times New Roman"/>
                <w:sz w:val="24"/>
                <w:szCs w:val="24"/>
                <w:lang w:val="en-US" w:eastAsia="zh-CN"/>
              </w:rPr>
              <w:t>查营业执照，经营范围包括认证范围。</w:t>
            </w:r>
          </w:p>
          <w:p>
            <w:pPr>
              <w:pStyle w:val="14"/>
              <w:spacing w:line="24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lang w:val="en-US" w:eastAsia="zh-CN"/>
              </w:rPr>
              <w:t>经核查，企业所属该行业无特定资质要求。</w:t>
            </w:r>
          </w:p>
          <w:p>
            <w:pPr>
              <w:pStyle w:val="14"/>
              <w:spacing w:line="240" w:lineRule="auto"/>
              <w:rPr>
                <w:rFonts w:hint="eastAsia" w:ascii="Times New Roman" w:hAnsi="Times New Roman" w:eastAsia="宋体" w:cs="Times New Roman"/>
                <w:sz w:val="24"/>
                <w:szCs w:val="24"/>
                <w:lang w:val="en-US" w:eastAsia="zh-CN"/>
              </w:rPr>
            </w:pPr>
          </w:p>
          <w:p>
            <w:pPr>
              <w:spacing w:line="240" w:lineRule="auto"/>
              <w:jc w:val="left"/>
              <w:rPr>
                <w:sz w:val="24"/>
                <w:szCs w:val="24"/>
              </w:rPr>
            </w:pPr>
            <w:r>
              <w:rPr>
                <w:rFonts w:hint="eastAsia"/>
                <w:sz w:val="24"/>
                <w:szCs w:val="24"/>
                <w:lang w:val="en-US" w:eastAsia="zh-CN"/>
              </w:rPr>
              <w:t>--</w:t>
            </w:r>
            <w:r>
              <w:rPr>
                <w:rFonts w:hint="eastAsia"/>
                <w:sz w:val="24"/>
                <w:szCs w:val="24"/>
              </w:rPr>
              <w:t>建立管理体系的目的：</w:t>
            </w:r>
          </w:p>
          <w:p>
            <w:pPr>
              <w:spacing w:line="240" w:lineRule="auto"/>
              <w:jc w:val="left"/>
              <w:rPr>
                <w:rFonts w:hint="eastAsia" w:eastAsia="宋体"/>
                <w:sz w:val="24"/>
                <w:szCs w:val="24"/>
                <w:lang w:eastAsia="zh-CN"/>
              </w:rPr>
            </w:pPr>
            <w:r>
              <w:rPr>
                <w:rFonts w:hint="eastAsia"/>
                <w:sz w:val="24"/>
                <w:szCs w:val="24"/>
              </w:rPr>
              <w:t>公司领导说明根据行业招投标要求建立管理体系，也是为了进一步规范企业的管理</w:t>
            </w:r>
            <w:r>
              <w:rPr>
                <w:rFonts w:hint="eastAsia"/>
                <w:sz w:val="24"/>
                <w:szCs w:val="24"/>
                <w:lang w:eastAsia="zh-CN"/>
              </w:rPr>
              <w:t>。</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--建立了管理体系文件，包括：管理手册、程序文件</w:t>
            </w:r>
            <w:r>
              <w:rPr>
                <w:rFonts w:hint="eastAsia" w:ascii="Times New Roman" w:hAnsi="Times New Roman" w:cs="Times New Roman"/>
                <w:sz w:val="24"/>
                <w:szCs w:val="24"/>
                <w:lang w:val="en-US" w:eastAsia="zh-CN"/>
              </w:rPr>
              <w:t>汇编</w:t>
            </w:r>
            <w:r>
              <w:rPr>
                <w:rFonts w:hint="eastAsia" w:ascii="Times New Roman" w:hAnsi="Times New Roman" w:eastAsia="宋体" w:cs="Times New Roman"/>
                <w:sz w:val="24"/>
                <w:szCs w:val="24"/>
                <w:lang w:val="en-US" w:eastAsia="zh-CN"/>
              </w:rPr>
              <w:t>、管理制度汇编--等。</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在管理手册中包括QES</w:t>
            </w:r>
            <w:r>
              <w:rPr>
                <w:rFonts w:hint="eastAsia" w:ascii="Times New Roman" w:hAnsi="Times New Roman" w:cs="Times New Roman"/>
                <w:sz w:val="24"/>
                <w:szCs w:val="24"/>
                <w:lang w:val="en-US" w:eastAsia="zh-CN"/>
              </w:rPr>
              <w:t>H</w:t>
            </w:r>
            <w:r>
              <w:rPr>
                <w:rFonts w:hint="eastAsia" w:ascii="Times New Roman" w:hAnsi="Times New Roman" w:eastAsia="宋体" w:cs="Times New Roman"/>
                <w:sz w:val="24"/>
                <w:szCs w:val="24"/>
                <w:lang w:val="en-US" w:eastAsia="zh-CN"/>
              </w:rPr>
              <w:t>整合的方针和目标、组织机构、职能分配表、各部门职责、流程图、管理体系要求等。</w:t>
            </w:r>
          </w:p>
          <w:p>
            <w:pPr>
              <w:pStyle w:val="14"/>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--主要产品实现过程为：</w:t>
            </w:r>
          </w:p>
          <w:p>
            <w:pPr>
              <w:pStyle w:val="14"/>
              <w:spacing w:line="240" w:lineRule="auto"/>
              <w:rPr>
                <w:rFonts w:hint="eastAsia"/>
                <w:sz w:val="20"/>
              </w:rPr>
            </w:pPr>
            <w:r>
              <w:rPr>
                <w:rFonts w:hint="eastAsia"/>
                <w:sz w:val="20"/>
              </w:rPr>
              <w:t>安全咨询服务流程：与客户洽谈签订合同→收集资料了解服务对象工艺及生产情况→编制计划服务内容→培训→安全技术服务→记录→服务内容收集</w:t>
            </w:r>
          </w:p>
          <w:p>
            <w:pPr>
              <w:pStyle w:val="14"/>
              <w:spacing w:line="240" w:lineRule="auto"/>
              <w:rPr>
                <w:rFonts w:hint="default" w:ascii="Times New Roman" w:hAnsi="Times New Roman"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确认过程：</w:t>
            </w:r>
            <w:r>
              <w:rPr>
                <w:rFonts w:hint="eastAsia" w:ascii="Times New Roman" w:hAnsi="Times New Roman" w:cs="Times New Roman"/>
                <w:sz w:val="24"/>
                <w:szCs w:val="24"/>
                <w:highlight w:val="none"/>
                <w:lang w:val="en-US" w:eastAsia="zh-CN"/>
              </w:rPr>
              <w:t>安全咨询技术服务</w:t>
            </w:r>
          </w:p>
          <w:p>
            <w:pPr>
              <w:pStyle w:val="14"/>
              <w:spacing w:line="24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---外</w:t>
            </w:r>
            <w:r>
              <w:rPr>
                <w:rFonts w:hint="eastAsia" w:ascii="Times New Roman" w:hAnsi="Times New Roman" w:cs="Times New Roman"/>
                <w:sz w:val="24"/>
                <w:szCs w:val="24"/>
                <w:highlight w:val="none"/>
                <w:lang w:val="en-US" w:eastAsia="zh-CN"/>
              </w:rPr>
              <w:t>包过程：无</w:t>
            </w:r>
          </w:p>
          <w:p>
            <w:pPr>
              <w:pStyle w:val="14"/>
              <w:spacing w:line="24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---变更的策划：管代说明建立管理体系至今无变化。</w:t>
            </w:r>
          </w:p>
          <w:p>
            <w:r>
              <w:rPr>
                <w:rFonts w:hint="eastAsia" w:ascii="Times New Roman" w:hAnsi="Times New Roman" w:eastAsia="宋体" w:cs="Times New Roman"/>
                <w:sz w:val="24"/>
                <w:szCs w:val="24"/>
                <w:lang w:val="en-US" w:eastAsia="zh-CN"/>
              </w:rPr>
              <w:t>——上述经本次现场审核确认有效</w:t>
            </w:r>
            <w:r>
              <w:rPr>
                <w:rFonts w:hint="eastAsia" w:ascii="Times New Roman" w:hAnsi="Times New Roman" w:cs="Times New Roman"/>
                <w:sz w:val="24"/>
                <w:szCs w:val="24"/>
                <w:lang w:val="en-US"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sz w:val="24"/>
                <w:szCs w:val="24"/>
              </w:rPr>
            </w:pPr>
            <w:r>
              <w:rPr>
                <w:rFonts w:hint="eastAsia"/>
                <w:sz w:val="24"/>
                <w:szCs w:val="24"/>
              </w:rPr>
              <w:t>领导作用和承诺</w:t>
            </w:r>
          </w:p>
          <w:p>
            <w:pPr>
              <w:spacing w:line="240" w:lineRule="auto"/>
              <w:rPr>
                <w:rFonts w:hint="eastAsia"/>
                <w:sz w:val="24"/>
                <w:szCs w:val="24"/>
              </w:rPr>
            </w:pPr>
            <w:r>
              <w:rPr>
                <w:rFonts w:hint="eastAsia"/>
                <w:sz w:val="24"/>
                <w:szCs w:val="24"/>
              </w:rPr>
              <w:t>岗位、职责、责任和权限</w:t>
            </w:r>
          </w:p>
          <w:p/>
        </w:tc>
        <w:tc>
          <w:tcPr>
            <w:tcW w:w="960" w:type="dxa"/>
          </w:tcPr>
          <w:p>
            <w:pPr>
              <w:spacing w:line="240" w:lineRule="auto"/>
              <w:rPr>
                <w:rFonts w:hint="eastAsia"/>
                <w:sz w:val="24"/>
                <w:szCs w:val="24"/>
                <w:lang w:val="en-US" w:eastAsia="zh-CN"/>
              </w:rPr>
            </w:pPr>
            <w:r>
              <w:rPr>
                <w:rFonts w:hint="eastAsia"/>
                <w:sz w:val="24"/>
                <w:szCs w:val="24"/>
                <w:lang w:val="en-US" w:eastAsia="zh-CN"/>
              </w:rPr>
              <w:t>QES5.1/5.3；</w:t>
            </w:r>
          </w:p>
          <w:p>
            <w:pPr>
              <w:spacing w:line="240" w:lineRule="auto"/>
              <w:rPr>
                <w:rFonts w:hint="default"/>
                <w:sz w:val="24"/>
                <w:szCs w:val="24"/>
                <w:lang w:val="en-US" w:eastAsia="zh-CN"/>
              </w:rPr>
            </w:pPr>
            <w:r>
              <w:rPr>
                <w:rFonts w:hint="eastAsia"/>
                <w:sz w:val="24"/>
                <w:szCs w:val="24"/>
                <w:lang w:val="en-US" w:eastAsia="zh-CN"/>
              </w:rPr>
              <w:t>H1.1/1.4</w:t>
            </w:r>
          </w:p>
          <w:p/>
        </w:tc>
        <w:tc>
          <w:tcPr>
            <w:tcW w:w="10004" w:type="dxa"/>
          </w:tcPr>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―查“质量/环境/职业健安全管理手册”中包括管理体系标准要求的领导作用和承诺内容</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查管理手册中包括管理者代表任命书，并规定了其职责，管代口述职责，正确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查管理手册中包括员工代表任命书，并规定了其职责，员工代表口述职责，正确</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查管理手册中包括ＱＥＳ方针、目标、组织机构、职责等</w:t>
            </w:r>
            <w:r>
              <w:rPr>
                <w:rFonts w:hint="eastAsia" w:ascii="Times New Roman" w:hAnsi="Times New Roman" w:eastAsia="宋体" w:cs="Times New Roman"/>
                <w:sz w:val="24"/>
                <w:szCs w:val="24"/>
                <w:lang w:eastAsia="zh-CN"/>
              </w:rPr>
              <w:t>。</w:t>
            </w:r>
          </w:p>
          <w:p>
            <w:pPr>
              <w:spacing w:line="240" w:lineRule="auto"/>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---查顾客满意度统计及分析报告，调查与分析结果，实现预期。</w:t>
            </w:r>
          </w:p>
          <w:p>
            <w:pPr>
              <w:spacing w:line="240" w:lineRule="auto"/>
              <w:jc w:val="left"/>
            </w:pPr>
            <w:r>
              <w:rPr>
                <w:rFonts w:hint="eastAsia" w:ascii="Times New Roman" w:hAnsi="Times New Roman" w:eastAsia="宋体" w:cs="Times New Roman"/>
                <w:sz w:val="24"/>
                <w:szCs w:val="24"/>
              </w:rPr>
              <w:t>能够提供管理体系建立、运行的资源；实施内审、管理评审等。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 w:val="24"/>
                <w:szCs w:val="24"/>
              </w:rPr>
              <w:t>管理方针、目标</w:t>
            </w:r>
          </w:p>
        </w:tc>
        <w:tc>
          <w:tcPr>
            <w:tcW w:w="960" w:type="dxa"/>
          </w:tcPr>
          <w:p>
            <w:pPr>
              <w:spacing w:line="240" w:lineRule="auto"/>
              <w:rPr>
                <w:rFonts w:hint="eastAsia"/>
                <w:sz w:val="24"/>
                <w:szCs w:val="24"/>
                <w:lang w:val="en-US" w:eastAsia="zh-CN"/>
              </w:rPr>
            </w:pPr>
            <w:r>
              <w:rPr>
                <w:rFonts w:hint="eastAsia"/>
                <w:sz w:val="24"/>
                <w:szCs w:val="24"/>
                <w:lang w:val="en-US" w:eastAsia="zh-CN"/>
              </w:rPr>
              <w:t>QES5.2/6.2</w:t>
            </w:r>
          </w:p>
          <w:p>
            <w:pPr>
              <w:spacing w:line="240" w:lineRule="auto"/>
              <w:rPr>
                <w:rFonts w:hint="default"/>
                <w:sz w:val="24"/>
                <w:szCs w:val="24"/>
                <w:lang w:val="en-US" w:eastAsia="zh-CN"/>
              </w:rPr>
            </w:pPr>
            <w:r>
              <w:rPr>
                <w:rFonts w:hint="eastAsia"/>
                <w:sz w:val="24"/>
                <w:szCs w:val="24"/>
                <w:lang w:val="en-US" w:eastAsia="zh-CN"/>
              </w:rPr>
              <w:t>H1.3/2.4</w:t>
            </w:r>
          </w:p>
          <w:p/>
        </w:tc>
        <w:tc>
          <w:tcPr>
            <w:tcW w:w="10004" w:type="dxa"/>
          </w:tcPr>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在管理手册中建立公司的质量、环境和职业健康安全</w:t>
            </w:r>
            <w:r>
              <w:rPr>
                <w:rFonts w:hint="eastAsia" w:ascii="Times New Roman" w:hAnsi="Times New Roman" w:eastAsia="宋体" w:cs="Times New Roman"/>
                <w:sz w:val="24"/>
                <w:szCs w:val="24"/>
                <w:lang w:val="en-US" w:eastAsia="zh-CN"/>
              </w:rPr>
              <w:t>及HSE</w:t>
            </w:r>
            <w:r>
              <w:rPr>
                <w:rFonts w:hint="eastAsia" w:ascii="Times New Roman" w:hAnsi="Times New Roman" w:eastAsia="宋体" w:cs="Times New Roman"/>
                <w:sz w:val="24"/>
                <w:szCs w:val="24"/>
              </w:rPr>
              <w:t>管理方针和目标，基本适宜</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质量、环境和职业健康安全方针：：</w:t>
            </w:r>
          </w:p>
          <w:p>
            <w:pPr>
              <w:snapToGrid w:val="0"/>
              <w:spacing w:line="300" w:lineRule="auto"/>
              <w:jc w:val="center"/>
              <w:rPr>
                <w:rFonts w:ascii="仿宋_GB2312" w:hAnsi="宋体" w:eastAsia="仿宋_GB2312"/>
                <w:b/>
                <w:bCs/>
                <w:sz w:val="28"/>
                <w:szCs w:val="28"/>
              </w:rPr>
            </w:pPr>
            <w:r>
              <w:rPr>
                <w:rFonts w:hint="eastAsia" w:ascii="仿宋_GB2312" w:hAnsi="宋体" w:eastAsia="仿宋_GB2312"/>
                <w:b/>
                <w:bCs/>
                <w:sz w:val="28"/>
                <w:szCs w:val="28"/>
              </w:rPr>
              <w:t>以人为本  守法经营  和谐发展</w:t>
            </w:r>
          </w:p>
          <w:p>
            <w:pPr>
              <w:snapToGrid w:val="0"/>
              <w:spacing w:line="300" w:lineRule="auto"/>
              <w:jc w:val="center"/>
              <w:rPr>
                <w:rFonts w:ascii="仿宋_GB2312" w:eastAsia="仿宋_GB2312"/>
                <w:b/>
                <w:sz w:val="32"/>
                <w:szCs w:val="32"/>
              </w:rPr>
            </w:pPr>
            <w:r>
              <w:rPr>
                <w:rFonts w:hint="eastAsia" w:ascii="仿宋_GB2312" w:hAnsi="宋体" w:eastAsia="仿宋_GB2312"/>
                <w:b/>
                <w:bCs/>
                <w:sz w:val="28"/>
                <w:szCs w:val="28"/>
              </w:rPr>
              <w:t>科学管理  求实创新  创建一流</w:t>
            </w:r>
          </w:p>
          <w:p>
            <w:pPr>
              <w:spacing w:line="240" w:lineRule="auto"/>
              <w:jc w:val="left"/>
              <w:rPr>
                <w:rFonts w:hint="eastAsia" w:ascii="Times New Roman" w:hAnsi="Times New Roman" w:eastAsia="宋体" w:cs="Times New Roman"/>
                <w:sz w:val="24"/>
                <w:szCs w:val="24"/>
              </w:rPr>
            </w:pPr>
            <w:r>
              <w:rPr>
                <w:rFonts w:hint="eastAsia" w:cs="Times New Roman"/>
                <w:sz w:val="24"/>
                <w:szCs w:val="24"/>
                <w:lang w:val="en-US" w:eastAsia="zh-CN"/>
              </w:rPr>
              <w:t>——</w:t>
            </w:r>
            <w:r>
              <w:rPr>
                <w:rFonts w:hint="eastAsia" w:ascii="Times New Roman" w:hAnsi="Times New Roman" w:eastAsia="宋体" w:cs="Times New Roman"/>
                <w:sz w:val="24"/>
                <w:szCs w:val="24"/>
              </w:rPr>
              <w:t>ＱＥＳ</w:t>
            </w:r>
            <w:r>
              <w:rPr>
                <w:rFonts w:hint="eastAsia" w:ascii="Times New Roman" w:hAnsi="Times New Roman" w:eastAsia="宋体" w:cs="Times New Roman"/>
                <w:sz w:val="24"/>
                <w:szCs w:val="24"/>
                <w:lang w:val="en-US" w:eastAsia="zh-CN"/>
              </w:rPr>
              <w:t>H</w:t>
            </w:r>
            <w:r>
              <w:rPr>
                <w:rFonts w:hint="eastAsia" w:ascii="Times New Roman" w:hAnsi="Times New Roman" w:eastAsia="宋体" w:cs="Times New Roman"/>
                <w:sz w:val="24"/>
                <w:szCs w:val="24"/>
              </w:rPr>
              <w:t>方针与公司战略相适宜</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管理目标</w:t>
            </w:r>
            <w:r>
              <w:rPr>
                <w:rFonts w:hint="eastAsia" w:ascii="Times New Roman" w:hAnsi="Times New Roman" w:eastAsia="宋体" w:cs="Times New Roman"/>
                <w:sz w:val="24"/>
                <w:szCs w:val="24"/>
                <w:lang w:eastAsia="zh-CN"/>
              </w:rPr>
              <w:t>：</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 顾客满意度95%以上；</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2．合同履约率100%；</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3.杜绝人身伤害和健康损害事件发生；</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4.杜绝环境污染事故发生；</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5.重视卫生防疫，关心员工健康，职业病发生率为0；</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6.员工HSE教育面100%。</w:t>
            </w:r>
          </w:p>
          <w:p>
            <w:pPr>
              <w:spacing w:line="240" w:lineRule="auto"/>
              <w:jc w:val="left"/>
              <w:rPr>
                <w:rFonts w:hint="eastAsia" w:eastAsia="宋体"/>
                <w:sz w:val="24"/>
                <w:szCs w:val="24"/>
                <w:lang w:eastAsia="zh-CN"/>
              </w:rPr>
            </w:pPr>
            <w:r>
              <w:rPr>
                <w:rFonts w:hint="eastAsia" w:cs="Times New Roman"/>
                <w:sz w:val="24"/>
                <w:szCs w:val="24"/>
                <w:lang w:val="en-US" w:eastAsia="zh-CN"/>
              </w:rPr>
              <w:t>——</w:t>
            </w:r>
            <w:r>
              <w:rPr>
                <w:rFonts w:hint="eastAsia" w:ascii="Times New Roman" w:hAnsi="Times New Roman" w:eastAsia="宋体" w:cs="Times New Roman"/>
                <w:sz w:val="24"/>
                <w:szCs w:val="24"/>
              </w:rPr>
              <w:t>目标可测量</w:t>
            </w:r>
            <w:r>
              <w:rPr>
                <w:rFonts w:hint="eastAsia"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通过发放文件、会议（每周部门会议，每月公司会议）、培训等方式向员工传达，使得员工理解和应用</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建立管理体系，以实现公司的目标</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管理评审中对适宜性进行评审</w:t>
            </w:r>
            <w:r>
              <w:rPr>
                <w:rFonts w:hint="eastAsia" w:ascii="Times New Roman" w:hAnsi="Times New Roman" w:eastAsia="宋体" w:cs="Times New Roman"/>
                <w:sz w:val="24"/>
                <w:szCs w:val="24"/>
                <w:lang w:eastAsia="zh-CN"/>
              </w:rPr>
              <w:t>。</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管理方针、目标</w:t>
            </w:r>
            <w:r>
              <w:rPr>
                <w:rFonts w:hint="eastAsia" w:ascii="Times New Roman" w:hAnsi="Times New Roman" w:eastAsia="宋体" w:cs="Times New Roman"/>
                <w:sz w:val="24"/>
                <w:szCs w:val="24"/>
                <w:lang w:val="en-US" w:eastAsia="zh-CN"/>
              </w:rPr>
              <w:t>及其实现的策划基本有效。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40" w:lineRule="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资源</w:t>
            </w:r>
          </w:p>
        </w:tc>
        <w:tc>
          <w:tcPr>
            <w:tcW w:w="960" w:type="dxa"/>
          </w:tcPr>
          <w:p>
            <w:pPr>
              <w:spacing w:line="240" w:lineRule="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Q7.1</w:t>
            </w:r>
          </w:p>
          <w:p>
            <w:pPr>
              <w:spacing w:line="240" w:lineRule="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ES7.1.1</w:t>
            </w:r>
          </w:p>
          <w:p>
            <w:pPr>
              <w:pStyle w:val="2"/>
              <w:rPr>
                <w:rFonts w:hint="default"/>
                <w:lang w:val="en-US" w:eastAsia="zh-CN"/>
              </w:rPr>
            </w:pPr>
            <w:r>
              <w:rPr>
                <w:rFonts w:hint="eastAsia" w:ascii="Times New Roman" w:hAnsi="Times New Roman" w:eastAsia="宋体" w:cs="Times New Roman"/>
                <w:sz w:val="24"/>
                <w:szCs w:val="24"/>
                <w:highlight w:val="none"/>
                <w:lang w:val="en-US" w:eastAsia="zh-CN"/>
              </w:rPr>
              <w:t>H3.1</w:t>
            </w:r>
          </w:p>
          <w:p>
            <w:pPr>
              <w:spacing w:line="240" w:lineRule="auto"/>
              <w:rPr>
                <w:rFonts w:hint="eastAsia" w:ascii="Times New Roman" w:hAnsi="Times New Roman" w:eastAsia="宋体" w:cs="Times New Roman"/>
                <w:sz w:val="24"/>
                <w:szCs w:val="24"/>
                <w:highlight w:val="none"/>
                <w:lang w:val="en-US" w:eastAsia="zh-CN"/>
              </w:rPr>
            </w:pPr>
          </w:p>
        </w:tc>
        <w:tc>
          <w:tcPr>
            <w:tcW w:w="10004" w:type="dxa"/>
          </w:tcPr>
          <w:p>
            <w:pPr>
              <w:spacing w:line="240" w:lineRule="auto"/>
              <w:rPr>
                <w:rFonts w:hint="eastAsia"/>
                <w:sz w:val="24"/>
                <w:szCs w:val="24"/>
                <w:lang w:val="en-US" w:eastAsia="zh-CN"/>
              </w:rPr>
            </w:pPr>
            <w:r>
              <w:rPr>
                <w:rFonts w:hint="eastAsia"/>
                <w:sz w:val="24"/>
                <w:szCs w:val="24"/>
                <w:lang w:val="en-US" w:eastAsia="zh-CN"/>
              </w:rPr>
              <w:t>办公场地为租赁，建面300平；主要生产办公设备为空调、电脑、激光一体机等；主要的监视测量工具为4合一报警仪，防爆手机、激光测距仪等（均为受审查企业提供）；主要管理人员为注册安全工程师，同时，公司董事长为母公司副总经理，可以随时向母公司申请专业人员支持。——经专业审核员确认，资源满足现阶段公司业务运营需求。</w:t>
            </w:r>
          </w:p>
          <w:p>
            <w:pPr>
              <w:pStyle w:val="2"/>
              <w:spacing w:line="240" w:lineRule="auto"/>
              <w:rPr>
                <w:rFonts w:hint="eastAsia"/>
                <w:sz w:val="24"/>
                <w:szCs w:val="24"/>
                <w:lang w:val="en-US" w:eastAsia="zh-CN"/>
              </w:rPr>
            </w:pPr>
          </w:p>
          <w:p>
            <w:pPr>
              <w:spacing w:line="240" w:lineRule="auto"/>
              <w:jc w:val="left"/>
              <w:rPr>
                <w:rFonts w:hint="eastAsia" w:ascii="Times New Roman" w:hAnsi="Times New Roman" w:eastAsia="宋体" w:cs="Times New Roman"/>
                <w:sz w:val="24"/>
                <w:szCs w:val="24"/>
              </w:rPr>
            </w:pPr>
            <w:r>
              <w:rPr>
                <w:rFonts w:hint="eastAsia"/>
                <w:sz w:val="24"/>
                <w:szCs w:val="24"/>
                <w:lang w:val="en-US" w:eastAsia="zh-CN"/>
              </w:rPr>
              <w:t>——符合。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 w:val="24"/>
                <w:szCs w:val="24"/>
                <w:lang w:val="en-US" w:eastAsia="zh-CN"/>
              </w:rPr>
              <w:t>管理评审的策划及实施情况</w:t>
            </w:r>
          </w:p>
        </w:tc>
        <w:tc>
          <w:tcPr>
            <w:tcW w:w="960" w:type="dxa"/>
          </w:tcPr>
          <w:p>
            <w:pPr>
              <w:rPr>
                <w:rFonts w:hint="eastAsia"/>
                <w:lang w:val="en-US" w:eastAsia="zh-CN"/>
              </w:rPr>
            </w:pPr>
            <w:r>
              <w:rPr>
                <w:rFonts w:hint="eastAsia"/>
                <w:lang w:val="en-US" w:eastAsia="zh-CN"/>
              </w:rPr>
              <w:t>QES9.3</w:t>
            </w:r>
          </w:p>
          <w:p>
            <w:pPr>
              <w:pStyle w:val="2"/>
              <w:rPr>
                <w:rFonts w:hint="default"/>
                <w:lang w:val="en-US"/>
              </w:rPr>
            </w:pPr>
            <w:r>
              <w:rPr>
                <w:rFonts w:hint="eastAsia" w:ascii="Times New Roman" w:hAnsi="Times New Roman" w:eastAsia="宋体" w:cs="Times New Roman"/>
                <w:kern w:val="2"/>
                <w:sz w:val="21"/>
                <w:szCs w:val="20"/>
                <w:lang w:val="en-US" w:eastAsia="zh-CN" w:bidi="ar-SA"/>
              </w:rPr>
              <w:t>H5.4</w:t>
            </w:r>
          </w:p>
        </w:tc>
        <w:tc>
          <w:tcPr>
            <w:tcW w:w="10004" w:type="dxa"/>
          </w:tcPr>
          <w:p>
            <w:pPr>
              <w:spacing w:line="240" w:lineRule="auto"/>
              <w:jc w:val="left"/>
              <w:rPr>
                <w:rFonts w:hint="eastAsia"/>
                <w:sz w:val="24"/>
                <w:szCs w:val="24"/>
                <w:lang w:val="en-US" w:eastAsia="zh-CN"/>
              </w:rPr>
            </w:pPr>
            <w:r>
              <w:rPr>
                <w:rFonts w:hint="eastAsia"/>
                <w:sz w:val="24"/>
                <w:szCs w:val="24"/>
                <w:lang w:val="en-US" w:eastAsia="zh-CN"/>
              </w:rPr>
              <w:t>---查公司策划了：管理评审控制程序。</w:t>
            </w:r>
          </w:p>
          <w:p>
            <w:pPr>
              <w:spacing w:line="240" w:lineRule="auto"/>
              <w:jc w:val="left"/>
              <w:rPr>
                <w:rFonts w:hint="eastAsia"/>
                <w:sz w:val="24"/>
                <w:szCs w:val="24"/>
                <w:lang w:val="en-US" w:eastAsia="zh-CN"/>
              </w:rPr>
            </w:pPr>
            <w:r>
              <w:rPr>
                <w:rFonts w:hint="eastAsia"/>
                <w:sz w:val="24"/>
                <w:szCs w:val="24"/>
                <w:lang w:val="en-US" w:eastAsia="zh-CN"/>
              </w:rPr>
              <w:t>---管理评审的实施情况：提供了相应的记录，如下：</w:t>
            </w:r>
          </w:p>
          <w:p>
            <w:pPr>
              <w:spacing w:line="240" w:lineRule="auto"/>
              <w:jc w:val="left"/>
              <w:rPr>
                <w:rFonts w:hint="default" w:ascii="Times New Roman" w:hAnsi="Times New Roman" w:eastAsia="宋体" w:cs="Times New Roman"/>
                <w:sz w:val="24"/>
                <w:szCs w:val="24"/>
                <w:lang w:val="en-US" w:eastAsia="zh-CN"/>
              </w:rPr>
            </w:pPr>
            <w:r>
              <w:rPr>
                <w:rFonts w:hint="default"/>
                <w:sz w:val="24"/>
                <w:szCs w:val="24"/>
                <w:lang w:val="en-US" w:eastAsia="zh-CN"/>
              </w:rPr>
              <w:t>公司在202</w:t>
            </w:r>
            <w:r>
              <w:rPr>
                <w:rFonts w:hint="eastAsia"/>
                <w:sz w:val="24"/>
                <w:szCs w:val="24"/>
                <w:lang w:val="en-US" w:eastAsia="zh-CN"/>
              </w:rPr>
              <w:t>2.5.9.实施</w:t>
            </w:r>
            <w:r>
              <w:rPr>
                <w:rFonts w:hint="default"/>
                <w:sz w:val="24"/>
                <w:szCs w:val="24"/>
                <w:lang w:val="en-US" w:eastAsia="zh-CN"/>
              </w:rPr>
              <w:t>管理评审</w:t>
            </w:r>
            <w:r>
              <w:rPr>
                <w:rFonts w:hint="eastAsia"/>
                <w:sz w:val="24"/>
                <w:szCs w:val="24"/>
                <w:lang w:val="en-US" w:eastAsia="zh-CN"/>
              </w:rPr>
              <w:t>；</w:t>
            </w:r>
            <w:r>
              <w:rPr>
                <w:rFonts w:hint="default"/>
                <w:sz w:val="24"/>
                <w:szCs w:val="24"/>
                <w:lang w:val="en-US" w:eastAsia="zh-CN"/>
              </w:rPr>
              <w:t>所有职能部门参与，提供</w:t>
            </w:r>
            <w:r>
              <w:rPr>
                <w:rFonts w:hint="default"/>
                <w:sz w:val="24"/>
                <w:szCs w:val="24"/>
                <w:highlight w:val="none"/>
                <w:lang w:val="en-US" w:eastAsia="zh-CN"/>
              </w:rPr>
              <w:t>了手写的签到表；</w:t>
            </w:r>
            <w:r>
              <w:rPr>
                <w:rFonts w:hint="default"/>
                <w:sz w:val="24"/>
                <w:szCs w:val="24"/>
                <w:lang w:val="en-US" w:eastAsia="zh-CN"/>
              </w:rPr>
              <w:t>主要的输</w:t>
            </w:r>
            <w:r>
              <w:rPr>
                <w:rFonts w:hint="default" w:ascii="Times New Roman" w:hAnsi="Times New Roman" w:eastAsia="宋体" w:cs="Times New Roman"/>
                <w:sz w:val="24"/>
                <w:szCs w:val="24"/>
                <w:lang w:val="en-US" w:eastAsia="zh-CN"/>
              </w:rPr>
              <w:t>入：</w:t>
            </w:r>
          </w:p>
          <w:p>
            <w:pPr>
              <w:pStyle w:val="2"/>
              <w:numPr>
                <w:ilvl w:val="0"/>
                <w:numId w:val="1"/>
              </w:numPr>
              <w:spacing w:line="240" w:lineRule="auto"/>
              <w:rPr>
                <w:rFonts w:hint="eastAsia" w:ascii="宋体" w:hAnsi="宋体"/>
                <w:szCs w:val="21"/>
              </w:rPr>
            </w:pPr>
            <w:r>
              <w:rPr>
                <w:rFonts w:hint="eastAsia" w:ascii="宋体" w:hAnsi="宋体"/>
                <w:bCs/>
                <w:szCs w:val="21"/>
              </w:rPr>
              <w:t>本公司质量、环境、职业健康安全、HSE管理体系实施、运行以来的运行情况；2.20</w:t>
            </w:r>
            <w:r>
              <w:rPr>
                <w:rFonts w:ascii="宋体" w:hAnsi="宋体"/>
                <w:bCs/>
                <w:szCs w:val="21"/>
              </w:rPr>
              <w:t>22</w:t>
            </w:r>
            <w:r>
              <w:rPr>
                <w:rFonts w:hint="eastAsia" w:ascii="宋体" w:hAnsi="宋体"/>
                <w:bCs/>
                <w:szCs w:val="21"/>
              </w:rPr>
              <w:t>年4月2</w:t>
            </w:r>
            <w:r>
              <w:rPr>
                <w:rFonts w:ascii="宋体" w:hAnsi="宋体"/>
                <w:bCs/>
                <w:szCs w:val="21"/>
              </w:rPr>
              <w:t>1</w:t>
            </w:r>
            <w:r>
              <w:rPr>
                <w:rFonts w:hint="eastAsia" w:ascii="宋体" w:hAnsi="宋体"/>
                <w:bCs/>
                <w:szCs w:val="21"/>
              </w:rPr>
              <w:t>日至2</w:t>
            </w:r>
            <w:r>
              <w:rPr>
                <w:rFonts w:ascii="宋体" w:hAnsi="宋体"/>
                <w:bCs/>
                <w:szCs w:val="21"/>
              </w:rPr>
              <w:t>2</w:t>
            </w:r>
            <w:r>
              <w:rPr>
                <w:rFonts w:hint="eastAsia" w:ascii="宋体" w:hAnsi="宋体"/>
                <w:bCs/>
                <w:szCs w:val="21"/>
              </w:rPr>
              <w:t>日内审的结果；3.环境因素和危险源的识别、评价和控制情况；5.</w:t>
            </w:r>
            <w:r>
              <w:rPr>
                <w:rFonts w:hint="eastAsia" w:ascii="宋体" w:hAnsi="宋体"/>
                <w:szCs w:val="21"/>
              </w:rPr>
              <w:t>对公司管理体系所需的资源</w:t>
            </w:r>
            <w:r>
              <w:rPr>
                <w:rFonts w:hint="eastAsia" w:ascii="宋体" w:hAnsi="宋体"/>
                <w:bCs/>
                <w:szCs w:val="21"/>
              </w:rPr>
              <w:t>；6.采取的预防和纠正措施或所要求的跟踪措施；7.管理方针和目标指标的适宜性、有效性、充分性；8.</w:t>
            </w:r>
            <w:r>
              <w:rPr>
                <w:rFonts w:hint="eastAsia" w:ascii="宋体" w:hAnsi="宋体"/>
                <w:szCs w:val="21"/>
              </w:rPr>
              <w:t xml:space="preserve"> 领导承诺的实现程度及</w:t>
            </w:r>
            <w:r>
              <w:rPr>
                <w:rFonts w:hint="eastAsia" w:ascii="宋体" w:hAnsi="宋体"/>
                <w:bCs/>
                <w:szCs w:val="21"/>
              </w:rPr>
              <w:t>其它改进的建议；9.</w:t>
            </w:r>
            <w:r>
              <w:rPr>
                <w:rFonts w:hint="eastAsia" w:ascii="宋体" w:hAnsi="宋体"/>
                <w:szCs w:val="21"/>
              </w:rPr>
              <w:t>针对事故、重复事故和其他单位事故的分析，来改进公司管理体系；10.关键过程或装置的风险控制情况；11.法律法规遵守情况;12.安全专项资金投入计划和使用11.应急预案的有效性等。</w:t>
            </w:r>
          </w:p>
          <w:p>
            <w:pPr>
              <w:pStyle w:val="2"/>
              <w:numPr>
                <w:ilvl w:val="0"/>
                <w:numId w:val="0"/>
              </w:numPr>
              <w:spacing w:line="240" w:lineRule="auto"/>
              <w:rPr>
                <w:rFonts w:hint="default"/>
                <w:sz w:val="24"/>
                <w:szCs w:val="24"/>
                <w:lang w:val="en-US" w:eastAsia="zh-CN"/>
              </w:rPr>
            </w:pPr>
            <w:r>
              <w:rPr>
                <w:rFonts w:hint="default"/>
                <w:sz w:val="24"/>
                <w:szCs w:val="24"/>
                <w:lang w:val="en-US" w:eastAsia="zh-CN"/>
              </w:rPr>
              <w:t>评审结论：</w:t>
            </w:r>
          </w:p>
          <w:p>
            <w:pPr>
              <w:pStyle w:val="2"/>
              <w:spacing w:line="240" w:lineRule="auto"/>
              <w:rPr>
                <w:rFonts w:hint="eastAsia" w:ascii="宋体" w:hAnsi="宋体"/>
                <w:sz w:val="24"/>
                <w:szCs w:val="24"/>
              </w:rPr>
            </w:pPr>
            <w:r>
              <w:rPr>
                <w:rFonts w:hint="eastAsia" w:ascii="宋体" w:hAnsi="宋体"/>
                <w:sz w:val="24"/>
                <w:szCs w:val="24"/>
              </w:rPr>
              <w:t xml:space="preserve">    公司的管理体系符合质量、环境、职业健康安全、HSE管理要求，运行有效，使用方法适宜，结果是有效的，效果是明显的。</w:t>
            </w:r>
          </w:p>
          <w:p>
            <w:pPr>
              <w:pStyle w:val="2"/>
              <w:spacing w:line="240" w:lineRule="auto"/>
              <w:rPr>
                <w:rFonts w:hint="default"/>
                <w:sz w:val="24"/>
                <w:szCs w:val="24"/>
                <w:lang w:val="en-US" w:eastAsia="zh-CN"/>
              </w:rPr>
            </w:pPr>
            <w:r>
              <w:rPr>
                <w:rFonts w:hint="eastAsia"/>
                <w:b/>
                <w:szCs w:val="21"/>
              </w:rPr>
              <w:t>改进</w:t>
            </w:r>
            <w:r>
              <w:rPr>
                <w:rFonts w:hint="default"/>
                <w:sz w:val="24"/>
                <w:szCs w:val="24"/>
                <w:lang w:val="en-US" w:eastAsia="zh-CN"/>
              </w:rPr>
              <w:t>管理评审改进建议：</w:t>
            </w:r>
          </w:p>
          <w:p>
            <w:pPr>
              <w:pStyle w:val="2"/>
              <w:spacing w:line="240" w:lineRule="auto"/>
              <w:rPr>
                <w:rFonts w:hint="default"/>
                <w:sz w:val="24"/>
                <w:szCs w:val="24"/>
                <w:lang w:val="en-US" w:eastAsia="zh-CN"/>
              </w:rPr>
            </w:pPr>
            <w:bookmarkStart w:id="4" w:name="OLE_LINK1"/>
            <w:r>
              <w:rPr>
                <w:rFonts w:hint="default"/>
                <w:sz w:val="24"/>
                <w:szCs w:val="24"/>
                <w:lang w:val="en-US" w:eastAsia="zh-CN"/>
              </w:rPr>
              <w:t>1．应对健康、环境和安全方面的法律法规（HSE）标准进行及时收集，理</w:t>
            </w:r>
          </w:p>
          <w:p>
            <w:pPr>
              <w:pStyle w:val="2"/>
              <w:spacing w:line="240" w:lineRule="auto"/>
              <w:rPr>
                <w:rFonts w:hint="default"/>
                <w:sz w:val="24"/>
                <w:szCs w:val="24"/>
                <w:lang w:val="en-US" w:eastAsia="zh-CN"/>
              </w:rPr>
            </w:pPr>
            <w:r>
              <w:rPr>
                <w:rFonts w:hint="default"/>
                <w:sz w:val="24"/>
                <w:szCs w:val="24"/>
                <w:lang w:val="en-US" w:eastAsia="zh-CN"/>
              </w:rPr>
              <w:t>解并运用。</w:t>
            </w:r>
          </w:p>
          <w:p>
            <w:pPr>
              <w:pStyle w:val="2"/>
              <w:spacing w:line="240" w:lineRule="auto"/>
              <w:rPr>
                <w:rFonts w:hint="default"/>
                <w:sz w:val="24"/>
                <w:szCs w:val="24"/>
                <w:lang w:val="en-US" w:eastAsia="zh-CN"/>
              </w:rPr>
            </w:pPr>
            <w:r>
              <w:rPr>
                <w:rFonts w:hint="default"/>
                <w:sz w:val="24"/>
                <w:szCs w:val="24"/>
                <w:lang w:val="en-US" w:eastAsia="zh-CN"/>
              </w:rPr>
              <w:t>2.对质量、环境、职业健康安全标准、中国石化HSE管理体系要求还应进</w:t>
            </w:r>
          </w:p>
          <w:p>
            <w:pPr>
              <w:pStyle w:val="2"/>
              <w:spacing w:line="240" w:lineRule="auto"/>
              <w:rPr>
                <w:rFonts w:hint="default"/>
                <w:sz w:val="24"/>
                <w:szCs w:val="24"/>
                <w:lang w:val="en-US" w:eastAsia="zh-CN"/>
              </w:rPr>
            </w:pPr>
            <w:r>
              <w:rPr>
                <w:rFonts w:hint="default"/>
                <w:sz w:val="24"/>
                <w:szCs w:val="24"/>
                <w:lang w:val="en-US" w:eastAsia="zh-CN"/>
              </w:rPr>
              <w:t>一步学习和理解。。</w:t>
            </w:r>
          </w:p>
          <w:bookmarkEnd w:id="4"/>
          <w:p>
            <w:pPr>
              <w:pStyle w:val="2"/>
              <w:spacing w:line="240" w:lineRule="auto"/>
              <w:rPr>
                <w:rFonts w:hint="default"/>
                <w:sz w:val="24"/>
                <w:szCs w:val="24"/>
                <w:lang w:val="en-US" w:eastAsia="zh-CN"/>
              </w:rPr>
            </w:pPr>
            <w:r>
              <w:rPr>
                <w:rFonts w:hint="eastAsia"/>
                <w:sz w:val="24"/>
                <w:szCs w:val="24"/>
                <w:lang w:val="en-US" w:eastAsia="zh-CN"/>
              </w:rPr>
              <w:t>---管评已发放相关职能部门。</w:t>
            </w:r>
          </w:p>
          <w:p>
            <w:pPr>
              <w:spacing w:line="240" w:lineRule="auto"/>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sz w:val="24"/>
                <w:szCs w:val="24"/>
              </w:rPr>
              <w:t>管理体系绩效检查及改进机制</w:t>
            </w:r>
          </w:p>
        </w:tc>
        <w:tc>
          <w:tcPr>
            <w:tcW w:w="960" w:type="dxa"/>
          </w:tcPr>
          <w:p>
            <w:pPr>
              <w:rPr>
                <w:rFonts w:hint="eastAsia"/>
                <w:lang w:val="en-US" w:eastAsia="zh-CN"/>
              </w:rPr>
            </w:pPr>
            <w:r>
              <w:rPr>
                <w:rFonts w:hint="eastAsia"/>
                <w:lang w:val="en-US" w:eastAsia="zh-CN"/>
              </w:rPr>
              <w:t>QES9.1.1/10.1/10.3</w:t>
            </w:r>
          </w:p>
          <w:p>
            <w:pPr>
              <w:pStyle w:val="2"/>
              <w:rPr>
                <w:rFonts w:hint="default"/>
                <w:lang w:val="en-US"/>
              </w:rPr>
            </w:pPr>
            <w:bookmarkStart w:id="5" w:name="_GoBack"/>
            <w:r>
              <w:rPr>
                <w:rFonts w:hint="eastAsia" w:ascii="Times New Roman" w:hAnsi="Times New Roman" w:eastAsia="宋体" w:cs="Times New Roman"/>
                <w:kern w:val="2"/>
                <w:sz w:val="21"/>
                <w:szCs w:val="20"/>
                <w:lang w:val="en-US" w:eastAsia="zh-CN" w:bidi="ar-SA"/>
              </w:rPr>
              <w:t>H5.1/6.2</w:t>
            </w:r>
            <w:bookmarkEnd w:id="5"/>
          </w:p>
        </w:tc>
        <w:tc>
          <w:tcPr>
            <w:tcW w:w="10004" w:type="dxa"/>
          </w:tcPr>
          <w:p>
            <w:pPr>
              <w:spacing w:line="240" w:lineRule="auto"/>
              <w:jc w:val="left"/>
              <w:rPr>
                <w:rFonts w:hint="eastAsia"/>
                <w:sz w:val="24"/>
                <w:szCs w:val="24"/>
                <w:lang w:val="en-US" w:eastAsia="zh-CN"/>
              </w:rPr>
            </w:pPr>
            <w:r>
              <w:rPr>
                <w:rFonts w:hint="eastAsia"/>
                <w:sz w:val="24"/>
                <w:szCs w:val="24"/>
                <w:lang w:val="en-US" w:eastAsia="zh-CN"/>
              </w:rPr>
              <w:t>---策划了下列成文信息：</w:t>
            </w:r>
          </w:p>
          <w:p>
            <w:pPr>
              <w:spacing w:line="240" w:lineRule="auto"/>
              <w:jc w:val="left"/>
              <w:rPr>
                <w:rFonts w:hint="default"/>
                <w:sz w:val="24"/>
                <w:szCs w:val="24"/>
                <w:lang w:val="en-US" w:eastAsia="zh-CN"/>
              </w:rPr>
            </w:pPr>
            <w:r>
              <w:rPr>
                <w:rFonts w:hint="default"/>
                <w:sz w:val="24"/>
                <w:szCs w:val="24"/>
                <w:lang w:val="en-US" w:eastAsia="zh-CN"/>
              </w:rPr>
              <w:t>内部审核控制程序</w:t>
            </w:r>
          </w:p>
          <w:p>
            <w:pPr>
              <w:spacing w:line="240" w:lineRule="auto"/>
              <w:jc w:val="left"/>
              <w:rPr>
                <w:rFonts w:hint="default"/>
                <w:sz w:val="24"/>
                <w:szCs w:val="24"/>
                <w:lang w:val="en-US" w:eastAsia="zh-CN"/>
              </w:rPr>
            </w:pPr>
            <w:r>
              <w:rPr>
                <w:rFonts w:hint="default"/>
                <w:sz w:val="24"/>
                <w:szCs w:val="24"/>
                <w:lang w:val="en-US" w:eastAsia="zh-CN"/>
              </w:rPr>
              <w:t>管理评审控制程序</w:t>
            </w:r>
          </w:p>
          <w:p>
            <w:pPr>
              <w:spacing w:line="240" w:lineRule="auto"/>
              <w:jc w:val="left"/>
              <w:rPr>
                <w:rFonts w:hint="eastAsia"/>
                <w:sz w:val="24"/>
                <w:szCs w:val="24"/>
              </w:rPr>
            </w:pPr>
            <w:r>
              <w:rPr>
                <w:rFonts w:hint="eastAsia"/>
                <w:sz w:val="24"/>
                <w:szCs w:val="24"/>
              </w:rPr>
              <w:t>不合格输出控制程序</w:t>
            </w:r>
          </w:p>
          <w:p>
            <w:pPr>
              <w:spacing w:line="240" w:lineRule="auto"/>
              <w:jc w:val="left"/>
              <w:rPr>
                <w:rFonts w:hint="eastAsia"/>
                <w:sz w:val="24"/>
                <w:szCs w:val="24"/>
              </w:rPr>
            </w:pPr>
            <w:r>
              <w:rPr>
                <w:rFonts w:hint="eastAsia"/>
                <w:sz w:val="24"/>
                <w:szCs w:val="24"/>
              </w:rPr>
              <w:t>改进控制程序</w:t>
            </w:r>
          </w:p>
          <w:p>
            <w:pPr>
              <w:spacing w:line="240" w:lineRule="auto"/>
              <w:jc w:val="left"/>
              <w:rPr>
                <w:rFonts w:hint="eastAsia" w:ascii="Times New Roman" w:hAnsi="Times New Roman" w:eastAsia="宋体" w:cs="Times New Roman"/>
                <w:sz w:val="24"/>
                <w:szCs w:val="24"/>
                <w:lang w:val="en-US" w:eastAsia="zh-CN"/>
              </w:rPr>
            </w:pPr>
            <w:r>
              <w:rPr>
                <w:rFonts w:hint="eastAsia"/>
                <w:sz w:val="24"/>
                <w:szCs w:val="24"/>
              </w:rPr>
              <w:t>合</w:t>
            </w:r>
            <w:r>
              <w:rPr>
                <w:rFonts w:hint="eastAsia" w:ascii="Times New Roman" w:hAnsi="Times New Roman" w:eastAsia="宋体" w:cs="Times New Roman"/>
                <w:sz w:val="24"/>
                <w:szCs w:val="24"/>
                <w:lang w:val="en-US" w:eastAsia="zh-CN"/>
              </w:rPr>
              <w:t>规义务控制程序</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绩效监视和测量控制程序</w:t>
            </w:r>
          </w:p>
          <w:p>
            <w:pPr>
              <w:spacing w:line="240" w:lineRule="auto"/>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事故/事件调查、不符合、纠正和预防措施控制程序</w:t>
            </w:r>
          </w:p>
          <w:p>
            <w:pPr>
              <w:spacing w:line="240" w:lineRule="auto"/>
              <w:jc w:val="left"/>
              <w:rPr>
                <w:rFonts w:hint="eastAsia"/>
                <w:sz w:val="24"/>
                <w:szCs w:val="24"/>
                <w:lang w:val="en-US" w:eastAsia="zh-CN"/>
              </w:rPr>
            </w:pPr>
            <w:r>
              <w:rPr>
                <w:rFonts w:hint="eastAsia"/>
                <w:sz w:val="24"/>
                <w:szCs w:val="24"/>
                <w:lang w:val="en-US" w:eastAsia="zh-CN"/>
              </w:rPr>
              <w:t>---实施：</w:t>
            </w:r>
          </w:p>
          <w:p>
            <w:pPr>
              <w:spacing w:line="240" w:lineRule="auto"/>
              <w:jc w:val="left"/>
              <w:rPr>
                <w:rFonts w:hint="default"/>
                <w:sz w:val="24"/>
                <w:szCs w:val="24"/>
                <w:lang w:val="en-US" w:eastAsia="zh-CN"/>
              </w:rPr>
            </w:pPr>
            <w:r>
              <w:rPr>
                <w:rFonts w:hint="eastAsia"/>
                <w:sz w:val="24"/>
                <w:szCs w:val="24"/>
                <w:lang w:val="en-US" w:eastAsia="zh-CN"/>
              </w:rPr>
              <w:t>1、在公司及部门层面全面实施目标考核机制，针对周期性目标考核结果进行改进实施。</w:t>
            </w:r>
          </w:p>
          <w:p>
            <w:pPr>
              <w:spacing w:line="240" w:lineRule="auto"/>
              <w:jc w:val="left"/>
              <w:rPr>
                <w:rFonts w:hint="default"/>
                <w:sz w:val="24"/>
                <w:szCs w:val="24"/>
                <w:lang w:val="en-US" w:eastAsia="zh-CN"/>
              </w:rPr>
            </w:pPr>
            <w:r>
              <w:rPr>
                <w:rFonts w:hint="eastAsia"/>
                <w:sz w:val="24"/>
                <w:szCs w:val="24"/>
                <w:lang w:val="en-US" w:eastAsia="zh-CN"/>
              </w:rPr>
              <w:t>2、针对潜在的紧急情况造成的环境和职业健康安全风险，组织制定了有效的应急预案，并适时安排演练验证，以确定其适宜性和有效性，提升全员应急反应能力。</w:t>
            </w:r>
          </w:p>
          <w:p>
            <w:pPr>
              <w:spacing w:line="240" w:lineRule="auto"/>
              <w:jc w:val="left"/>
              <w:rPr>
                <w:rFonts w:hint="default"/>
                <w:sz w:val="24"/>
                <w:szCs w:val="24"/>
                <w:lang w:val="en-US" w:eastAsia="zh-CN"/>
              </w:rPr>
            </w:pPr>
            <w:r>
              <w:rPr>
                <w:rFonts w:hint="eastAsia"/>
                <w:sz w:val="24"/>
                <w:szCs w:val="24"/>
                <w:lang w:val="en-US" w:eastAsia="zh-CN"/>
              </w:rPr>
              <w:t>3、针对年度内审发现的不符合项实施了原因分析制定纠正措施并跟踪整改验证；针对年度管理评审和公司重大会议等活动信息进行综合分析评价，形成必要的改进决策。</w:t>
            </w:r>
          </w:p>
          <w:p>
            <w:pPr>
              <w:spacing w:line="240" w:lineRule="auto"/>
              <w:jc w:val="left"/>
              <w:rPr>
                <w:rFonts w:hint="eastAsia"/>
                <w:sz w:val="24"/>
                <w:szCs w:val="24"/>
                <w:lang w:val="en-US" w:eastAsia="zh-CN"/>
              </w:rPr>
            </w:pPr>
            <w:r>
              <w:rPr>
                <w:rFonts w:hint="eastAsia"/>
                <w:sz w:val="24"/>
                <w:szCs w:val="24"/>
                <w:lang w:val="en-US" w:eastAsia="zh-CN"/>
              </w:rPr>
              <w:t>4、在日常业务运行中，组织各部门收集、统计贯标记录及QMS/EMS/OHSMS/HSE相关记录信息，运用统计技术进行数据分析，寻找改进机会。</w:t>
            </w:r>
          </w:p>
          <w:p>
            <w:pPr>
              <w:spacing w:line="240" w:lineRule="auto"/>
              <w:jc w:val="left"/>
              <w:rPr>
                <w:rFonts w:hint="eastAsia"/>
                <w:sz w:val="24"/>
                <w:szCs w:val="24"/>
                <w:lang w:val="en-US" w:eastAsia="zh-CN"/>
              </w:rPr>
            </w:pPr>
            <w:r>
              <w:rPr>
                <w:rFonts w:hint="eastAsia"/>
                <w:sz w:val="24"/>
                <w:szCs w:val="24"/>
                <w:lang w:val="en-US" w:eastAsia="zh-CN"/>
              </w:rPr>
              <w:t>5、负责人介绍，贯标期内无客户投诉、媒体曝光、环保、安全事件；通过国家企业信用信息公示系统查询，无行政处罚、异常经营等信息。</w:t>
            </w:r>
          </w:p>
          <w:p>
            <w:pPr>
              <w:spacing w:line="240" w:lineRule="auto"/>
              <w:jc w:val="left"/>
              <w:rPr>
                <w:rFonts w:hint="default"/>
                <w:sz w:val="24"/>
                <w:szCs w:val="24"/>
                <w:lang w:val="en-US" w:eastAsia="zh-CN"/>
              </w:rPr>
            </w:pPr>
            <w:r>
              <w:rPr>
                <w:rFonts w:hint="eastAsia"/>
                <w:sz w:val="24"/>
                <w:szCs w:val="24"/>
                <w:lang w:val="en-US" w:eastAsia="zh-CN"/>
              </w:rPr>
              <w:t>6、本次外审一阶段未发现问题。</w:t>
            </w:r>
          </w:p>
          <w:p>
            <w:pPr>
              <w:spacing w:line="240" w:lineRule="auto"/>
              <w:rPr>
                <w:rFonts w:hint="eastAsia"/>
                <w:sz w:val="24"/>
                <w:szCs w:val="24"/>
                <w:lang w:val="en-US" w:eastAsia="zh-CN"/>
              </w:rPr>
            </w:pPr>
            <w:r>
              <w:rPr>
                <w:rFonts w:hint="eastAsia"/>
                <w:sz w:val="24"/>
                <w:szCs w:val="24"/>
                <w:lang w:val="en-US" w:eastAsia="zh-CN"/>
              </w:rPr>
              <w:t>——上述这些均在相应的过程审核中提供有实施证据，证实了该组织改进机制的建设基本有效。</w:t>
            </w:r>
          </w:p>
          <w:p>
            <w:pPr>
              <w:spacing w:line="240" w:lineRule="auto"/>
              <w:jc w:val="left"/>
              <w:rPr>
                <w:rFonts w:hint="eastAsia" w:ascii="Times New Roman" w:hAnsi="Times New Roman" w:eastAsia="宋体" w:cs="Times New Roman"/>
                <w:sz w:val="24"/>
                <w:szCs w:val="24"/>
              </w:rPr>
            </w:pPr>
          </w:p>
        </w:tc>
        <w:tc>
          <w:tcPr>
            <w:tcW w:w="1585" w:type="dxa"/>
          </w:tc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379F2"/>
    <w:multiLevelType w:val="singleLevel"/>
    <w:tmpl w:val="395379F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DJhNGRkNmZiZjA2OTg3ZjZiMDhkODZkNmNlMjcifQ=="/>
  </w:docVars>
  <w:rsids>
    <w:rsidRoot w:val="00000000"/>
    <w:rsid w:val="00A578E1"/>
    <w:rsid w:val="01643005"/>
    <w:rsid w:val="01B82438"/>
    <w:rsid w:val="01BD3D54"/>
    <w:rsid w:val="024A0001"/>
    <w:rsid w:val="026446E5"/>
    <w:rsid w:val="02F24D3F"/>
    <w:rsid w:val="045A1585"/>
    <w:rsid w:val="048A5581"/>
    <w:rsid w:val="05171224"/>
    <w:rsid w:val="053B05E3"/>
    <w:rsid w:val="05407DD9"/>
    <w:rsid w:val="06CC603E"/>
    <w:rsid w:val="06EB43B9"/>
    <w:rsid w:val="0749768F"/>
    <w:rsid w:val="074D403E"/>
    <w:rsid w:val="07CF5DE6"/>
    <w:rsid w:val="07D81106"/>
    <w:rsid w:val="09215B17"/>
    <w:rsid w:val="09B01F21"/>
    <w:rsid w:val="0A742C74"/>
    <w:rsid w:val="0AD04B8B"/>
    <w:rsid w:val="0AFB3396"/>
    <w:rsid w:val="0BB43C70"/>
    <w:rsid w:val="0CC75415"/>
    <w:rsid w:val="0E9B2EC6"/>
    <w:rsid w:val="0EBE04C0"/>
    <w:rsid w:val="0F8E6586"/>
    <w:rsid w:val="102A6C14"/>
    <w:rsid w:val="10D33F0F"/>
    <w:rsid w:val="14D067CB"/>
    <w:rsid w:val="151B4DA8"/>
    <w:rsid w:val="1694052D"/>
    <w:rsid w:val="16F23D8F"/>
    <w:rsid w:val="17DD079F"/>
    <w:rsid w:val="18226406"/>
    <w:rsid w:val="1A6F1D2C"/>
    <w:rsid w:val="1C1056DF"/>
    <w:rsid w:val="1CED55A7"/>
    <w:rsid w:val="1CFA0DB7"/>
    <w:rsid w:val="1D6C156E"/>
    <w:rsid w:val="1DD34BE1"/>
    <w:rsid w:val="1E4F6539"/>
    <w:rsid w:val="1FA01B24"/>
    <w:rsid w:val="203455B4"/>
    <w:rsid w:val="215C4351"/>
    <w:rsid w:val="223B282E"/>
    <w:rsid w:val="225100F1"/>
    <w:rsid w:val="22F83FEB"/>
    <w:rsid w:val="22FB3ADB"/>
    <w:rsid w:val="233174FD"/>
    <w:rsid w:val="23767606"/>
    <w:rsid w:val="248631F0"/>
    <w:rsid w:val="25007ACF"/>
    <w:rsid w:val="25861D82"/>
    <w:rsid w:val="263F0380"/>
    <w:rsid w:val="26920BFA"/>
    <w:rsid w:val="270311B0"/>
    <w:rsid w:val="27065F0F"/>
    <w:rsid w:val="277D7865"/>
    <w:rsid w:val="27BA5D13"/>
    <w:rsid w:val="27D8088F"/>
    <w:rsid w:val="29954C89"/>
    <w:rsid w:val="2A094D30"/>
    <w:rsid w:val="2AA8279A"/>
    <w:rsid w:val="2CD441F9"/>
    <w:rsid w:val="2E114AFB"/>
    <w:rsid w:val="2E33681F"/>
    <w:rsid w:val="2E3727E0"/>
    <w:rsid w:val="2EBA6EE4"/>
    <w:rsid w:val="300A12B0"/>
    <w:rsid w:val="300D5C89"/>
    <w:rsid w:val="30DB6CFA"/>
    <w:rsid w:val="32002EBC"/>
    <w:rsid w:val="32F7250C"/>
    <w:rsid w:val="3301513E"/>
    <w:rsid w:val="332D207A"/>
    <w:rsid w:val="33B9418C"/>
    <w:rsid w:val="3437693D"/>
    <w:rsid w:val="355F614C"/>
    <w:rsid w:val="35B9585C"/>
    <w:rsid w:val="366518A8"/>
    <w:rsid w:val="376818B4"/>
    <w:rsid w:val="37920A5A"/>
    <w:rsid w:val="38AB0315"/>
    <w:rsid w:val="390923C2"/>
    <w:rsid w:val="3ACA4067"/>
    <w:rsid w:val="3AFF09E5"/>
    <w:rsid w:val="3B506068"/>
    <w:rsid w:val="3BAB41FA"/>
    <w:rsid w:val="3C13403E"/>
    <w:rsid w:val="40C50748"/>
    <w:rsid w:val="40E15C7F"/>
    <w:rsid w:val="4125649B"/>
    <w:rsid w:val="412F280D"/>
    <w:rsid w:val="413466DE"/>
    <w:rsid w:val="41D6428B"/>
    <w:rsid w:val="43741014"/>
    <w:rsid w:val="44FF0DB1"/>
    <w:rsid w:val="450B3C86"/>
    <w:rsid w:val="45921C25"/>
    <w:rsid w:val="47264D1B"/>
    <w:rsid w:val="47525B10"/>
    <w:rsid w:val="478C7274"/>
    <w:rsid w:val="48885BE5"/>
    <w:rsid w:val="49B26509"/>
    <w:rsid w:val="4B0431F7"/>
    <w:rsid w:val="4B0D06CC"/>
    <w:rsid w:val="4BE40D01"/>
    <w:rsid w:val="4C123B1A"/>
    <w:rsid w:val="4C6E755B"/>
    <w:rsid w:val="4C8C0DC0"/>
    <w:rsid w:val="4D390F77"/>
    <w:rsid w:val="4D913ECF"/>
    <w:rsid w:val="4DD70B1D"/>
    <w:rsid w:val="4E8F31A6"/>
    <w:rsid w:val="4F1D7D4F"/>
    <w:rsid w:val="4F636902"/>
    <w:rsid w:val="50224F4C"/>
    <w:rsid w:val="504D156B"/>
    <w:rsid w:val="51141DD1"/>
    <w:rsid w:val="519D5BDA"/>
    <w:rsid w:val="51A36F2B"/>
    <w:rsid w:val="51CE0489"/>
    <w:rsid w:val="51D07D5D"/>
    <w:rsid w:val="52C378C2"/>
    <w:rsid w:val="534053B7"/>
    <w:rsid w:val="53C51119"/>
    <w:rsid w:val="547C433A"/>
    <w:rsid w:val="549F6F41"/>
    <w:rsid w:val="54FB3E41"/>
    <w:rsid w:val="56537F8C"/>
    <w:rsid w:val="565D1DDC"/>
    <w:rsid w:val="571A1A7B"/>
    <w:rsid w:val="57260341"/>
    <w:rsid w:val="57652308"/>
    <w:rsid w:val="58AB6E2E"/>
    <w:rsid w:val="59EC1C72"/>
    <w:rsid w:val="5AB3021C"/>
    <w:rsid w:val="5B12588A"/>
    <w:rsid w:val="5B251CCF"/>
    <w:rsid w:val="5B793214"/>
    <w:rsid w:val="5BB046F6"/>
    <w:rsid w:val="5BFC7A7E"/>
    <w:rsid w:val="5C52693D"/>
    <w:rsid w:val="5DAB0B47"/>
    <w:rsid w:val="5E5F1000"/>
    <w:rsid w:val="5F306451"/>
    <w:rsid w:val="608F7035"/>
    <w:rsid w:val="630D3EC6"/>
    <w:rsid w:val="631A1780"/>
    <w:rsid w:val="639D5F0D"/>
    <w:rsid w:val="63C27722"/>
    <w:rsid w:val="64E078AA"/>
    <w:rsid w:val="65A2780B"/>
    <w:rsid w:val="68542D12"/>
    <w:rsid w:val="6B0E1CAF"/>
    <w:rsid w:val="6BA22313"/>
    <w:rsid w:val="6BBB33D4"/>
    <w:rsid w:val="6C501814"/>
    <w:rsid w:val="6C5B577F"/>
    <w:rsid w:val="6C8E0AE9"/>
    <w:rsid w:val="6CDE381E"/>
    <w:rsid w:val="6D340D11"/>
    <w:rsid w:val="6D34343E"/>
    <w:rsid w:val="6E1A123E"/>
    <w:rsid w:val="6E50453B"/>
    <w:rsid w:val="6E97433A"/>
    <w:rsid w:val="6EF75E3A"/>
    <w:rsid w:val="6EFE3D04"/>
    <w:rsid w:val="703345C3"/>
    <w:rsid w:val="70F47EF2"/>
    <w:rsid w:val="712A73BF"/>
    <w:rsid w:val="72E871A5"/>
    <w:rsid w:val="73267CCD"/>
    <w:rsid w:val="74485A21"/>
    <w:rsid w:val="75866801"/>
    <w:rsid w:val="76393874"/>
    <w:rsid w:val="779D6084"/>
    <w:rsid w:val="78056103"/>
    <w:rsid w:val="788B5150"/>
    <w:rsid w:val="788D71B5"/>
    <w:rsid w:val="78D74508"/>
    <w:rsid w:val="7A8F4E0B"/>
    <w:rsid w:val="7BD1454E"/>
    <w:rsid w:val="7BE519EC"/>
    <w:rsid w:val="7CA0289E"/>
    <w:rsid w:val="7CE7399F"/>
    <w:rsid w:val="7D902637"/>
    <w:rsid w:val="7E215319"/>
    <w:rsid w:val="7EC34622"/>
    <w:rsid w:val="7F3437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24"/>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3339</Words>
  <Characters>3827</Characters>
  <Lines>1</Lines>
  <Paragraphs>1</Paragraphs>
  <TotalTime>9</TotalTime>
  <ScaleCrop>false</ScaleCrop>
  <LinksUpToDate>false</LinksUpToDate>
  <CharactersWithSpaces>3866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2022-06-27T16:49:03Z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2052-11.1.0.11830</vt:lpwstr>
  </property>
</Properties>
</file>