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b/>
                <w:bCs/>
                <w:sz w:val="21"/>
                <w:szCs w:val="21"/>
                <w:lang w:val="en-US" w:eastAsia="zh-CN"/>
              </w:rPr>
              <w:t>技术部;</w:t>
            </w:r>
            <w:r>
              <w:rPr>
                <w:rFonts w:hint="eastAsia"/>
                <w:sz w:val="24"/>
                <w:szCs w:val="24"/>
              </w:rPr>
              <w:t>主管领导</w:t>
            </w:r>
            <w:r>
              <w:rPr>
                <w:rFonts w:hint="eastAsia"/>
                <w:sz w:val="24"/>
                <w:szCs w:val="24"/>
                <w:lang w:val="en-US" w:eastAsia="zh-CN"/>
              </w:rPr>
              <w:t>/</w:t>
            </w:r>
            <w:r>
              <w:rPr>
                <w:rFonts w:hint="eastAsia"/>
                <w:sz w:val="24"/>
                <w:szCs w:val="24"/>
              </w:rPr>
              <w:t>陪同人员：</w:t>
            </w:r>
            <w:bookmarkStart w:id="0" w:name="管理者代表"/>
            <w:r>
              <w:rPr>
                <w:rFonts w:hint="eastAsia"/>
                <w:sz w:val="24"/>
                <w:szCs w:val="24"/>
              </w:rPr>
              <w:t>邓元冬</w:t>
            </w:r>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周文；</w:t>
            </w:r>
            <w:r>
              <w:rPr>
                <w:rFonts w:hint="eastAsia"/>
                <w:sz w:val="24"/>
                <w:szCs w:val="24"/>
              </w:rPr>
              <w:t>审核时间：</w:t>
            </w:r>
            <w:bookmarkStart w:id="1" w:name="审核日期"/>
            <w:r>
              <w:t>2022年06月24日 上午至2022年06月25日 下午</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rPr>
            </w:pPr>
            <w:r>
              <w:rPr>
                <w:rFonts w:hint="eastAsia"/>
              </w:rPr>
              <w:t>审核条款：</w:t>
            </w:r>
            <w:r>
              <w:rPr>
                <w:rFonts w:hint="eastAsia" w:ascii="宋体" w:hAnsi="宋体"/>
                <w:b/>
                <w:bCs/>
                <w:sz w:val="21"/>
                <w:szCs w:val="21"/>
                <w:lang w:val="en-US" w:eastAsia="zh-CN"/>
              </w:rPr>
              <w:t>技术部</w:t>
            </w:r>
          </w:p>
          <w:p>
            <w:pPr>
              <w:pStyle w:val="1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Q:5.3/6.2/6.3/7.1.6/9.1.1/10.3</w:t>
            </w:r>
          </w:p>
          <w:p>
            <w:pPr>
              <w:pStyle w:val="1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E5.3/10.3</w:t>
            </w:r>
          </w:p>
          <w:p>
            <w:pPr>
              <w:pStyle w:val="13"/>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S:5.3/5.4/10.3</w:t>
            </w:r>
          </w:p>
          <w:p>
            <w:pPr>
              <w:pStyle w:val="1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H:1.2/1.4/2.4/4.2/5.1/6.2</w:t>
            </w:r>
          </w:p>
          <w:p>
            <w:pPr>
              <w:pStyle w:val="13"/>
              <w:rPr>
                <w:rFonts w:hint="eastAsia" w:ascii="宋体" w:hAnsi="宋体" w:eastAsia="宋体" w:cs="Times New Roman"/>
                <w:lang w:val="en-US" w:eastAsia="zh-CN"/>
              </w:rPr>
            </w:pPr>
            <w:r>
              <w:rPr>
                <w:rFonts w:hint="eastAsia" w:ascii="宋体" w:hAnsi="宋体" w:eastAsia="宋体" w:cs="Times New Roman"/>
                <w:lang w:val="en-US" w:eastAsia="zh-CN"/>
              </w:rPr>
              <w:t>策划过程（职权分配、员工代表、目标管理、变更控制）、支持过程（知识控制）、绩效测量与监视与持续改进</w:t>
            </w:r>
          </w:p>
          <w:p>
            <w:pPr>
              <w:pStyle w:val="13"/>
              <w:rPr>
                <w:rFonts w:hint="eastAsia" w:ascii="宋体" w:hAnsi="宋体" w:cs="Times New Roman"/>
                <w:lang w:val="en-US" w:eastAsia="zh-CN"/>
              </w:rPr>
            </w:pPr>
            <w:r>
              <w:rPr>
                <w:rFonts w:hint="eastAsia" w:ascii="宋体" w:hAnsi="宋体" w:cs="Times New Roman"/>
                <w:lang w:val="en-US" w:eastAsia="zh-CN"/>
              </w:rPr>
              <w:t>临时现场：</w:t>
            </w:r>
          </w:p>
          <w:p>
            <w:pPr>
              <w:pStyle w:val="13"/>
              <w:rPr>
                <w:rFonts w:hint="eastAsia"/>
                <w:sz w:val="21"/>
                <w:szCs w:val="21"/>
                <w:lang w:val="en-US" w:eastAsia="zh-CN"/>
              </w:rPr>
            </w:pPr>
            <w:r>
              <w:rPr>
                <w:rFonts w:hint="eastAsia"/>
                <w:sz w:val="21"/>
                <w:szCs w:val="21"/>
                <w:lang w:val="en-US" w:eastAsia="zh-CN"/>
              </w:rPr>
              <w:t>Q:7.1.2/7.1.3/7.1.4/7.1.5</w:t>
            </w:r>
          </w:p>
          <w:p>
            <w:pPr>
              <w:pStyle w:val="13"/>
              <w:rPr>
                <w:rFonts w:hint="default"/>
                <w:sz w:val="21"/>
                <w:szCs w:val="21"/>
                <w:lang w:val="en-US" w:eastAsia="zh-CN"/>
              </w:rPr>
            </w:pPr>
            <w:r>
              <w:rPr>
                <w:rFonts w:hint="eastAsia"/>
                <w:sz w:val="21"/>
                <w:szCs w:val="21"/>
                <w:lang w:val="en-US" w:eastAsia="zh-CN"/>
              </w:rPr>
              <w:t>ES:7.1</w:t>
            </w:r>
          </w:p>
          <w:p>
            <w:pPr>
              <w:pStyle w:val="13"/>
              <w:rPr>
                <w:rFonts w:hint="default" w:ascii="宋体" w:hAnsi="宋体" w:cs="Times New Roman"/>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40" w:lineRule="auto"/>
              <w:jc w:val="center"/>
              <w:rPr>
                <w:rFonts w:hint="eastAsia" w:eastAsia="宋体"/>
                <w:sz w:val="21"/>
                <w:szCs w:val="21"/>
                <w:lang w:eastAsia="zh-CN"/>
              </w:rPr>
            </w:pPr>
            <w:r>
              <w:rPr>
                <w:rFonts w:hint="eastAsia"/>
                <w:sz w:val="21"/>
                <w:szCs w:val="21"/>
              </w:rPr>
              <w:t>组织的岗位、职责和权限</w:t>
            </w:r>
            <w:r>
              <w:rPr>
                <w:rFonts w:hint="eastAsia"/>
                <w:sz w:val="21"/>
                <w:szCs w:val="21"/>
                <w:lang w:eastAsia="zh-CN"/>
              </w:rPr>
              <w:t>；</w:t>
            </w:r>
          </w:p>
          <w:p/>
        </w:tc>
        <w:tc>
          <w:tcPr>
            <w:tcW w:w="960" w:type="dxa"/>
          </w:tcPr>
          <w:p>
            <w:pPr>
              <w:rPr>
                <w:rFonts w:hint="eastAsia"/>
                <w:lang w:val="en-US" w:eastAsia="zh-CN"/>
              </w:rPr>
            </w:pPr>
            <w:r>
              <w:rPr>
                <w:rFonts w:hint="eastAsia"/>
                <w:lang w:val="en-US" w:eastAsia="zh-CN"/>
              </w:rPr>
              <w:t>QES5.3/S5.4</w:t>
            </w:r>
          </w:p>
          <w:p>
            <w:pPr>
              <w:pStyle w:val="2"/>
              <w:rPr>
                <w:rFonts w:hint="default"/>
                <w:lang w:val="en-US"/>
              </w:rPr>
            </w:pPr>
            <w:r>
              <w:rPr>
                <w:rFonts w:hint="eastAsia" w:ascii="Times New Roman" w:hAnsi="Times New Roman" w:eastAsia="宋体" w:cs="Times New Roman"/>
                <w:kern w:val="2"/>
                <w:sz w:val="21"/>
                <w:szCs w:val="20"/>
                <w:lang w:val="en-US" w:eastAsia="zh-CN" w:bidi="ar-SA"/>
              </w:rPr>
              <w:t>H:1.2/1.4</w:t>
            </w:r>
          </w:p>
        </w:tc>
        <w:tc>
          <w:tcPr>
            <w:tcW w:w="10004" w:type="dxa"/>
          </w:tcPr>
          <w:p>
            <w:pPr>
              <w:pStyle w:val="14"/>
              <w:spacing w:line="240" w:lineRule="auto"/>
              <w:rPr>
                <w:rFonts w:ascii="宋体" w:hAnsi="宋体"/>
                <w:kern w:val="0"/>
                <w:sz w:val="21"/>
                <w:szCs w:val="21"/>
              </w:rPr>
            </w:pPr>
            <w:r>
              <w:rPr>
                <w:rFonts w:hint="eastAsia"/>
                <w:sz w:val="21"/>
                <w:szCs w:val="21"/>
                <w:lang w:val="en-US" w:eastAsia="zh-CN"/>
              </w:rPr>
              <w:t>---</w:t>
            </w:r>
            <w:r>
              <w:rPr>
                <w:rFonts w:hint="eastAsia"/>
                <w:sz w:val="21"/>
                <w:szCs w:val="21"/>
              </w:rPr>
              <w:t>通过</w:t>
            </w:r>
            <w:r>
              <w:rPr>
                <w:rFonts w:hint="eastAsia"/>
                <w:sz w:val="21"/>
                <w:szCs w:val="21"/>
                <w:lang w:val="en-US" w:eastAsia="zh-CN"/>
              </w:rPr>
              <w:t>技术部</w:t>
            </w:r>
            <w:r>
              <w:rPr>
                <w:rFonts w:hint="eastAsia"/>
                <w:sz w:val="21"/>
                <w:szCs w:val="21"/>
              </w:rPr>
              <w:t>负责人交谈及查看《管理手册》3.2.6 技术部，其部门的</w:t>
            </w:r>
            <w:r>
              <w:rPr>
                <w:rFonts w:hint="eastAsia" w:ascii="宋体" w:hAnsi="宋体"/>
                <w:kern w:val="0"/>
                <w:sz w:val="21"/>
                <w:szCs w:val="21"/>
              </w:rPr>
              <w:t>岗位职能及权限内容为：</w:t>
            </w:r>
          </w:p>
          <w:p>
            <w:pPr>
              <w:pStyle w:val="14"/>
              <w:spacing w:line="240" w:lineRule="auto"/>
              <w:rPr>
                <w:rFonts w:hint="eastAsia"/>
                <w:sz w:val="21"/>
                <w:szCs w:val="21"/>
              </w:rPr>
            </w:pPr>
            <w:r>
              <w:rPr>
                <w:rFonts w:hint="eastAsia"/>
                <w:sz w:val="21"/>
                <w:szCs w:val="21"/>
              </w:rPr>
              <w:t>1.负责组织做好收集有关企业运营与服务的国家法律、法规与其他要求文件，建立相关的档案文件，并保持持续跟踪和更新，为开展各项工作做好依法合规的基础工作。</w:t>
            </w:r>
          </w:p>
          <w:p>
            <w:pPr>
              <w:pStyle w:val="14"/>
              <w:spacing w:line="240" w:lineRule="auto"/>
              <w:rPr>
                <w:rFonts w:hint="eastAsia"/>
                <w:sz w:val="21"/>
                <w:szCs w:val="21"/>
              </w:rPr>
            </w:pPr>
            <w:r>
              <w:rPr>
                <w:rFonts w:hint="eastAsia"/>
                <w:sz w:val="21"/>
                <w:szCs w:val="21"/>
              </w:rPr>
              <w:t>2．负责组织对各相关行业或项目的风险进行辨识，建立相关的风险清单，按照风险大小进行分级和制定相应措施（包括重大危险源），用以更好的指导和服务于客户，必要时可聘请相关专业机构，。</w:t>
            </w:r>
          </w:p>
          <w:p>
            <w:pPr>
              <w:pStyle w:val="14"/>
              <w:spacing w:line="240" w:lineRule="auto"/>
              <w:rPr>
                <w:rFonts w:hint="eastAsia"/>
                <w:sz w:val="21"/>
                <w:szCs w:val="21"/>
              </w:rPr>
            </w:pPr>
            <w:r>
              <w:rPr>
                <w:rFonts w:hint="eastAsia"/>
                <w:sz w:val="21"/>
                <w:szCs w:val="21"/>
              </w:rPr>
              <w:t>3．负责组织开展专业培训工作，保证专家资质和业务能力满足岗位需要，不断提高专家的技术水平。</w:t>
            </w:r>
          </w:p>
          <w:p>
            <w:pPr>
              <w:pStyle w:val="14"/>
              <w:spacing w:line="240" w:lineRule="auto"/>
              <w:rPr>
                <w:rFonts w:hint="eastAsia"/>
                <w:sz w:val="21"/>
                <w:szCs w:val="21"/>
                <w:lang w:val="en-US" w:eastAsia="zh-CN"/>
              </w:rPr>
            </w:pPr>
            <w:r>
              <w:rPr>
                <w:rFonts w:hint="eastAsia"/>
                <w:sz w:val="21"/>
                <w:szCs w:val="21"/>
                <w:lang w:val="en-US" w:eastAsia="zh-CN"/>
              </w:rPr>
              <w:t>......等。</w:t>
            </w:r>
          </w:p>
          <w:p>
            <w:pPr>
              <w:pStyle w:val="14"/>
              <w:spacing w:line="240" w:lineRule="auto"/>
              <w:rPr>
                <w:rFonts w:hint="eastAsia"/>
                <w:sz w:val="21"/>
                <w:szCs w:val="21"/>
                <w:lang w:val="en-US" w:eastAsia="zh-CN"/>
              </w:rPr>
            </w:pPr>
            <w:r>
              <w:rPr>
                <w:rFonts w:hint="eastAsia"/>
                <w:sz w:val="21"/>
                <w:szCs w:val="21"/>
                <w:lang w:val="en-US" w:eastAsia="zh-CN"/>
              </w:rPr>
              <w:t>查《管理手册》0.4 任命书</w:t>
            </w:r>
          </w:p>
          <w:p>
            <w:pPr>
              <w:pStyle w:val="14"/>
              <w:spacing w:line="240" w:lineRule="auto"/>
              <w:rPr>
                <w:rFonts w:hint="default"/>
                <w:sz w:val="21"/>
                <w:szCs w:val="21"/>
                <w:lang w:val="en-US" w:eastAsia="zh-CN"/>
              </w:rPr>
            </w:pPr>
            <w:r>
              <w:rPr>
                <w:rFonts w:hint="default"/>
                <w:sz w:val="21"/>
                <w:szCs w:val="21"/>
                <w:lang w:val="en-US" w:eastAsia="zh-CN"/>
              </w:rPr>
              <w:t>经全体员工选举决定韩根霞同志为职业健康安全、HSE事务代表，具体职责如下：</w:t>
            </w:r>
          </w:p>
          <w:p>
            <w:pPr>
              <w:pStyle w:val="14"/>
              <w:spacing w:line="240" w:lineRule="auto"/>
              <w:rPr>
                <w:rFonts w:hint="default"/>
                <w:sz w:val="21"/>
                <w:szCs w:val="21"/>
                <w:lang w:val="en-US" w:eastAsia="zh-CN"/>
              </w:rPr>
            </w:pPr>
            <w:r>
              <w:rPr>
                <w:rFonts w:hint="default"/>
                <w:sz w:val="21"/>
                <w:szCs w:val="21"/>
                <w:lang w:val="en-US" w:eastAsia="zh-CN"/>
              </w:rPr>
              <w:t>1、参与公司职业健康安全、HSE管理体系的建立与实施；</w:t>
            </w:r>
          </w:p>
          <w:p>
            <w:pPr>
              <w:pStyle w:val="14"/>
              <w:spacing w:line="240" w:lineRule="auto"/>
              <w:rPr>
                <w:rFonts w:hint="default"/>
                <w:sz w:val="21"/>
                <w:szCs w:val="21"/>
                <w:lang w:val="en-US" w:eastAsia="zh-CN"/>
              </w:rPr>
            </w:pPr>
            <w:r>
              <w:rPr>
                <w:rFonts w:hint="default"/>
                <w:sz w:val="21"/>
                <w:szCs w:val="21"/>
                <w:lang w:val="en-US" w:eastAsia="zh-CN"/>
              </w:rPr>
              <w:t>2、参与公司职业健康安全、HSE方针、目标的制定和评审；</w:t>
            </w:r>
          </w:p>
          <w:p>
            <w:pPr>
              <w:pStyle w:val="14"/>
              <w:spacing w:line="240" w:lineRule="auto"/>
              <w:rPr>
                <w:rFonts w:hint="default"/>
                <w:sz w:val="21"/>
                <w:szCs w:val="21"/>
                <w:lang w:val="en-US" w:eastAsia="zh-CN"/>
              </w:rPr>
            </w:pPr>
            <w:r>
              <w:rPr>
                <w:rFonts w:hint="default"/>
                <w:sz w:val="21"/>
                <w:szCs w:val="21"/>
                <w:lang w:val="en-US" w:eastAsia="zh-CN"/>
              </w:rPr>
              <w:t>3、参与公司职业健康安全、HSE管理方案的建立与实施；</w:t>
            </w:r>
          </w:p>
          <w:p>
            <w:r>
              <w:rPr>
                <w:rFonts w:hint="eastAsia" w:asciiTheme="minorEastAsia" w:hAnsiTheme="minorEastAsia" w:eastAsiaTheme="minorEastAsia"/>
                <w:szCs w:val="21"/>
              </w:rPr>
              <w:t>——岗位、职责和权限明确</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sz w:val="21"/>
                <w:szCs w:val="21"/>
                <w:lang w:val="en-US" w:eastAsia="zh-CN"/>
              </w:rPr>
              <w:t>目标管理</w:t>
            </w:r>
          </w:p>
        </w:tc>
        <w:tc>
          <w:tcPr>
            <w:tcW w:w="960" w:type="dxa"/>
          </w:tcPr>
          <w:p>
            <w:pPr>
              <w:rPr>
                <w:rFonts w:hint="eastAsia"/>
                <w:lang w:val="en-US" w:eastAsia="zh-CN"/>
              </w:rPr>
            </w:pPr>
            <w:r>
              <w:rPr>
                <w:rFonts w:hint="eastAsia"/>
                <w:lang w:val="en-US" w:eastAsia="zh-CN"/>
              </w:rPr>
              <w:t>Q6.2</w:t>
            </w:r>
          </w:p>
          <w:p>
            <w:pPr>
              <w:pStyle w:val="2"/>
              <w:rPr>
                <w:rFonts w:hint="default"/>
                <w:lang w:val="en-US" w:eastAsia="zh-CN"/>
              </w:rPr>
            </w:pPr>
            <w:r>
              <w:rPr>
                <w:rFonts w:hint="eastAsia" w:ascii="Times New Roman" w:hAnsi="Times New Roman" w:eastAsia="宋体" w:cs="Times New Roman"/>
                <w:kern w:val="2"/>
                <w:sz w:val="21"/>
                <w:szCs w:val="20"/>
                <w:lang w:val="en-US" w:eastAsia="zh-CN" w:bidi="ar-SA"/>
              </w:rPr>
              <w:t>H2.4</w:t>
            </w:r>
          </w:p>
        </w:tc>
        <w:tc>
          <w:tcPr>
            <w:tcW w:w="10004" w:type="dxa"/>
          </w:tcPr>
          <w:p>
            <w:pP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策划有《管理目标管理程序》，提供有“</w:t>
            </w:r>
            <w:r>
              <w:rPr>
                <w:rFonts w:hint="eastAsia" w:asciiTheme="minorEastAsia" w:hAnsiTheme="minorEastAsia" w:eastAsiaTheme="minorEastAsia"/>
                <w:szCs w:val="21"/>
                <w:lang w:val="en-US" w:eastAsia="zh-CN"/>
              </w:rPr>
              <w:t>ESH</w:t>
            </w:r>
            <w:r>
              <w:rPr>
                <w:rFonts w:hint="eastAsia" w:asciiTheme="minorEastAsia" w:hAnsiTheme="minorEastAsia" w:eastAsiaTheme="minorEastAsia"/>
                <w:szCs w:val="21"/>
              </w:rPr>
              <w:t>目标、指标与管理方案”，“博安公司2022年目标完成情况表”。</w:t>
            </w:r>
          </w:p>
          <w:p>
            <w:pPr>
              <w:ind w:firstLine="420" w:firstLineChars="200"/>
            </w:pPr>
            <w:r>
              <w:rPr>
                <w:rFonts w:hint="eastAsia" w:asciiTheme="minorEastAsia" w:hAnsiTheme="minorEastAsia" w:eastAsiaTheme="minorEastAsia"/>
                <w:szCs w:val="21"/>
              </w:rPr>
              <w:t>查202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年度</w:t>
            </w:r>
            <w:r>
              <w:rPr>
                <w:rFonts w:hint="eastAsia" w:asciiTheme="minorEastAsia" w:hAnsiTheme="minorEastAsia" w:eastAsiaTheme="minorEastAsia"/>
                <w:szCs w:val="21"/>
                <w:lang w:val="en-US" w:eastAsia="zh-CN"/>
              </w:rPr>
              <w:t>Q1的</w:t>
            </w:r>
            <w:r>
              <w:rPr>
                <w:rFonts w:hint="eastAsia" w:asciiTheme="minorEastAsia" w:hAnsiTheme="minorEastAsia" w:eastAsiaTheme="minorEastAsia"/>
                <w:szCs w:val="21"/>
              </w:rPr>
              <w:t>Q</w:t>
            </w:r>
            <w:r>
              <w:rPr>
                <w:rFonts w:asciiTheme="minorEastAsia" w:hAnsiTheme="minorEastAsia" w:eastAsiaTheme="minorEastAsia"/>
                <w:szCs w:val="21"/>
              </w:rPr>
              <w:t>E</w:t>
            </w:r>
            <w:r>
              <w:rPr>
                <w:rFonts w:hint="eastAsia" w:asciiTheme="minorEastAsia" w:hAnsiTheme="minorEastAsia" w:eastAsiaTheme="minorEastAsia"/>
                <w:szCs w:val="21"/>
                <w:lang w:val="en-US" w:eastAsia="zh-CN"/>
              </w:rPr>
              <w:t>SH</w:t>
            </w:r>
            <w:r>
              <w:rPr>
                <w:rFonts w:hint="eastAsia" w:asciiTheme="minorEastAsia" w:hAnsiTheme="minorEastAsia" w:eastAsiaTheme="minorEastAsia"/>
                <w:szCs w:val="21"/>
              </w:rPr>
              <w:t>目标完成情况统计表，</w:t>
            </w:r>
            <w:r>
              <w:rPr>
                <w:rFonts w:hint="eastAsia" w:asciiTheme="minorEastAsia" w:hAnsiTheme="minorEastAsia" w:eastAsiaTheme="minorEastAsia"/>
                <w:szCs w:val="21"/>
                <w:lang w:val="en-US" w:eastAsia="zh-CN"/>
              </w:rPr>
              <w:t>考核频率：季度；</w:t>
            </w:r>
            <w:r>
              <w:rPr>
                <w:rFonts w:hint="eastAsia" w:asciiTheme="minorEastAsia" w:hAnsiTheme="minorEastAsia" w:eastAsiaTheme="minorEastAsia"/>
                <w:szCs w:val="21"/>
              </w:rPr>
              <w:t>结论均为达标；统计数据记录，更新及时，责任人明确。</w:t>
            </w:r>
          </w:p>
          <w:p>
            <w:pPr>
              <w:rPr>
                <w:rFonts w:asciiTheme="minorEastAsia" w:hAnsiTheme="minorEastAsia" w:eastAsiaTheme="minorEastAsia"/>
                <w:szCs w:val="21"/>
              </w:rPr>
            </w:pPr>
            <w:r>
              <w:drawing>
                <wp:inline distT="0" distB="0" distL="114300" distR="114300">
                  <wp:extent cx="6209030" cy="54864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209030" cy="548640"/>
                          </a:xfrm>
                          <a:prstGeom prst="rect">
                            <a:avLst/>
                          </a:prstGeom>
                          <a:noFill/>
                          <a:ln>
                            <a:noFill/>
                          </a:ln>
                        </pic:spPr>
                      </pic:pic>
                    </a:graphicData>
                  </a:graphic>
                </wp:inline>
              </w:drawing>
            </w:r>
          </w:p>
          <w:p>
            <w:pPr>
              <w:ind w:firstLine="420" w:firstLineChars="200"/>
              <w:rPr>
                <w:rFonts w:asciiTheme="minorEastAsia" w:hAnsiTheme="minorEastAsia" w:eastAsiaTheme="minorEastAsia"/>
                <w:szCs w:val="21"/>
              </w:rPr>
            </w:pPr>
          </w:p>
          <w:p>
            <w:r>
              <w:rPr>
                <w:rFonts w:hint="eastAsia" w:cs="Times New Roman" w:asciiTheme="minorEastAsia" w:hAnsiTheme="minorEastAsia" w:eastAsiaTheme="minorEastAsia"/>
                <w:b w:val="0"/>
                <w:bCs w:val="0"/>
                <w:sz w:val="21"/>
                <w:szCs w:val="21"/>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eastAsia="宋体"/>
                <w:lang w:val="en-US" w:eastAsia="zh-CN"/>
              </w:rPr>
            </w:pPr>
            <w:r>
              <w:rPr>
                <w:rFonts w:hint="eastAsia"/>
                <w:lang w:val="en-US" w:eastAsia="zh-CN"/>
              </w:rPr>
              <w:t>变更</w:t>
            </w:r>
          </w:p>
        </w:tc>
        <w:tc>
          <w:tcPr>
            <w:tcW w:w="960" w:type="dxa"/>
          </w:tcPr>
          <w:p>
            <w:pPr>
              <w:rPr>
                <w:rFonts w:hint="default" w:eastAsia="宋体"/>
                <w:lang w:val="en-US" w:eastAsia="zh-CN"/>
              </w:rPr>
            </w:pPr>
            <w:r>
              <w:rPr>
                <w:rFonts w:hint="eastAsia"/>
                <w:lang w:val="en-US" w:eastAsia="zh-CN"/>
              </w:rPr>
              <w:t>Q6.3</w:t>
            </w:r>
          </w:p>
        </w:tc>
        <w:tc>
          <w:tcPr>
            <w:tcW w:w="10004" w:type="dxa"/>
          </w:tcPr>
          <w:p>
            <w:pPr>
              <w:rPr>
                <w:rFonts w:hint="default" w:eastAsia="宋体"/>
                <w:lang w:val="en-US" w:eastAsia="zh-CN"/>
              </w:rPr>
            </w:pPr>
            <w:r>
              <w:rPr>
                <w:rFonts w:hint="eastAsia"/>
                <w:lang w:val="en-US" w:eastAsia="zh-CN"/>
              </w:rPr>
              <w:t>技术部负责人</w:t>
            </w:r>
            <w:r>
              <w:rPr>
                <w:rFonts w:hint="eastAsia"/>
                <w:sz w:val="24"/>
                <w:szCs w:val="24"/>
              </w:rPr>
              <w:t>邓元冬</w:t>
            </w:r>
            <w:r>
              <w:rPr>
                <w:rFonts w:hint="eastAsia"/>
                <w:sz w:val="24"/>
                <w:szCs w:val="24"/>
                <w:lang w:val="en-US" w:eastAsia="zh-CN"/>
              </w:rPr>
              <w:t>介绍，技术部目前暂无变更，如将来外部环境或公司战略目标发生改变，将组织相关专家进行策划、评审变更。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lang w:val="en-US" w:eastAsia="zh-CN"/>
              </w:rPr>
            </w:pPr>
            <w:r>
              <w:rPr>
                <w:rFonts w:hint="eastAsia" w:ascii="宋体" w:hAnsi="宋体" w:eastAsia="宋体" w:cs="Times New Roman"/>
                <w:lang w:val="en-US" w:eastAsia="zh-CN"/>
              </w:rPr>
              <w:t>知识控制</w:t>
            </w:r>
          </w:p>
        </w:tc>
        <w:tc>
          <w:tcPr>
            <w:tcW w:w="960" w:type="dxa"/>
          </w:tcPr>
          <w:p>
            <w:pPr>
              <w:rPr>
                <w:rFonts w:hint="default"/>
                <w:lang w:val="en-US" w:eastAsia="zh-CN"/>
              </w:rPr>
            </w:pPr>
            <w:r>
              <w:rPr>
                <w:rFonts w:hint="eastAsia"/>
                <w:lang w:val="en-US" w:eastAsia="zh-CN"/>
              </w:rPr>
              <w:t>Q7.1.6</w:t>
            </w:r>
          </w:p>
        </w:tc>
        <w:tc>
          <w:tcPr>
            <w:tcW w:w="10004" w:type="dxa"/>
          </w:tcPr>
          <w:p>
            <w:pPr>
              <w:pStyle w:val="15"/>
              <w:rPr>
                <w:rFonts w:hint="eastAsia" w:eastAsia="宋体"/>
                <w:lang w:val="en-US" w:eastAsia="zh-CN"/>
              </w:rPr>
            </w:pPr>
            <w:r>
              <w:rPr>
                <w:rFonts w:hint="eastAsia"/>
              </w:rPr>
              <w:t>——查企业策划有《知识管理控制程序》。</w:t>
            </w:r>
            <w:r>
              <w:rPr>
                <w:rFonts w:hint="eastAsia"/>
                <w:lang w:val="en-US" w:eastAsia="zh-CN"/>
              </w:rPr>
              <w:t>提供有“组织知识分类表”、“知识分析评价确认表”。</w:t>
            </w:r>
          </w:p>
          <w:p>
            <w:pPr>
              <w:pStyle w:val="15"/>
              <w:ind w:firstLine="420" w:firstLineChars="200"/>
            </w:pPr>
            <w:r>
              <w:rPr>
                <w:rFonts w:hint="eastAsia"/>
              </w:rPr>
              <w:t>负责人表述：知识外部来源包括有</w:t>
            </w:r>
            <w:r>
              <w:rPr>
                <w:rFonts w:hint="eastAsia" w:ascii="宋体" w:hAnsi="宋体"/>
                <w:color w:val="000000"/>
                <w:sz w:val="21"/>
                <w:szCs w:val="21"/>
                <w:lang w:val="en-US" w:eastAsia="zh-CN"/>
              </w:rPr>
              <w:t>安全咨询</w:t>
            </w:r>
            <w:r>
              <w:rPr>
                <w:rFonts w:hint="eastAsia"/>
              </w:rPr>
              <w:t>行业/国家/国际标准、行业会议信息以及从顾客和外部供方收集的相关知识。跟踪核查其标准收集文本等，确认有效。</w:t>
            </w:r>
          </w:p>
          <w:p>
            <w:pPr>
              <w:pStyle w:val="15"/>
              <w:ind w:firstLine="420" w:firstLineChars="200"/>
            </w:pPr>
            <w:r>
              <w:rPr>
                <w:rFonts w:hint="eastAsia"/>
              </w:rPr>
              <w:t>其内部来源包括：产品工艺要求、不定期</w:t>
            </w:r>
            <w:r>
              <w:rPr>
                <w:rFonts w:hint="eastAsia"/>
                <w:lang w:val="en-US" w:eastAsia="zh-CN"/>
              </w:rPr>
              <w:t>专家</w:t>
            </w:r>
            <w:r>
              <w:rPr>
                <w:rFonts w:hint="eastAsia"/>
              </w:rPr>
              <w:t>组例会中对生产工艺注意事项、设备操作经验的总结和提示等；</w:t>
            </w:r>
          </w:p>
          <w:p>
            <w:pPr>
              <w:pStyle w:val="15"/>
              <w:ind w:firstLine="420" w:firstLineChars="200"/>
            </w:pPr>
            <w:r>
              <w:rPr>
                <w:rFonts w:hint="eastAsia"/>
              </w:rPr>
              <w:t>公司将获取的知识通过培训交流、内部会议沟通、客户说明等方式用于生产服务过程，确保知识、经验共享，为改进提供支持。跟踪核查相关文件发放记录、会议纪要、培训记录等，确认基本有效。</w:t>
            </w:r>
          </w:p>
          <w:p>
            <w:pPr>
              <w:pStyle w:val="15"/>
              <w:ind w:firstLine="420" w:firstLineChars="200"/>
            </w:pPr>
          </w:p>
          <w:p>
            <w:r>
              <w:rPr>
                <w:rFonts w:hint="eastAsia"/>
              </w:rPr>
              <w:t>——控制基本满足要求。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lang w:val="en-US" w:eastAsia="zh-CN"/>
              </w:rPr>
            </w:pPr>
            <w:r>
              <w:rPr>
                <w:rFonts w:hint="eastAsia" w:ascii="宋体" w:hAnsi="宋体" w:eastAsia="宋体" w:cs="Times New Roman"/>
                <w:lang w:val="en-US" w:eastAsia="zh-CN"/>
              </w:rPr>
              <w:t>绩效测量与监视与持续改进</w:t>
            </w:r>
          </w:p>
        </w:tc>
        <w:tc>
          <w:tcPr>
            <w:tcW w:w="960" w:type="dxa"/>
          </w:tcPr>
          <w:p>
            <w:pPr>
              <w:spacing w:line="240" w:lineRule="auto"/>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Q9.1.1/</w:t>
            </w:r>
          </w:p>
          <w:p>
            <w:pPr>
              <w:spacing w:line="240" w:lineRule="auto"/>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QES10.3</w:t>
            </w:r>
          </w:p>
          <w:p>
            <w:pPr>
              <w:spacing w:line="240" w:lineRule="auto"/>
              <w:jc w:val="left"/>
              <w:rPr>
                <w:rFonts w:hint="default"/>
                <w:lang w:val="en-US" w:eastAsia="zh-CN"/>
              </w:rPr>
            </w:pPr>
            <w:r>
              <w:rPr>
                <w:rFonts w:hint="eastAsia" w:ascii="Calibri" w:hAnsi="Calibri" w:eastAsia="宋体" w:cs="Times New Roman"/>
                <w:kern w:val="2"/>
                <w:sz w:val="21"/>
                <w:szCs w:val="22"/>
                <w:lang w:val="en-US" w:eastAsia="zh-CN" w:bidi="ar-SA"/>
              </w:rPr>
              <w:t>H5.1/6.2</w:t>
            </w:r>
          </w:p>
        </w:tc>
        <w:tc>
          <w:tcPr>
            <w:tcW w:w="10004" w:type="dxa"/>
          </w:tcPr>
          <w:p>
            <w:pPr>
              <w:spacing w:line="240" w:lineRule="auto"/>
              <w:jc w:val="left"/>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1、在部门层面全面实施目标考核机制，针对周期性目标考核结果进行改进实施。</w:t>
            </w:r>
          </w:p>
          <w:p>
            <w:pPr>
              <w:spacing w:line="240" w:lineRule="auto"/>
              <w:jc w:val="left"/>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2、针对潜在的紧急情况造成的环境和职业健康安全风险，组织制定了有效的应急预案，并适时安排演练验证，以确定其适宜性和有效性，提升全员应急反应能力。</w:t>
            </w:r>
          </w:p>
          <w:p>
            <w:pPr>
              <w:spacing w:line="240" w:lineRule="auto"/>
              <w:jc w:val="left"/>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3、针对年度内审发现的不符合项实施了原因分析制定纠正措施并跟踪整改验证；针对年度管理评审和公司重大会议等活动信息进行综合分析评价，形成必要的改进决策。</w:t>
            </w:r>
          </w:p>
          <w:p>
            <w:pPr>
              <w:spacing w:line="240" w:lineRule="auto"/>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4、在日常业务运行中，组织部门员工收集、统计贯标记录及QMS/EMS/OHSMS/HSE相关记录信息，运用统计技术进行数据分析，寻找改进机会。</w:t>
            </w:r>
          </w:p>
          <w:p>
            <w:pPr>
              <w:spacing w:line="240" w:lineRule="auto"/>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5、负责人介绍，贯标期内无客户投诉、媒体曝光、环保、安全事件；通过国家企业信用信息公示系统查询，无行政处罚、异常经营等信息。</w:t>
            </w:r>
          </w:p>
          <w:p>
            <w:pPr>
              <w:spacing w:line="240" w:lineRule="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——上述这些均在相应的过程审核中提供有实施证据，证实了技术部改进机制的建设基本有效。</w:t>
            </w:r>
          </w:p>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Style w:val="15"/>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项目简介</w:t>
            </w:r>
            <w:r>
              <w:rPr>
                <w:rFonts w:hint="eastAsia" w:ascii="宋体" w:hAnsi="宋体" w:cs="Times New Roman"/>
                <w:kern w:val="2"/>
                <w:sz w:val="21"/>
                <w:szCs w:val="20"/>
                <w:lang w:val="en-US" w:eastAsia="zh-CN" w:bidi="ar-SA"/>
              </w:rPr>
              <w:t>/临时现场</w:t>
            </w:r>
          </w:p>
        </w:tc>
        <w:tc>
          <w:tcPr>
            <w:tcW w:w="960" w:type="dxa"/>
            <w:vAlign w:val="center"/>
          </w:tcPr>
          <w:p>
            <w:pPr>
              <w:pStyle w:val="15"/>
              <w:ind w:firstLine="420" w:firstLineChars="200"/>
              <w:rPr>
                <w:rFonts w:hint="eastAsia"/>
                <w:lang w:val="en-US" w:eastAsia="zh-CN"/>
              </w:rPr>
            </w:pPr>
          </w:p>
        </w:tc>
        <w:tc>
          <w:tcPr>
            <w:tcW w:w="10004" w:type="dxa"/>
            <w:vAlign w:val="center"/>
          </w:tcPr>
          <w:p>
            <w:pPr>
              <w:pStyle w:val="15"/>
              <w:ind w:firstLine="420" w:firstLineChars="200"/>
              <w:rPr>
                <w:rFonts w:hint="eastAsia"/>
              </w:rPr>
            </w:pPr>
            <w:r>
              <w:rPr>
                <w:rFonts w:hint="eastAsia"/>
              </w:rPr>
              <w:t>安庆高新区安监局委托企业对安庆高新区75家企业进行安全检查、安全技能培训、安全技术咨询，审核当天进行的是安徽时联特种溶剂股份有限公司的安全大检查活动。</w:t>
            </w:r>
          </w:p>
        </w:tc>
        <w:tc>
          <w:tcPr>
            <w:tcW w:w="1585" w:type="dxa"/>
          </w:tcPr>
          <w:p>
            <w:pPr>
              <w:pStyle w:val="15"/>
              <w:ind w:firstLine="420" w:firstLineChars="2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15"/>
              <w:ind w:firstLine="420" w:firstLineChars="200"/>
              <w:rPr>
                <w:rFonts w:hint="eastAsia" w:ascii="宋体" w:hAnsi="宋体" w:eastAsia="宋体" w:cs="Times New Roman"/>
                <w:kern w:val="2"/>
                <w:sz w:val="21"/>
                <w:szCs w:val="20"/>
                <w:lang w:val="en-US" w:eastAsia="zh-CN" w:bidi="ar-SA"/>
              </w:rPr>
            </w:pPr>
          </w:p>
          <w:p>
            <w:pPr>
              <w:pStyle w:val="15"/>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人员</w:t>
            </w:r>
          </w:p>
          <w:p>
            <w:pPr>
              <w:pStyle w:val="15"/>
              <w:ind w:firstLine="420" w:firstLineChars="200"/>
              <w:rPr>
                <w:rFonts w:hint="eastAsia" w:ascii="宋体" w:hAnsi="宋体" w:eastAsia="宋体" w:cs="Times New Roman"/>
                <w:kern w:val="2"/>
                <w:sz w:val="21"/>
                <w:szCs w:val="20"/>
                <w:lang w:val="en-US" w:eastAsia="zh-CN" w:bidi="ar-SA"/>
              </w:rPr>
            </w:pPr>
          </w:p>
        </w:tc>
        <w:tc>
          <w:tcPr>
            <w:tcW w:w="960" w:type="dxa"/>
            <w:vAlign w:val="top"/>
          </w:tcPr>
          <w:p>
            <w:pPr>
              <w:spacing w:line="240" w:lineRule="auto"/>
              <w:jc w:val="left"/>
              <w:rPr>
                <w:rFonts w:hint="eastAsia" w:ascii="Calibri" w:hAnsi="Calibri" w:eastAsia="宋体" w:cs="Times New Roman"/>
                <w:kern w:val="2"/>
                <w:sz w:val="21"/>
                <w:szCs w:val="22"/>
                <w:lang w:val="en-US" w:eastAsia="zh-CN" w:bidi="ar-SA"/>
              </w:rPr>
            </w:pPr>
          </w:p>
          <w:p>
            <w:pPr>
              <w:spacing w:line="240" w:lineRule="auto"/>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Q 7.1.2</w:t>
            </w:r>
          </w:p>
          <w:p>
            <w:pPr>
              <w:spacing w:line="240" w:lineRule="auto"/>
              <w:jc w:val="left"/>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H3</w:t>
            </w:r>
            <w:r>
              <w:rPr>
                <w:rFonts w:hint="eastAsia" w:ascii="Calibri" w:hAnsi="Calibri" w:cs="Times New Roman"/>
                <w:kern w:val="2"/>
                <w:sz w:val="21"/>
                <w:szCs w:val="22"/>
                <w:lang w:val="en-US" w:eastAsia="zh-CN" w:bidi="ar-SA"/>
              </w:rPr>
              <w:t>.2</w:t>
            </w:r>
          </w:p>
        </w:tc>
        <w:tc>
          <w:tcPr>
            <w:tcW w:w="10004" w:type="dxa"/>
            <w:vAlign w:val="center"/>
          </w:tcPr>
          <w:p>
            <w:pPr>
              <w:pStyle w:val="15"/>
              <w:ind w:firstLine="420" w:firstLineChars="200"/>
              <w:rPr>
                <w:rFonts w:hint="eastAsia"/>
              </w:rPr>
            </w:pPr>
            <w:r>
              <w:rPr>
                <w:rFonts w:hint="eastAsia"/>
              </w:rPr>
              <w:t>提供《安全岗位责任制》，对任职各岗位人员做出规定；与负责人交流目前人员基本充分、适宜；</w:t>
            </w:r>
          </w:p>
          <w:p>
            <w:pPr>
              <w:pStyle w:val="15"/>
              <w:ind w:firstLine="420" w:firstLineChars="200"/>
              <w:rPr>
                <w:rFonts w:hint="eastAsia"/>
              </w:rPr>
            </w:pPr>
            <w:r>
              <w:rPr>
                <w:rFonts w:hint="eastAsia"/>
              </w:rPr>
              <w:t xml:space="preserve">    抽总经理、部门负责人、关键岗位人员均满足规定的任职资格要求。</w:t>
            </w:r>
          </w:p>
        </w:tc>
        <w:tc>
          <w:tcPr>
            <w:tcW w:w="1585" w:type="dxa"/>
          </w:tcPr>
          <w:p>
            <w:pPr>
              <w:pStyle w:val="15"/>
              <w:ind w:firstLine="420" w:firstLineChars="2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Style w:val="15"/>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基础设施</w:t>
            </w:r>
          </w:p>
        </w:tc>
        <w:tc>
          <w:tcPr>
            <w:tcW w:w="960" w:type="dxa"/>
            <w:vAlign w:val="top"/>
          </w:tcPr>
          <w:p>
            <w:pPr>
              <w:spacing w:line="240" w:lineRule="auto"/>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Q7.1.3</w:t>
            </w:r>
          </w:p>
          <w:p>
            <w:pPr>
              <w:spacing w:line="240" w:lineRule="auto"/>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EO7.1</w:t>
            </w:r>
          </w:p>
          <w:p>
            <w:pPr>
              <w:spacing w:line="240" w:lineRule="auto"/>
              <w:jc w:val="left"/>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H4</w:t>
            </w:r>
            <w:r>
              <w:rPr>
                <w:rFonts w:hint="eastAsia" w:ascii="Calibri" w:hAnsi="Calibri" w:cs="Times New Roman"/>
                <w:kern w:val="2"/>
                <w:sz w:val="21"/>
                <w:szCs w:val="22"/>
                <w:lang w:val="en-US" w:eastAsia="zh-CN" w:bidi="ar-SA"/>
              </w:rPr>
              <w:t>.3</w:t>
            </w:r>
          </w:p>
        </w:tc>
        <w:tc>
          <w:tcPr>
            <w:tcW w:w="10004" w:type="dxa"/>
            <w:vAlign w:val="top"/>
          </w:tcPr>
          <w:p>
            <w:pPr>
              <w:pStyle w:val="15"/>
              <w:ind w:firstLine="420" w:firstLineChars="200"/>
              <w:rPr>
                <w:rFonts w:hint="eastAsia"/>
              </w:rPr>
            </w:pPr>
            <w:r>
              <w:rPr>
                <w:rFonts w:hint="eastAsia"/>
              </w:rPr>
              <w:t>1.基础设施主要包括：会议室、办公室、办公桌椅、档案橱、空调、电话、电脑、打印机、无线WIFI网络等设施。</w:t>
            </w:r>
          </w:p>
          <w:p>
            <w:pPr>
              <w:pStyle w:val="15"/>
              <w:ind w:firstLine="420" w:firstLineChars="200"/>
              <w:rPr>
                <w:rFonts w:hint="eastAsia"/>
              </w:rPr>
            </w:pPr>
            <w:r>
              <w:rPr>
                <w:rFonts w:hint="eastAsia"/>
              </w:rPr>
              <w:t>2.查设备保养：日常对办公设备进行清洁维护，电脑定期杀毒和软件升级，发生故障时联系经销商前来维修处理。</w:t>
            </w:r>
          </w:p>
          <w:p>
            <w:pPr>
              <w:pStyle w:val="15"/>
              <w:ind w:firstLine="420" w:firstLineChars="200"/>
              <w:rPr>
                <w:rFonts w:hint="eastAsia"/>
              </w:rPr>
            </w:pPr>
            <w:r>
              <w:rPr>
                <w:rFonts w:hint="eastAsia"/>
              </w:rPr>
              <w:t>3. 查特种设备：经确认，目前无特种设备。</w:t>
            </w:r>
          </w:p>
          <w:p>
            <w:pPr>
              <w:pStyle w:val="15"/>
              <w:ind w:firstLine="420" w:firstLineChars="200"/>
              <w:rPr>
                <w:rFonts w:hint="eastAsia"/>
              </w:rPr>
            </w:pPr>
            <w:r>
              <w:rPr>
                <w:rFonts w:hint="eastAsia"/>
              </w:rPr>
              <w:t>4.经现场查验上述基础设施均处于有效状态，运转良好。</w:t>
            </w:r>
          </w:p>
          <w:p>
            <w:pPr>
              <w:pStyle w:val="15"/>
              <w:ind w:firstLine="420" w:firstLineChars="200"/>
              <w:rPr>
                <w:rFonts w:hint="eastAsia"/>
              </w:rPr>
            </w:pPr>
            <w:r>
              <w:rPr>
                <w:rFonts w:hint="eastAsia"/>
              </w:rPr>
              <w:t>基础设施管理基本可以满足公司目前体系运行的需要。</w:t>
            </w:r>
          </w:p>
        </w:tc>
        <w:tc>
          <w:tcPr>
            <w:tcW w:w="1585" w:type="dxa"/>
          </w:tcPr>
          <w:p>
            <w:pPr>
              <w:pStyle w:val="15"/>
              <w:ind w:firstLine="420" w:firstLineChars="2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Style w:val="15"/>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过程运行环境</w:t>
            </w:r>
          </w:p>
        </w:tc>
        <w:tc>
          <w:tcPr>
            <w:tcW w:w="960" w:type="dxa"/>
            <w:vAlign w:val="top"/>
          </w:tcPr>
          <w:p>
            <w:pPr>
              <w:spacing w:line="240" w:lineRule="auto"/>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Q7.1.4</w:t>
            </w:r>
          </w:p>
          <w:p>
            <w:pPr>
              <w:spacing w:line="240" w:lineRule="auto"/>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EO7.1</w:t>
            </w:r>
          </w:p>
          <w:p>
            <w:pPr>
              <w:spacing w:line="240" w:lineRule="auto"/>
              <w:jc w:val="left"/>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H4</w:t>
            </w:r>
            <w:r>
              <w:rPr>
                <w:rFonts w:hint="eastAsia" w:ascii="Calibri" w:hAnsi="Calibri" w:cs="Times New Roman"/>
                <w:kern w:val="2"/>
                <w:sz w:val="21"/>
                <w:szCs w:val="22"/>
                <w:lang w:val="en-US" w:eastAsia="zh-CN" w:bidi="ar-SA"/>
              </w:rPr>
              <w:t>.2</w:t>
            </w:r>
          </w:p>
        </w:tc>
        <w:tc>
          <w:tcPr>
            <w:tcW w:w="10004" w:type="dxa"/>
            <w:vAlign w:val="top"/>
          </w:tcPr>
          <w:p>
            <w:pPr>
              <w:pStyle w:val="15"/>
              <w:ind w:firstLine="420" w:firstLineChars="200"/>
              <w:rPr>
                <w:rFonts w:hint="eastAsia"/>
              </w:rPr>
            </w:pPr>
            <w:r>
              <w:rPr>
                <w:rFonts w:hint="eastAsia"/>
              </w:rPr>
              <w:t>公司办公、安全咨询服务过程对环境要求一般，无特殊要求，各办公区域环境卫生由各部门负责。</w:t>
            </w:r>
          </w:p>
          <w:p>
            <w:pPr>
              <w:pStyle w:val="15"/>
              <w:ind w:firstLine="420" w:firstLineChars="200"/>
              <w:rPr>
                <w:rFonts w:hint="eastAsia"/>
              </w:rPr>
            </w:pPr>
            <w:r>
              <w:rPr>
                <w:rFonts w:hint="eastAsia"/>
              </w:rPr>
              <w:t>现场巡视：办公环境光照、温度适宜，通风良好，电路布线合理、电气插座完整，未见破损。</w:t>
            </w:r>
          </w:p>
          <w:p>
            <w:pPr>
              <w:pStyle w:val="15"/>
              <w:ind w:firstLine="420" w:firstLineChars="200"/>
              <w:rPr>
                <w:rFonts w:hint="eastAsia"/>
              </w:rPr>
            </w:pPr>
            <w:r>
              <w:rPr>
                <w:rFonts w:hint="eastAsia"/>
              </w:rPr>
              <w:t>企业确定并提供了产品要求所需的工作环境，工作环境适宜，现有工作环境能满足提供合格的产品以及安全咨询服务的需要。</w:t>
            </w:r>
          </w:p>
        </w:tc>
        <w:tc>
          <w:tcPr>
            <w:tcW w:w="1585" w:type="dxa"/>
          </w:tcPr>
          <w:p>
            <w:pPr>
              <w:pStyle w:val="15"/>
              <w:ind w:firstLine="420" w:firstLineChars="2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Style w:val="15"/>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监视和测量资源</w:t>
            </w:r>
          </w:p>
        </w:tc>
        <w:tc>
          <w:tcPr>
            <w:tcW w:w="960" w:type="dxa"/>
            <w:vAlign w:val="center"/>
          </w:tcPr>
          <w:p>
            <w:pPr>
              <w:spacing w:line="240" w:lineRule="auto"/>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Q：7.1.5</w:t>
            </w:r>
          </w:p>
          <w:p>
            <w:pPr>
              <w:spacing w:line="240" w:lineRule="auto"/>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EO7.1</w:t>
            </w:r>
          </w:p>
          <w:p>
            <w:pPr>
              <w:spacing w:line="240" w:lineRule="auto"/>
              <w:jc w:val="left"/>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H</w:t>
            </w:r>
            <w:r>
              <w:rPr>
                <w:rFonts w:hint="eastAsia" w:ascii="Calibri" w:hAnsi="Calibri" w:cs="Times New Roman"/>
                <w:kern w:val="2"/>
                <w:sz w:val="21"/>
                <w:szCs w:val="22"/>
                <w:lang w:val="en-US" w:eastAsia="zh-CN" w:bidi="ar-SA"/>
              </w:rPr>
              <w:t>3.1/</w:t>
            </w:r>
            <w:bookmarkStart w:id="2" w:name="_GoBack"/>
            <w:bookmarkEnd w:id="2"/>
            <w:r>
              <w:rPr>
                <w:rFonts w:hint="eastAsia" w:ascii="Calibri" w:hAnsi="Calibri" w:eastAsia="宋体" w:cs="Times New Roman"/>
                <w:kern w:val="2"/>
                <w:sz w:val="21"/>
                <w:szCs w:val="22"/>
                <w:lang w:val="en-US" w:eastAsia="zh-CN" w:bidi="ar-SA"/>
              </w:rPr>
              <w:t>4</w:t>
            </w:r>
            <w:r>
              <w:rPr>
                <w:rFonts w:hint="eastAsia" w:ascii="Calibri" w:hAnsi="Calibri" w:cs="Times New Roman"/>
                <w:kern w:val="2"/>
                <w:sz w:val="21"/>
                <w:szCs w:val="22"/>
                <w:lang w:val="en-US" w:eastAsia="zh-CN" w:bidi="ar-SA"/>
              </w:rPr>
              <w:t>.3</w:t>
            </w:r>
          </w:p>
        </w:tc>
        <w:tc>
          <w:tcPr>
            <w:tcW w:w="10004" w:type="dxa"/>
            <w:vAlign w:val="center"/>
          </w:tcPr>
          <w:p>
            <w:pPr>
              <w:pStyle w:val="15"/>
              <w:ind w:firstLine="420" w:firstLineChars="200"/>
              <w:rPr>
                <w:rFonts w:hint="eastAsia"/>
              </w:rPr>
            </w:pPr>
            <w:r>
              <w:rPr>
                <w:rFonts w:hint="eastAsia"/>
              </w:rPr>
              <w:t xml:space="preserve">   本公司在安全咨询服务过程不使用监视和测量设备，对相关检查记录进行了受控管理，防止误用和随意修改。</w:t>
            </w:r>
          </w:p>
        </w:tc>
        <w:tc>
          <w:tcPr>
            <w:tcW w:w="1585" w:type="dxa"/>
          </w:tcPr>
          <w:p>
            <w:pPr>
              <w:pStyle w:val="15"/>
              <w:ind w:firstLine="420" w:firstLineChars="200"/>
              <w:rPr>
                <w:rFonts w:hint="eastAsia" w:eastAsia="宋体"/>
                <w:lang w:val="en-US" w:eastAsia="zh-CN"/>
              </w:rPr>
            </w:pPr>
            <w:r>
              <w:rPr>
                <w:rFonts w:hint="eastAsia"/>
                <w:lang w:val="en-US" w:eastAsia="zh-CN"/>
              </w:rPr>
              <w:t>Y</w:t>
            </w:r>
          </w:p>
        </w:tc>
      </w:tr>
    </w:tbl>
    <w:p>
      <w:pPr>
        <w:pStyle w:val="15"/>
        <w:ind w:firstLine="420" w:firstLineChars="200"/>
        <w:rPr>
          <w:rFonts w:hint="eastAsia"/>
        </w:rPr>
      </w:pPr>
      <w:r>
        <w:rPr>
          <w:rFonts w:hint="eastAsia"/>
        </w:rPr>
        <w:tab/>
      </w:r>
    </w:p>
    <w:p>
      <w:pPr>
        <w:pStyle w:val="15"/>
        <w:ind w:firstLine="420" w:firstLineChars="200"/>
        <w:rPr>
          <w:rFonts w:hint="eastAsia"/>
        </w:rPr>
      </w:pPr>
    </w:p>
    <w:p>
      <w:pPr>
        <w:pStyle w:val="15"/>
        <w:ind w:firstLine="420" w:firstLineChars="200"/>
        <w:rPr>
          <w:rFonts w:hint="eastAsia"/>
        </w:rPr>
      </w:pPr>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08B5614"/>
    <w:rsid w:val="01CA216C"/>
    <w:rsid w:val="057916A3"/>
    <w:rsid w:val="06094138"/>
    <w:rsid w:val="06A20FC1"/>
    <w:rsid w:val="074D2A37"/>
    <w:rsid w:val="078C3A3E"/>
    <w:rsid w:val="08D03580"/>
    <w:rsid w:val="08EA619F"/>
    <w:rsid w:val="09FE29B2"/>
    <w:rsid w:val="0D442DD2"/>
    <w:rsid w:val="0FAC2EB1"/>
    <w:rsid w:val="0FED6A8C"/>
    <w:rsid w:val="109600A9"/>
    <w:rsid w:val="10DA1605"/>
    <w:rsid w:val="15107A3E"/>
    <w:rsid w:val="15C34AB0"/>
    <w:rsid w:val="15F80BFE"/>
    <w:rsid w:val="1AFA7F35"/>
    <w:rsid w:val="1B6D5BEA"/>
    <w:rsid w:val="20484530"/>
    <w:rsid w:val="21A73AE4"/>
    <w:rsid w:val="227D7781"/>
    <w:rsid w:val="22962E0C"/>
    <w:rsid w:val="265A6D6B"/>
    <w:rsid w:val="265D111C"/>
    <w:rsid w:val="26B648E9"/>
    <w:rsid w:val="284D7977"/>
    <w:rsid w:val="28795A80"/>
    <w:rsid w:val="292F0982"/>
    <w:rsid w:val="29EE4DD6"/>
    <w:rsid w:val="2A644AF2"/>
    <w:rsid w:val="2B033E75"/>
    <w:rsid w:val="2BDA1581"/>
    <w:rsid w:val="2C2E0A7D"/>
    <w:rsid w:val="2F7D09CC"/>
    <w:rsid w:val="303F594F"/>
    <w:rsid w:val="328C29A2"/>
    <w:rsid w:val="32A124D0"/>
    <w:rsid w:val="334A6BCA"/>
    <w:rsid w:val="379261E4"/>
    <w:rsid w:val="381C6FB1"/>
    <w:rsid w:val="3B674F75"/>
    <w:rsid w:val="3B8F519F"/>
    <w:rsid w:val="3BCD2AA0"/>
    <w:rsid w:val="3C8C52B9"/>
    <w:rsid w:val="3DAC1BF2"/>
    <w:rsid w:val="40A62E81"/>
    <w:rsid w:val="44676731"/>
    <w:rsid w:val="46F5246C"/>
    <w:rsid w:val="477E06B3"/>
    <w:rsid w:val="479A3013"/>
    <w:rsid w:val="47F84C40"/>
    <w:rsid w:val="48117779"/>
    <w:rsid w:val="4EBD3C00"/>
    <w:rsid w:val="4EDF1538"/>
    <w:rsid w:val="4F785B69"/>
    <w:rsid w:val="51722193"/>
    <w:rsid w:val="52710336"/>
    <w:rsid w:val="52DD4E28"/>
    <w:rsid w:val="533835BA"/>
    <w:rsid w:val="55D87B28"/>
    <w:rsid w:val="586E6522"/>
    <w:rsid w:val="59556034"/>
    <w:rsid w:val="5A52705D"/>
    <w:rsid w:val="5A845B89"/>
    <w:rsid w:val="5B451463"/>
    <w:rsid w:val="5B694D7F"/>
    <w:rsid w:val="5B84053D"/>
    <w:rsid w:val="5BA44F12"/>
    <w:rsid w:val="5C970F97"/>
    <w:rsid w:val="5D656F56"/>
    <w:rsid w:val="5E0D5702"/>
    <w:rsid w:val="5F324C57"/>
    <w:rsid w:val="5F3D6DC0"/>
    <w:rsid w:val="607E57F7"/>
    <w:rsid w:val="65A719EB"/>
    <w:rsid w:val="66901AD8"/>
    <w:rsid w:val="68A044D6"/>
    <w:rsid w:val="68D9541C"/>
    <w:rsid w:val="6A026ACA"/>
    <w:rsid w:val="6BD531F4"/>
    <w:rsid w:val="6BFB1A23"/>
    <w:rsid w:val="6F4A573D"/>
    <w:rsid w:val="739351FC"/>
    <w:rsid w:val="75ED4C5E"/>
    <w:rsid w:val="777233CA"/>
    <w:rsid w:val="78B5520C"/>
    <w:rsid w:val="79D707CE"/>
    <w:rsid w:val="7B46092A"/>
    <w:rsid w:val="7D9D6DDE"/>
    <w:rsid w:val="7EDA2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24"/>
      <w:szCs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
    <w:name w:val="{936e4e6e-5310-4269-9eba-5080d9f28de4}"/>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1900</Words>
  <Characters>2158</Characters>
  <Lines>1</Lines>
  <Paragraphs>1</Paragraphs>
  <TotalTime>10</TotalTime>
  <ScaleCrop>false</ScaleCrop>
  <LinksUpToDate>false</LinksUpToDate>
  <CharactersWithSpaces>2186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2022-07-08T08:27:47Z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