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w:t>
            </w:r>
            <w:r>
              <w:rPr>
                <w:rFonts w:hint="eastAsia" w:ascii="宋体" w:hAnsi="宋体"/>
                <w:b/>
                <w:bCs/>
                <w:szCs w:val="21"/>
              </w:rPr>
              <w:t xml:space="preserve">安全咨询服务临时现场 </w:t>
            </w:r>
            <w:r>
              <w:rPr>
                <w:rFonts w:hint="eastAsia" w:ascii="楷体" w:hAnsi="楷体" w:eastAsia="楷体"/>
                <w:sz w:val="24"/>
                <w:szCs w:val="24"/>
              </w:rPr>
              <w:t xml:space="preserve">     主管领导：邓元冬     陪同人员：韩根霞</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ascii="楷体" w:hAnsi="楷体" w:eastAsia="楷体"/>
                <w:sz w:val="24"/>
                <w:szCs w:val="24"/>
              </w:rPr>
            </w:pPr>
            <w:r>
              <w:rPr>
                <w:rFonts w:hint="eastAsia" w:ascii="楷体" w:hAnsi="楷体" w:eastAsia="楷体"/>
                <w:sz w:val="24"/>
                <w:szCs w:val="24"/>
              </w:rPr>
              <w:t>审核员：姜海军             审核时间：2022.6.24-25   远程审核沟通工具：微信、电话</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jc w:val="left"/>
              <w:textAlignment w:val="baseline"/>
              <w:rPr>
                <w:rFonts w:ascii="楷体" w:hAnsi="楷体" w:eastAsia="楷体" w:cs="Arial"/>
                <w:sz w:val="24"/>
                <w:szCs w:val="24"/>
              </w:rPr>
            </w:pPr>
            <w:r>
              <w:rPr>
                <w:rFonts w:hint="eastAsia" w:ascii="楷体" w:hAnsi="楷体" w:eastAsia="楷体"/>
                <w:sz w:val="24"/>
                <w:szCs w:val="24"/>
              </w:rPr>
              <w:t>审核条</w:t>
            </w:r>
            <w:r>
              <w:rPr>
                <w:rFonts w:hint="eastAsia" w:ascii="楷体" w:hAnsi="楷体" w:eastAsia="楷体" w:cs="Arial"/>
                <w:sz w:val="24"/>
                <w:szCs w:val="24"/>
              </w:rPr>
              <w:t>款：1、 项目简介；</w:t>
            </w:r>
          </w:p>
          <w:p>
            <w:pPr>
              <w:adjustRightInd w:val="0"/>
              <w:snapToGrid w:val="0"/>
              <w:spacing w:line="360" w:lineRule="auto"/>
              <w:ind w:right="105" w:rightChars="50"/>
              <w:jc w:val="left"/>
              <w:textAlignment w:val="baseline"/>
              <w:rPr>
                <w:rFonts w:ascii="楷体" w:hAnsi="楷体" w:eastAsia="楷体" w:cs="Arial"/>
                <w:sz w:val="24"/>
                <w:szCs w:val="24"/>
              </w:rPr>
            </w:pPr>
            <w:r>
              <w:rPr>
                <w:rFonts w:hint="eastAsia" w:ascii="楷体" w:hAnsi="楷体" w:eastAsia="楷体" w:cs="Arial"/>
                <w:sz w:val="24"/>
                <w:szCs w:val="24"/>
              </w:rPr>
              <w:t>2、 现场人员能力、设备设施和工作环境管理</w:t>
            </w:r>
          </w:p>
          <w:p>
            <w:pPr>
              <w:adjustRightInd w:val="0"/>
              <w:snapToGrid w:val="0"/>
              <w:spacing w:line="360" w:lineRule="auto"/>
              <w:ind w:right="105" w:rightChars="50"/>
              <w:jc w:val="left"/>
              <w:textAlignment w:val="baseline"/>
              <w:rPr>
                <w:rFonts w:ascii="楷体" w:hAnsi="楷体" w:eastAsia="楷体" w:cs="Arial"/>
                <w:sz w:val="24"/>
                <w:szCs w:val="24"/>
              </w:rPr>
            </w:pPr>
            <w:r>
              <w:rPr>
                <w:rFonts w:hint="eastAsia" w:ascii="楷体" w:hAnsi="楷体" w:eastAsia="楷体" w:cs="Arial"/>
                <w:sz w:val="24"/>
                <w:szCs w:val="24"/>
              </w:rPr>
              <w:t>3、 项目服务过程及现场运行控制</w:t>
            </w:r>
          </w:p>
          <w:p>
            <w:pPr>
              <w:adjustRightInd w:val="0"/>
              <w:snapToGrid w:val="0"/>
              <w:spacing w:line="360" w:lineRule="auto"/>
              <w:ind w:right="105" w:rightChars="50"/>
              <w:jc w:val="left"/>
              <w:textAlignment w:val="baseline"/>
              <w:rPr>
                <w:rFonts w:ascii="楷体" w:hAnsi="楷体" w:eastAsia="楷体" w:cs="Arial"/>
                <w:sz w:val="24"/>
                <w:szCs w:val="24"/>
              </w:rPr>
            </w:pPr>
            <w:r>
              <w:rPr>
                <w:rFonts w:ascii="楷体" w:hAnsi="楷体" w:eastAsia="楷体" w:cs="Arial"/>
                <w:sz w:val="24"/>
                <w:szCs w:val="24"/>
              </w:rPr>
              <w:t>Q:8.5.1/8.5.2/8.5.3/8.5.4</w:t>
            </w:r>
          </w:p>
          <w:p>
            <w:pPr>
              <w:adjustRightInd w:val="0"/>
              <w:snapToGrid w:val="0"/>
              <w:spacing w:line="360" w:lineRule="auto"/>
              <w:ind w:right="105" w:rightChars="50"/>
              <w:jc w:val="left"/>
              <w:textAlignment w:val="baseline"/>
              <w:rPr>
                <w:rFonts w:ascii="楷体" w:hAnsi="楷体" w:eastAsia="楷体" w:cs="Arial"/>
                <w:sz w:val="24"/>
                <w:szCs w:val="24"/>
              </w:rPr>
            </w:pPr>
            <w:r>
              <w:rPr>
                <w:rFonts w:ascii="楷体" w:hAnsi="楷体" w:eastAsia="楷体" w:cs="Arial"/>
                <w:sz w:val="24"/>
                <w:szCs w:val="24"/>
              </w:rPr>
              <w:t>ES:</w:t>
            </w:r>
            <w:bookmarkStart w:id="0" w:name="_GoBack"/>
            <w:bookmarkEnd w:id="0"/>
            <w:r>
              <w:rPr>
                <w:rFonts w:ascii="楷体" w:hAnsi="楷体" w:eastAsia="楷体" w:cs="Arial"/>
                <w:sz w:val="24"/>
                <w:szCs w:val="24"/>
              </w:rPr>
              <w:t>8.1/8.2</w:t>
            </w:r>
          </w:p>
          <w:p>
            <w:pPr>
              <w:adjustRightInd w:val="0"/>
              <w:snapToGrid w:val="0"/>
              <w:spacing w:line="360" w:lineRule="auto"/>
              <w:ind w:right="105" w:rightChars="50"/>
              <w:jc w:val="left"/>
              <w:textAlignment w:val="baseline"/>
              <w:rPr>
                <w:rFonts w:ascii="楷体" w:hAnsi="楷体" w:eastAsia="楷体"/>
                <w:sz w:val="24"/>
                <w:szCs w:val="24"/>
              </w:rPr>
            </w:pPr>
            <w:r>
              <w:rPr>
                <w:rFonts w:ascii="楷体" w:hAnsi="楷体" w:eastAsia="楷体" w:cs="Arial"/>
                <w:sz w:val="24"/>
                <w:szCs w:val="24"/>
              </w:rPr>
              <w:t>H::3.1/4</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项目简介</w:t>
            </w:r>
          </w:p>
        </w:tc>
        <w:tc>
          <w:tcPr>
            <w:tcW w:w="1311" w:type="dxa"/>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firstLine="480" w:firstLineChars="200"/>
              <w:jc w:val="left"/>
              <w:textAlignment w:val="baseline"/>
              <w:rPr>
                <w:rFonts w:ascii="楷体" w:hAnsi="楷体" w:eastAsia="楷体"/>
                <w:sz w:val="24"/>
                <w:szCs w:val="24"/>
              </w:rPr>
            </w:pPr>
            <w:r>
              <w:rPr>
                <w:rFonts w:hint="eastAsia" w:ascii="楷体" w:hAnsi="楷体" w:eastAsia="楷体" w:cs="楷体"/>
                <w:sz w:val="24"/>
                <w:szCs w:val="24"/>
              </w:rPr>
              <w:t>安庆高新区安监局委托企业对安庆高新区75家企业进行安全检查、安全技能培训、安全技术咨询，审核当天进行的是安徽时联特种溶剂股份有限公司的安全大检查活动。</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cstheme="minorEastAsia"/>
                <w:sz w:val="24"/>
                <w:szCs w:val="24"/>
              </w:rPr>
            </w:pPr>
            <w:r>
              <w:rPr>
                <w:rFonts w:hint="eastAsia" w:ascii="楷体" w:hAnsi="楷体" w:eastAsia="楷体" w:cs="楷体"/>
                <w:sz w:val="24"/>
                <w:szCs w:val="24"/>
              </w:rPr>
              <w:t>安全咨询服务临时现场控制</w:t>
            </w:r>
          </w:p>
        </w:tc>
        <w:tc>
          <w:tcPr>
            <w:tcW w:w="1311" w:type="dxa"/>
            <w:vAlign w:val="center"/>
          </w:tcPr>
          <w:p>
            <w:pPr>
              <w:spacing w:line="360" w:lineRule="auto"/>
              <w:rPr>
                <w:rFonts w:ascii="楷体" w:hAnsi="楷体" w:eastAsia="楷体" w:cs="Arial"/>
                <w:sz w:val="24"/>
                <w:szCs w:val="24"/>
              </w:rPr>
            </w:pPr>
            <w:r>
              <w:rPr>
                <w:rFonts w:ascii="楷体" w:hAnsi="楷体" w:eastAsia="楷体" w:cs="Arial"/>
                <w:sz w:val="24"/>
                <w:szCs w:val="24"/>
              </w:rPr>
              <w:t>Q8.5.1</w:t>
            </w:r>
          </w:p>
          <w:p>
            <w:pPr>
              <w:spacing w:line="360" w:lineRule="auto"/>
              <w:rPr>
                <w:rFonts w:ascii="楷体" w:hAnsi="楷体" w:eastAsia="楷体" w:cs="Arial"/>
                <w:sz w:val="24"/>
                <w:szCs w:val="24"/>
              </w:rPr>
            </w:pPr>
            <w:r>
              <w:rPr>
                <w:rFonts w:hint="eastAsia" w:ascii="楷体" w:hAnsi="楷体" w:eastAsia="楷体" w:cs="Arial"/>
                <w:sz w:val="24"/>
                <w:szCs w:val="24"/>
              </w:rPr>
              <w:t>EO8.1</w:t>
            </w:r>
          </w:p>
          <w:p>
            <w:pPr>
              <w:spacing w:line="360" w:lineRule="auto"/>
              <w:rPr>
                <w:rFonts w:ascii="楷体" w:hAnsi="楷体" w:eastAsia="楷体" w:cstheme="minorEastAsia"/>
                <w:sz w:val="24"/>
                <w:szCs w:val="24"/>
              </w:rPr>
            </w:pPr>
            <w:r>
              <w:rPr>
                <w:rFonts w:hint="eastAsia" w:ascii="楷体" w:hAnsi="楷体" w:eastAsia="楷体" w:cs="Arial"/>
                <w:sz w:val="24"/>
                <w:szCs w:val="24"/>
              </w:rPr>
              <w:t>H4</w:t>
            </w:r>
          </w:p>
        </w:tc>
        <w:tc>
          <w:tcPr>
            <w:tcW w:w="10004" w:type="dxa"/>
            <w:vAlign w:val="center"/>
          </w:tcPr>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安徽时联特种溶剂股份有限公司的安全咨询服务现场：</w:t>
            </w:r>
          </w:p>
          <w:p>
            <w:pPr>
              <w:spacing w:line="360" w:lineRule="auto"/>
              <w:ind w:right="-6" w:rightChars="-3"/>
              <w:rPr>
                <w:rFonts w:ascii="楷体" w:hAnsi="楷体" w:eastAsia="楷体" w:cs="楷体"/>
                <w:sz w:val="24"/>
                <w:szCs w:val="24"/>
              </w:rPr>
            </w:pPr>
            <w:r>
              <w:rPr>
                <w:rFonts w:hint="eastAsia" w:ascii="楷体" w:hAnsi="楷体" w:eastAsia="楷体" w:cs="楷体"/>
                <w:sz w:val="24"/>
                <w:szCs w:val="24"/>
              </w:rPr>
              <w:t>企业地址：大观区皖河大道7号。</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 xml:space="preserve">  公司的安全检查人员陈小刚、周建光等人在安徽时联特种溶剂股份有限公司进行安全隐患检查和技术指导服务。先后对中控室、化学品仓库、车间进行了检查指导，主要是检查消防安全制度是否健全，安全重点部位管理情况，消防控制室管理情况，用火用电安全管理情况，防火巡查及防火检查情况，火灾隐患整改情况，消防安全宣传教育和培训情况，灭火和应急疏散预案，电器产品，</w:t>
            </w:r>
            <w:r>
              <w:rPr>
                <w:rFonts w:ascii="楷体" w:hAnsi="楷体" w:eastAsia="楷体" w:cs="楷体"/>
                <w:sz w:val="24"/>
                <w:szCs w:val="24"/>
              </w:rPr>
              <w:t>专兼职消防队伍建设和管理情况</w:t>
            </w:r>
            <w:r>
              <w:rPr>
                <w:rFonts w:hint="eastAsia" w:ascii="楷体" w:hAnsi="楷体" w:eastAsia="楷体" w:cs="楷体"/>
                <w:sz w:val="24"/>
                <w:szCs w:val="24"/>
              </w:rPr>
              <w:t>，消防档案管理情况，检查时检查人员是按照火灾高危单位消防安全检查的要求和程序，结合安全法律法规及技术规范要求，未发现登高作业和受限制空间作业，检查中发现的隐患主要是：</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现场问题：</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1、DCS中控室专业人员配备不足。</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2、现场部分电缆桥架静电跨接措施不完善。</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3、现场个别电机未见接地措施。</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4、框架一乙腈现场油桶堆放。</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资料问题：</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rPr>
              <w:tab/>
            </w:r>
            <w:r>
              <w:rPr>
                <w:rFonts w:hint="eastAsia" w:ascii="楷体" w:hAnsi="楷体" w:eastAsia="楷体" w:cs="楷体"/>
                <w:sz w:val="24"/>
                <w:szCs w:val="24"/>
              </w:rPr>
              <w:t>需根据安全生产责任制完善组织架构图岗位责任分解。</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rPr>
              <w:tab/>
            </w:r>
            <w:r>
              <w:rPr>
                <w:rFonts w:hint="eastAsia" w:ascii="楷体" w:hAnsi="楷体" w:eastAsia="楷体" w:cs="楷体"/>
                <w:sz w:val="24"/>
                <w:szCs w:val="24"/>
              </w:rPr>
              <w:t>未见2022年应急预案演练的总结评价。</w:t>
            </w:r>
          </w:p>
          <w:p>
            <w:pPr>
              <w:spacing w:line="360" w:lineRule="auto"/>
              <w:ind w:right="-6" w:rightChars="-3"/>
              <w:rPr>
                <w:rFonts w:hint="eastAsia" w:ascii="楷体" w:hAnsi="楷体" w:eastAsia="楷体" w:cs="楷体"/>
                <w:sz w:val="24"/>
                <w:szCs w:val="24"/>
              </w:rPr>
            </w:pPr>
            <w:r>
              <w:rPr>
                <w:rFonts w:hint="eastAsia" w:ascii="楷体" w:hAnsi="楷体" w:eastAsia="楷体" w:cs="楷体"/>
                <w:sz w:val="24"/>
                <w:szCs w:val="24"/>
              </w:rPr>
              <w:t>在检查过程中根据现场情况进行了安全技术指导，对发现的问题下达了隐患整改通知书。</w:t>
            </w:r>
          </w:p>
          <w:p>
            <w:pPr>
              <w:spacing w:line="360" w:lineRule="auto"/>
              <w:ind w:right="-6" w:rightChars="-3" w:firstLine="480" w:firstLineChars="200"/>
              <w:rPr>
                <w:rFonts w:ascii="楷体" w:hAnsi="楷体" w:eastAsia="楷体" w:cs="宋体"/>
                <w:bCs/>
                <w:sz w:val="24"/>
                <w:szCs w:val="24"/>
              </w:rPr>
            </w:pPr>
            <w:r>
              <w:rPr>
                <w:rFonts w:hint="eastAsia" w:ascii="楷体" w:hAnsi="楷体" w:eastAsia="楷体" w:cs="楷体"/>
                <w:sz w:val="24"/>
                <w:szCs w:val="24"/>
              </w:rPr>
              <w:t>检查过程遵守受检查单位的环保和职业健康安全管理制度，进行了安全告知，查看检查人员和受检查企业人员穿戴劳保用品齐全，未发现环保、职业健康安全、HSE隐患。</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产品标识和可追朔性</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Q8.5.2</w:t>
            </w:r>
          </w:p>
          <w:p>
            <w:pPr>
              <w:spacing w:line="360" w:lineRule="auto"/>
              <w:rPr>
                <w:rFonts w:ascii="楷体" w:hAnsi="楷体" w:eastAsia="楷体" w:cs="Arial"/>
                <w:sz w:val="24"/>
                <w:szCs w:val="24"/>
              </w:rPr>
            </w:pPr>
            <w:r>
              <w:rPr>
                <w:rFonts w:hint="eastAsia" w:ascii="楷体" w:hAnsi="楷体" w:eastAsia="楷体" w:cs="Arial"/>
                <w:sz w:val="24"/>
                <w:szCs w:val="24"/>
              </w:rPr>
              <w:t>H4</w:t>
            </w:r>
          </w:p>
        </w:tc>
        <w:tc>
          <w:tcPr>
            <w:tcW w:w="10004" w:type="dxa"/>
          </w:tcPr>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在《管理手册》中规定公司确保安全咨询服务过程中标识要求。</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采购的产品通常保留厂家外包装、标签、合格证等方式对产品进行标识。</w:t>
            </w:r>
          </w:p>
          <w:p>
            <w:pPr>
              <w:spacing w:line="360" w:lineRule="auto"/>
              <w:ind w:firstLine="360" w:firstLineChars="150"/>
              <w:rPr>
                <w:rFonts w:ascii="楷体" w:hAnsi="楷体" w:eastAsia="楷体" w:cs="宋体"/>
                <w:sz w:val="24"/>
                <w:szCs w:val="24"/>
              </w:rPr>
            </w:pPr>
            <w:r>
              <w:rPr>
                <w:rFonts w:hint="eastAsia" w:ascii="楷体" w:hAnsi="楷体" w:eastAsia="楷体" w:cs="宋体"/>
                <w:sz w:val="24"/>
                <w:szCs w:val="24"/>
              </w:rPr>
              <w:t>根据“检查记录”、“检查总结报告”、“服务事项记录表”、“培训记录表”、“隐患整改通知书”等可以进行追溯。</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产品标识管理基本符合标准要求，并满足实际需要。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顾客或外部供方的财产</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Q8.5.3</w:t>
            </w:r>
          </w:p>
          <w:p>
            <w:pPr>
              <w:spacing w:line="360" w:lineRule="auto"/>
              <w:rPr>
                <w:rFonts w:ascii="楷体" w:hAnsi="楷体" w:eastAsia="楷体" w:cs="楷体"/>
                <w:sz w:val="24"/>
                <w:szCs w:val="24"/>
              </w:rPr>
            </w:pPr>
            <w:r>
              <w:rPr>
                <w:rFonts w:hint="eastAsia" w:ascii="楷体" w:hAnsi="楷体" w:eastAsia="楷体" w:cs="Arial"/>
                <w:sz w:val="24"/>
                <w:szCs w:val="24"/>
              </w:rPr>
              <w:t>H4</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sz w:val="24"/>
                <w:szCs w:val="24"/>
              </w:rPr>
              <w:t>公司</w:t>
            </w:r>
            <w:r>
              <w:rPr>
                <w:rFonts w:hint="eastAsia" w:ascii="楷体" w:hAnsi="楷体" w:eastAsia="楷体" w:cs="Arial"/>
                <w:sz w:val="24"/>
                <w:szCs w:val="24"/>
              </w:rPr>
              <w:t>在管理手册中，规定了对顾客或外部供方财产的管理，明确了对顾客或外部供方财产的登记、验收、保护、使用等相关要求。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目前公司无外部供方的财产，涉及的顾客财产为安全咨询服务场所顾客的设备设施、物品等，公司由专业人员对顾客的安全管理现场进行检查和指导，遵守客户的管理制度、爱护客户的财产，避免人为损坏事故。</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Arial"/>
                <w:sz w:val="24"/>
                <w:szCs w:val="24"/>
              </w:rPr>
              <w:t>顾客或外部供方的财产管理符合要求。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产品防护</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 xml:space="preserve">Q8.5.4 </w:t>
            </w:r>
          </w:p>
          <w:p>
            <w:pPr>
              <w:spacing w:line="360" w:lineRule="auto"/>
              <w:rPr>
                <w:rFonts w:ascii="楷体" w:hAnsi="楷体" w:eastAsia="楷体" w:cs="Arial"/>
                <w:sz w:val="24"/>
                <w:szCs w:val="24"/>
              </w:rPr>
            </w:pPr>
            <w:r>
              <w:rPr>
                <w:rFonts w:hint="eastAsia" w:ascii="楷体" w:hAnsi="楷体" w:eastAsia="楷体" w:cs="Arial"/>
                <w:sz w:val="24"/>
                <w:szCs w:val="24"/>
              </w:rPr>
              <w:t>H4</w:t>
            </w:r>
          </w:p>
        </w:tc>
        <w:tc>
          <w:tcPr>
            <w:tcW w:w="10004" w:type="dxa"/>
          </w:tcPr>
          <w:p>
            <w:pPr>
              <w:spacing w:line="360" w:lineRule="auto"/>
              <w:ind w:firstLine="600" w:firstLineChars="250"/>
              <w:rPr>
                <w:rFonts w:ascii="楷体" w:hAnsi="楷体" w:eastAsia="楷体" w:cs="宋体"/>
                <w:sz w:val="24"/>
                <w:szCs w:val="24"/>
              </w:rPr>
            </w:pPr>
            <w:r>
              <w:rPr>
                <w:rFonts w:hint="eastAsia" w:ascii="楷体" w:hAnsi="楷体" w:eastAsia="楷体" w:cs="宋体"/>
                <w:sz w:val="24"/>
                <w:szCs w:val="24"/>
              </w:rPr>
              <w:t>安全咨询服务过程遵守客户的环保、职业健康安全、HSE制度，未发生防护不当发生损坏的情况，也未发生人员伤害情况，防护措施能够满足要求。</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产品防护能够按照策划的要求实施，满足策划的要求。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应急准备和响应</w:t>
            </w:r>
          </w:p>
        </w:tc>
        <w:tc>
          <w:tcPr>
            <w:tcW w:w="1311" w:type="dxa"/>
          </w:tcPr>
          <w:p>
            <w:pPr>
              <w:spacing w:line="360" w:lineRule="auto"/>
              <w:rPr>
                <w:rFonts w:ascii="楷体" w:hAnsi="楷体" w:eastAsia="楷体" w:cs="楷体"/>
                <w:bCs/>
                <w:sz w:val="24"/>
                <w:szCs w:val="24"/>
              </w:rPr>
            </w:pPr>
            <w:r>
              <w:rPr>
                <w:rFonts w:hint="eastAsia" w:ascii="楷体" w:hAnsi="楷体" w:eastAsia="楷体" w:cs="楷体"/>
                <w:bCs/>
                <w:sz w:val="24"/>
                <w:szCs w:val="24"/>
              </w:rPr>
              <w:t>EO：</w:t>
            </w:r>
            <w:r>
              <w:rPr>
                <w:rFonts w:hint="eastAsia" w:ascii="楷体" w:hAnsi="楷体" w:eastAsia="楷体" w:cs="Arial"/>
                <w:sz w:val="24"/>
                <w:szCs w:val="24"/>
              </w:rPr>
              <w:t>8.2</w:t>
            </w:r>
          </w:p>
          <w:p>
            <w:pPr>
              <w:spacing w:line="360" w:lineRule="auto"/>
              <w:rPr>
                <w:rFonts w:ascii="楷体" w:hAnsi="楷体" w:eastAsia="楷体" w:cs="楷体"/>
                <w:bCs/>
                <w:sz w:val="24"/>
                <w:szCs w:val="24"/>
              </w:rPr>
            </w:pPr>
            <w:r>
              <w:rPr>
                <w:rFonts w:hint="eastAsia" w:ascii="楷体" w:hAnsi="楷体" w:eastAsia="楷体" w:cs="楷体"/>
                <w:bCs/>
                <w:sz w:val="24"/>
                <w:szCs w:val="24"/>
              </w:rPr>
              <w:t>H4</w:t>
            </w:r>
          </w:p>
          <w:p>
            <w:pPr>
              <w:spacing w:line="360" w:lineRule="auto"/>
              <w:rPr>
                <w:rFonts w:ascii="楷体" w:hAnsi="楷体" w:eastAsia="楷体" w:cs="楷体"/>
                <w:bCs/>
                <w:sz w:val="24"/>
                <w:szCs w:val="24"/>
              </w:rPr>
            </w:pPr>
          </w:p>
        </w:tc>
        <w:tc>
          <w:tcPr>
            <w:tcW w:w="10004" w:type="dxa"/>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企业编制了《应急准备与响应控制程序</w:t>
            </w:r>
            <w:r>
              <w:rPr>
                <w:rFonts w:hint="eastAsia" w:ascii="楷体" w:hAnsi="楷体" w:eastAsia="楷体" w:cs="楷体"/>
                <w:sz w:val="24"/>
                <w:szCs w:val="24"/>
              </w:rPr>
              <w:tab/>
            </w:r>
            <w:r>
              <w:rPr>
                <w:rFonts w:hint="eastAsia" w:ascii="楷体" w:hAnsi="楷体" w:eastAsia="楷体" w:cs="楷体"/>
                <w:sz w:val="24"/>
                <w:szCs w:val="24"/>
              </w:rPr>
              <w:t>BA/CX-19-2022》，确定的紧急情况有：火灾、</w:t>
            </w:r>
            <w:r>
              <w:rPr>
                <w:rFonts w:hint="eastAsia" w:ascii="楷体" w:hAnsi="楷体" w:eastAsia="楷体" w:cs="楷体"/>
                <w:bCs/>
                <w:sz w:val="24"/>
                <w:szCs w:val="24"/>
              </w:rPr>
              <w:t>人员伤亡等，提供了</w:t>
            </w:r>
            <w:r>
              <w:rPr>
                <w:rFonts w:hint="eastAsia" w:ascii="楷体" w:hAnsi="楷体" w:eastAsia="楷体" w:cs="楷体"/>
                <w:sz w:val="24"/>
                <w:szCs w:val="24"/>
              </w:rPr>
              <w:t>火灾应急预案、安全事故应急预案。</w:t>
            </w:r>
          </w:p>
          <w:p>
            <w:pPr>
              <w:spacing w:line="360" w:lineRule="auto"/>
              <w:ind w:left="105" w:leftChars="50" w:firstLine="240" w:firstLineChars="100"/>
              <w:rPr>
                <w:rFonts w:hint="eastAsia" w:ascii="楷体" w:hAnsi="楷体" w:eastAsia="楷体" w:cs="楷体"/>
                <w:sz w:val="24"/>
                <w:szCs w:val="24"/>
              </w:rPr>
            </w:pPr>
            <w:r>
              <w:rPr>
                <w:rFonts w:hint="eastAsia" w:ascii="楷体" w:hAnsi="楷体" w:eastAsia="楷体" w:cs="楷体"/>
                <w:sz w:val="24"/>
                <w:szCs w:val="24"/>
              </w:rPr>
              <w:t>安全咨询服务人员2022.4.8日参加了公司组织的火灾灭火应急救援演练和施工安全事故应急救援演练，取得了预期的演练效果。</w:t>
            </w:r>
          </w:p>
          <w:p>
            <w:pPr>
              <w:spacing w:line="360" w:lineRule="auto"/>
              <w:ind w:left="105" w:leftChars="50" w:firstLine="240" w:firstLineChars="100"/>
              <w:rPr>
                <w:rFonts w:hint="eastAsia" w:ascii="楷体" w:hAnsi="楷体" w:eastAsia="楷体" w:cs="楷体"/>
                <w:sz w:val="24"/>
                <w:szCs w:val="24"/>
              </w:rPr>
            </w:pPr>
            <w:r>
              <w:rPr>
                <w:rFonts w:hint="eastAsia" w:ascii="楷体" w:hAnsi="楷体" w:eastAsia="楷体" w:cs="楷体"/>
                <w:sz w:val="24"/>
                <w:szCs w:val="24"/>
              </w:rPr>
              <w:t>安全咨询服务人员经过应急知识培训，具备应急管理知识。</w:t>
            </w:r>
          </w:p>
          <w:p>
            <w:pPr>
              <w:spacing w:line="360" w:lineRule="auto"/>
              <w:ind w:left="105" w:leftChars="50" w:firstLine="240" w:firstLineChars="100"/>
              <w:rPr>
                <w:rFonts w:ascii="楷体" w:hAnsi="楷体" w:eastAsia="楷体" w:cs="楷体"/>
                <w:sz w:val="24"/>
                <w:szCs w:val="24"/>
              </w:rPr>
            </w:pPr>
            <w:r>
              <w:rPr>
                <w:rFonts w:hint="eastAsia" w:ascii="楷体" w:hAnsi="楷体" w:eastAsia="楷体" w:cs="楷体"/>
                <w:sz w:val="24"/>
                <w:szCs w:val="24"/>
              </w:rPr>
              <w:t>检查现场穿戴必须的安全防护用品，遵守相关管理制度避免人身伤害。</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自体系建立以来未发生紧急情况。</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8"/>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38100</wp:posOffset>
          </wp:positionH>
          <wp:positionV relativeFrom="paragraph">
            <wp:posOffset>-13335</wp:posOffset>
          </wp:positionV>
          <wp:extent cx="481330" cy="484505"/>
          <wp:effectExtent l="0" t="0" r="0" b="0"/>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3"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ind w:firstLine="900" w:firstLineChars="500"/>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ISC-B-II-12(05版）</w:t>
                </w:r>
              </w:p>
              <w:p/>
            </w:txbxContent>
          </v:textbox>
        </v:shape>
      </w:pict>
    </w:r>
    <w:r>
      <w:rPr>
        <w:rStyle w:val="18"/>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580"/>
    <w:rsid w:val="00053A51"/>
    <w:rsid w:val="00053D3C"/>
    <w:rsid w:val="0005451A"/>
    <w:rsid w:val="0005697E"/>
    <w:rsid w:val="000579CF"/>
    <w:rsid w:val="00057B4F"/>
    <w:rsid w:val="00060270"/>
    <w:rsid w:val="00061EE8"/>
    <w:rsid w:val="00061F6E"/>
    <w:rsid w:val="00072F1B"/>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30F9"/>
    <w:rsid w:val="000A5B37"/>
    <w:rsid w:val="000A5E44"/>
    <w:rsid w:val="000A6B86"/>
    <w:rsid w:val="000A6D44"/>
    <w:rsid w:val="000B1394"/>
    <w:rsid w:val="000B40BD"/>
    <w:rsid w:val="000B41C5"/>
    <w:rsid w:val="000B6EAD"/>
    <w:rsid w:val="000C123B"/>
    <w:rsid w:val="000C25C3"/>
    <w:rsid w:val="000C27B1"/>
    <w:rsid w:val="000C284D"/>
    <w:rsid w:val="000C2D5B"/>
    <w:rsid w:val="000C7788"/>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5688"/>
    <w:rsid w:val="001456CB"/>
    <w:rsid w:val="001462CD"/>
    <w:rsid w:val="00146312"/>
    <w:rsid w:val="00147EDB"/>
    <w:rsid w:val="00147F08"/>
    <w:rsid w:val="00150254"/>
    <w:rsid w:val="00150468"/>
    <w:rsid w:val="001564F9"/>
    <w:rsid w:val="00156D0B"/>
    <w:rsid w:val="001662A1"/>
    <w:rsid w:val="001677C1"/>
    <w:rsid w:val="00170B6A"/>
    <w:rsid w:val="0017204F"/>
    <w:rsid w:val="00173F5A"/>
    <w:rsid w:val="00176572"/>
    <w:rsid w:val="00176B5D"/>
    <w:rsid w:val="00181F3C"/>
    <w:rsid w:val="001833DD"/>
    <w:rsid w:val="00183631"/>
    <w:rsid w:val="00187C5A"/>
    <w:rsid w:val="001918ED"/>
    <w:rsid w:val="00192526"/>
    <w:rsid w:val="00192A7F"/>
    <w:rsid w:val="001940FC"/>
    <w:rsid w:val="00194D96"/>
    <w:rsid w:val="001972C0"/>
    <w:rsid w:val="001A2D7F"/>
    <w:rsid w:val="001A2F88"/>
    <w:rsid w:val="001A3623"/>
    <w:rsid w:val="001A3DF8"/>
    <w:rsid w:val="001A4C0E"/>
    <w:rsid w:val="001A572D"/>
    <w:rsid w:val="001A6792"/>
    <w:rsid w:val="001B2504"/>
    <w:rsid w:val="001B324E"/>
    <w:rsid w:val="001B36F4"/>
    <w:rsid w:val="001B4DF6"/>
    <w:rsid w:val="001B6887"/>
    <w:rsid w:val="001B6E5E"/>
    <w:rsid w:val="001B700E"/>
    <w:rsid w:val="001C0776"/>
    <w:rsid w:val="001C21CF"/>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58D2"/>
    <w:rsid w:val="001F71E8"/>
    <w:rsid w:val="00202BC2"/>
    <w:rsid w:val="00206F6D"/>
    <w:rsid w:val="00212831"/>
    <w:rsid w:val="00213163"/>
    <w:rsid w:val="00214113"/>
    <w:rsid w:val="00215081"/>
    <w:rsid w:val="0021579D"/>
    <w:rsid w:val="00222532"/>
    <w:rsid w:val="00223451"/>
    <w:rsid w:val="0023212C"/>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6CB6"/>
    <w:rsid w:val="002D78A8"/>
    <w:rsid w:val="002E01EB"/>
    <w:rsid w:val="002E0587"/>
    <w:rsid w:val="002E084A"/>
    <w:rsid w:val="002E1E1D"/>
    <w:rsid w:val="002E72F8"/>
    <w:rsid w:val="002F030C"/>
    <w:rsid w:val="002F1DCE"/>
    <w:rsid w:val="002F2A8E"/>
    <w:rsid w:val="003006E2"/>
    <w:rsid w:val="003120F5"/>
    <w:rsid w:val="00314485"/>
    <w:rsid w:val="00317401"/>
    <w:rsid w:val="00317FAF"/>
    <w:rsid w:val="003209EB"/>
    <w:rsid w:val="0032112D"/>
    <w:rsid w:val="003215C4"/>
    <w:rsid w:val="00326FC1"/>
    <w:rsid w:val="00330DBC"/>
    <w:rsid w:val="00337922"/>
    <w:rsid w:val="003401EA"/>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27E9"/>
    <w:rsid w:val="0037587D"/>
    <w:rsid w:val="003769FA"/>
    <w:rsid w:val="0037739E"/>
    <w:rsid w:val="0038061A"/>
    <w:rsid w:val="0038063B"/>
    <w:rsid w:val="00380837"/>
    <w:rsid w:val="00382EDD"/>
    <w:rsid w:val="003836CA"/>
    <w:rsid w:val="0038378C"/>
    <w:rsid w:val="00385A11"/>
    <w:rsid w:val="003862D4"/>
    <w:rsid w:val="00386A98"/>
    <w:rsid w:val="00392D5A"/>
    <w:rsid w:val="003947A2"/>
    <w:rsid w:val="003A1E9C"/>
    <w:rsid w:val="003A2EB5"/>
    <w:rsid w:val="003A57BB"/>
    <w:rsid w:val="003A62C3"/>
    <w:rsid w:val="003A7DB4"/>
    <w:rsid w:val="003B0E41"/>
    <w:rsid w:val="003B10EF"/>
    <w:rsid w:val="003B1243"/>
    <w:rsid w:val="003B15F9"/>
    <w:rsid w:val="003B34A1"/>
    <w:rsid w:val="003B431A"/>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36B06"/>
    <w:rsid w:val="00440BBC"/>
    <w:rsid w:val="004414A5"/>
    <w:rsid w:val="00441B50"/>
    <w:rsid w:val="004428CE"/>
    <w:rsid w:val="004541A0"/>
    <w:rsid w:val="0045445E"/>
    <w:rsid w:val="00456697"/>
    <w:rsid w:val="00463AD4"/>
    <w:rsid w:val="00463F22"/>
    <w:rsid w:val="00465FE1"/>
    <w:rsid w:val="004673FD"/>
    <w:rsid w:val="00474AA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5761"/>
    <w:rsid w:val="004E61BC"/>
    <w:rsid w:val="004F185D"/>
    <w:rsid w:val="004F3000"/>
    <w:rsid w:val="004F4137"/>
    <w:rsid w:val="00504184"/>
    <w:rsid w:val="005052B3"/>
    <w:rsid w:val="005056ED"/>
    <w:rsid w:val="00505819"/>
    <w:rsid w:val="005064D2"/>
    <w:rsid w:val="0050672E"/>
    <w:rsid w:val="00513B4A"/>
    <w:rsid w:val="00515C94"/>
    <w:rsid w:val="00517E4C"/>
    <w:rsid w:val="00521BB1"/>
    <w:rsid w:val="00521CF0"/>
    <w:rsid w:val="0052385A"/>
    <w:rsid w:val="00527341"/>
    <w:rsid w:val="00531857"/>
    <w:rsid w:val="0053208B"/>
    <w:rsid w:val="0053423F"/>
    <w:rsid w:val="005345E9"/>
    <w:rsid w:val="00534814"/>
    <w:rsid w:val="00534F2F"/>
    <w:rsid w:val="00536930"/>
    <w:rsid w:val="00541AE2"/>
    <w:rsid w:val="00544959"/>
    <w:rsid w:val="00544CA6"/>
    <w:rsid w:val="00546D5F"/>
    <w:rsid w:val="005514E1"/>
    <w:rsid w:val="00551D16"/>
    <w:rsid w:val="00552BDE"/>
    <w:rsid w:val="005571F6"/>
    <w:rsid w:val="00560A2A"/>
    <w:rsid w:val="00560BE7"/>
    <w:rsid w:val="00562E66"/>
    <w:rsid w:val="005646D8"/>
    <w:rsid w:val="00564E53"/>
    <w:rsid w:val="005655ED"/>
    <w:rsid w:val="00567953"/>
    <w:rsid w:val="00571FB2"/>
    <w:rsid w:val="00575064"/>
    <w:rsid w:val="00576C70"/>
    <w:rsid w:val="00577685"/>
    <w:rsid w:val="005812DF"/>
    <w:rsid w:val="00583277"/>
    <w:rsid w:val="0059170D"/>
    <w:rsid w:val="005919F0"/>
    <w:rsid w:val="005924DE"/>
    <w:rsid w:val="00592B05"/>
    <w:rsid w:val="00592C3E"/>
    <w:rsid w:val="00597617"/>
    <w:rsid w:val="00597D19"/>
    <w:rsid w:val="00597FC4"/>
    <w:rsid w:val="005A000F"/>
    <w:rsid w:val="005A08DB"/>
    <w:rsid w:val="005A50A2"/>
    <w:rsid w:val="005B173D"/>
    <w:rsid w:val="005B2E05"/>
    <w:rsid w:val="005B66E5"/>
    <w:rsid w:val="005B6888"/>
    <w:rsid w:val="005B7919"/>
    <w:rsid w:val="005C5971"/>
    <w:rsid w:val="005D0581"/>
    <w:rsid w:val="005D14B0"/>
    <w:rsid w:val="005D1D88"/>
    <w:rsid w:val="005E71A2"/>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25AAD"/>
    <w:rsid w:val="00641C16"/>
    <w:rsid w:val="00642776"/>
    <w:rsid w:val="00642D31"/>
    <w:rsid w:val="00644FE2"/>
    <w:rsid w:val="00645D41"/>
    <w:rsid w:val="00645E5C"/>
    <w:rsid w:val="00645FB8"/>
    <w:rsid w:val="006511B1"/>
    <w:rsid w:val="00651986"/>
    <w:rsid w:val="00652F53"/>
    <w:rsid w:val="006545E8"/>
    <w:rsid w:val="00655046"/>
    <w:rsid w:val="00660E81"/>
    <w:rsid w:val="00664736"/>
    <w:rsid w:val="00665980"/>
    <w:rsid w:val="006711B0"/>
    <w:rsid w:val="006722E4"/>
    <w:rsid w:val="0067640C"/>
    <w:rsid w:val="00676D3D"/>
    <w:rsid w:val="006779F3"/>
    <w:rsid w:val="00680C99"/>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99C"/>
    <w:rsid w:val="006C6B28"/>
    <w:rsid w:val="006D1B3A"/>
    <w:rsid w:val="006D2995"/>
    <w:rsid w:val="006D46C4"/>
    <w:rsid w:val="006D4DF7"/>
    <w:rsid w:val="006D63FE"/>
    <w:rsid w:val="006E4893"/>
    <w:rsid w:val="006E678B"/>
    <w:rsid w:val="006E762B"/>
    <w:rsid w:val="006E768E"/>
    <w:rsid w:val="006F3B46"/>
    <w:rsid w:val="006F7118"/>
    <w:rsid w:val="006F7523"/>
    <w:rsid w:val="0070367F"/>
    <w:rsid w:val="00710655"/>
    <w:rsid w:val="00710688"/>
    <w:rsid w:val="00712F3C"/>
    <w:rsid w:val="007162BE"/>
    <w:rsid w:val="007170AA"/>
    <w:rsid w:val="007175F5"/>
    <w:rsid w:val="0072104C"/>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464"/>
    <w:rsid w:val="00765D3B"/>
    <w:rsid w:val="007669C8"/>
    <w:rsid w:val="00767C1A"/>
    <w:rsid w:val="00770CAE"/>
    <w:rsid w:val="00772340"/>
    <w:rsid w:val="007737BA"/>
    <w:rsid w:val="00773E3A"/>
    <w:rsid w:val="007755E5"/>
    <w:rsid w:val="007757F3"/>
    <w:rsid w:val="00776523"/>
    <w:rsid w:val="00777F30"/>
    <w:rsid w:val="007815DC"/>
    <w:rsid w:val="00781B9B"/>
    <w:rsid w:val="0078306B"/>
    <w:rsid w:val="007839F5"/>
    <w:rsid w:val="007850FD"/>
    <w:rsid w:val="00787C80"/>
    <w:rsid w:val="007906CE"/>
    <w:rsid w:val="00790D5E"/>
    <w:rsid w:val="00790FC6"/>
    <w:rsid w:val="00792931"/>
    <w:rsid w:val="007929F7"/>
    <w:rsid w:val="007938DC"/>
    <w:rsid w:val="00795FA6"/>
    <w:rsid w:val="007A09E5"/>
    <w:rsid w:val="007A47FB"/>
    <w:rsid w:val="007A6E97"/>
    <w:rsid w:val="007B106B"/>
    <w:rsid w:val="007B275D"/>
    <w:rsid w:val="007B35C5"/>
    <w:rsid w:val="007B668F"/>
    <w:rsid w:val="007C6EB7"/>
    <w:rsid w:val="007C7A18"/>
    <w:rsid w:val="007E25BD"/>
    <w:rsid w:val="007E3385"/>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07FC5"/>
    <w:rsid w:val="00810D58"/>
    <w:rsid w:val="0081466C"/>
    <w:rsid w:val="00815AF5"/>
    <w:rsid w:val="008160E3"/>
    <w:rsid w:val="008163DD"/>
    <w:rsid w:val="00817E39"/>
    <w:rsid w:val="00826C5E"/>
    <w:rsid w:val="008276D0"/>
    <w:rsid w:val="008323C8"/>
    <w:rsid w:val="008343CB"/>
    <w:rsid w:val="00834BBA"/>
    <w:rsid w:val="00834F70"/>
    <w:rsid w:val="00835B31"/>
    <w:rsid w:val="008404B7"/>
    <w:rsid w:val="00842612"/>
    <w:rsid w:val="00844FBB"/>
    <w:rsid w:val="00850591"/>
    <w:rsid w:val="00852830"/>
    <w:rsid w:val="008575F9"/>
    <w:rsid w:val="0086255E"/>
    <w:rsid w:val="008638DE"/>
    <w:rsid w:val="00863B20"/>
    <w:rsid w:val="00864606"/>
    <w:rsid w:val="008646DE"/>
    <w:rsid w:val="00864902"/>
    <w:rsid w:val="00864BE7"/>
    <w:rsid w:val="00865200"/>
    <w:rsid w:val="00870AC2"/>
    <w:rsid w:val="00871695"/>
    <w:rsid w:val="00885631"/>
    <w:rsid w:val="00886006"/>
    <w:rsid w:val="00891C25"/>
    <w:rsid w:val="00894200"/>
    <w:rsid w:val="00894676"/>
    <w:rsid w:val="008973EE"/>
    <w:rsid w:val="008A5C1F"/>
    <w:rsid w:val="008A67E6"/>
    <w:rsid w:val="008A7C7E"/>
    <w:rsid w:val="008B0F66"/>
    <w:rsid w:val="008B21BA"/>
    <w:rsid w:val="008B4EE2"/>
    <w:rsid w:val="008B64EC"/>
    <w:rsid w:val="008B7644"/>
    <w:rsid w:val="008C199E"/>
    <w:rsid w:val="008C1CA5"/>
    <w:rsid w:val="008C4B39"/>
    <w:rsid w:val="008C6374"/>
    <w:rsid w:val="008D089D"/>
    <w:rsid w:val="008D5D71"/>
    <w:rsid w:val="008D6185"/>
    <w:rsid w:val="008E0E14"/>
    <w:rsid w:val="008E792C"/>
    <w:rsid w:val="008F0B04"/>
    <w:rsid w:val="008F310E"/>
    <w:rsid w:val="008F6788"/>
    <w:rsid w:val="008F7C55"/>
    <w:rsid w:val="00901BAF"/>
    <w:rsid w:val="00904C7C"/>
    <w:rsid w:val="009051BA"/>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2B"/>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49DB"/>
    <w:rsid w:val="009769AA"/>
    <w:rsid w:val="00976C9C"/>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1B0"/>
    <w:rsid w:val="009D57CF"/>
    <w:rsid w:val="009D646B"/>
    <w:rsid w:val="009D7E70"/>
    <w:rsid w:val="009E10B5"/>
    <w:rsid w:val="009E2238"/>
    <w:rsid w:val="009E30DA"/>
    <w:rsid w:val="009E3D68"/>
    <w:rsid w:val="009E461A"/>
    <w:rsid w:val="009E6193"/>
    <w:rsid w:val="009E7DD1"/>
    <w:rsid w:val="009F7BFC"/>
    <w:rsid w:val="009F7CAA"/>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67F7F"/>
    <w:rsid w:val="00A72489"/>
    <w:rsid w:val="00A75167"/>
    <w:rsid w:val="00A7519D"/>
    <w:rsid w:val="00A76ED1"/>
    <w:rsid w:val="00A801DE"/>
    <w:rsid w:val="00A811EC"/>
    <w:rsid w:val="00A81FD7"/>
    <w:rsid w:val="00A824AF"/>
    <w:rsid w:val="00A85B21"/>
    <w:rsid w:val="00A87B0E"/>
    <w:rsid w:val="00A9057B"/>
    <w:rsid w:val="00A90A22"/>
    <w:rsid w:val="00A92316"/>
    <w:rsid w:val="00A969B9"/>
    <w:rsid w:val="00A97734"/>
    <w:rsid w:val="00AA0081"/>
    <w:rsid w:val="00AA1858"/>
    <w:rsid w:val="00AA2514"/>
    <w:rsid w:val="00AA3DF0"/>
    <w:rsid w:val="00AA7F40"/>
    <w:rsid w:val="00AB41FC"/>
    <w:rsid w:val="00AB7D2F"/>
    <w:rsid w:val="00AB7FA2"/>
    <w:rsid w:val="00AC24B1"/>
    <w:rsid w:val="00AC260E"/>
    <w:rsid w:val="00AD145D"/>
    <w:rsid w:val="00AD20E6"/>
    <w:rsid w:val="00AD3ACD"/>
    <w:rsid w:val="00AD57D4"/>
    <w:rsid w:val="00AD65F0"/>
    <w:rsid w:val="00AD6B58"/>
    <w:rsid w:val="00AD6F34"/>
    <w:rsid w:val="00AE020D"/>
    <w:rsid w:val="00AE0DD5"/>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51840"/>
    <w:rsid w:val="00B63BD0"/>
    <w:rsid w:val="00B70406"/>
    <w:rsid w:val="00B72906"/>
    <w:rsid w:val="00B73B0E"/>
    <w:rsid w:val="00B73EA8"/>
    <w:rsid w:val="00B741B7"/>
    <w:rsid w:val="00B8202D"/>
    <w:rsid w:val="00B82181"/>
    <w:rsid w:val="00B826F3"/>
    <w:rsid w:val="00B84DA1"/>
    <w:rsid w:val="00B91271"/>
    <w:rsid w:val="00B91605"/>
    <w:rsid w:val="00B91895"/>
    <w:rsid w:val="00B929FD"/>
    <w:rsid w:val="00B93E68"/>
    <w:rsid w:val="00B95B99"/>
    <w:rsid w:val="00B95F69"/>
    <w:rsid w:val="00B95F75"/>
    <w:rsid w:val="00B96AD2"/>
    <w:rsid w:val="00BA0D6F"/>
    <w:rsid w:val="00BA180E"/>
    <w:rsid w:val="00BA3701"/>
    <w:rsid w:val="00BA4A2A"/>
    <w:rsid w:val="00BA5B3E"/>
    <w:rsid w:val="00BB31C7"/>
    <w:rsid w:val="00BB6AD3"/>
    <w:rsid w:val="00BB79AC"/>
    <w:rsid w:val="00BC0122"/>
    <w:rsid w:val="00BC0880"/>
    <w:rsid w:val="00BC16C1"/>
    <w:rsid w:val="00BC2015"/>
    <w:rsid w:val="00BC3902"/>
    <w:rsid w:val="00BC3C06"/>
    <w:rsid w:val="00BC66FE"/>
    <w:rsid w:val="00BC71B0"/>
    <w:rsid w:val="00BC7D4A"/>
    <w:rsid w:val="00BD0974"/>
    <w:rsid w:val="00BD4E08"/>
    <w:rsid w:val="00BD6DBC"/>
    <w:rsid w:val="00BD75E6"/>
    <w:rsid w:val="00BE162E"/>
    <w:rsid w:val="00BE363D"/>
    <w:rsid w:val="00BE3E2D"/>
    <w:rsid w:val="00BF0962"/>
    <w:rsid w:val="00BF2CB9"/>
    <w:rsid w:val="00BF4590"/>
    <w:rsid w:val="00BF597E"/>
    <w:rsid w:val="00BF6174"/>
    <w:rsid w:val="00C03098"/>
    <w:rsid w:val="00C10351"/>
    <w:rsid w:val="00C10EF3"/>
    <w:rsid w:val="00C14685"/>
    <w:rsid w:val="00C27462"/>
    <w:rsid w:val="00C31C73"/>
    <w:rsid w:val="00C404AA"/>
    <w:rsid w:val="00C411E8"/>
    <w:rsid w:val="00C46F05"/>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A5377"/>
    <w:rsid w:val="00CA7E8F"/>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0C29"/>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1FA9"/>
    <w:rsid w:val="00D2360F"/>
    <w:rsid w:val="00D313FF"/>
    <w:rsid w:val="00D332B0"/>
    <w:rsid w:val="00D3392D"/>
    <w:rsid w:val="00D34A3D"/>
    <w:rsid w:val="00D34C3B"/>
    <w:rsid w:val="00D379ED"/>
    <w:rsid w:val="00D37D1B"/>
    <w:rsid w:val="00D4057A"/>
    <w:rsid w:val="00D41F5E"/>
    <w:rsid w:val="00D429D7"/>
    <w:rsid w:val="00D42D53"/>
    <w:rsid w:val="00D461D0"/>
    <w:rsid w:val="00D46339"/>
    <w:rsid w:val="00D508E8"/>
    <w:rsid w:val="00D52C3D"/>
    <w:rsid w:val="00D556BB"/>
    <w:rsid w:val="00D55E69"/>
    <w:rsid w:val="00D562F6"/>
    <w:rsid w:val="00D56E01"/>
    <w:rsid w:val="00D651FB"/>
    <w:rsid w:val="00D724CD"/>
    <w:rsid w:val="00D73B6F"/>
    <w:rsid w:val="00D74FBF"/>
    <w:rsid w:val="00D80770"/>
    <w:rsid w:val="00D808BD"/>
    <w:rsid w:val="00D83050"/>
    <w:rsid w:val="00D8388C"/>
    <w:rsid w:val="00D8765D"/>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048E"/>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482"/>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CF7"/>
    <w:rsid w:val="00F14D99"/>
    <w:rsid w:val="00F2038C"/>
    <w:rsid w:val="00F20AED"/>
    <w:rsid w:val="00F23D93"/>
    <w:rsid w:val="00F25AFF"/>
    <w:rsid w:val="00F25F88"/>
    <w:rsid w:val="00F31E8A"/>
    <w:rsid w:val="00F32678"/>
    <w:rsid w:val="00F32CB9"/>
    <w:rsid w:val="00F33729"/>
    <w:rsid w:val="00F3372A"/>
    <w:rsid w:val="00F35CD7"/>
    <w:rsid w:val="00F3666E"/>
    <w:rsid w:val="00F36BE9"/>
    <w:rsid w:val="00F377A9"/>
    <w:rsid w:val="00F41617"/>
    <w:rsid w:val="00F42776"/>
    <w:rsid w:val="00F42CE1"/>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5BAF"/>
    <w:rsid w:val="00F86305"/>
    <w:rsid w:val="00F86510"/>
    <w:rsid w:val="00F875EA"/>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2094"/>
    <w:rsid w:val="00FC3634"/>
    <w:rsid w:val="00FC4657"/>
    <w:rsid w:val="00FC4F0D"/>
    <w:rsid w:val="00FC5A11"/>
    <w:rsid w:val="00FD04D7"/>
    <w:rsid w:val="00FD0A28"/>
    <w:rsid w:val="00FD2869"/>
    <w:rsid w:val="00FD5EE5"/>
    <w:rsid w:val="00FD72A6"/>
    <w:rsid w:val="00FE09C9"/>
    <w:rsid w:val="00FE3DB1"/>
    <w:rsid w:val="00FE62BD"/>
    <w:rsid w:val="00FE6A3B"/>
    <w:rsid w:val="00FF3E3E"/>
    <w:rsid w:val="00FF4950"/>
    <w:rsid w:val="00FF71A7"/>
    <w:rsid w:val="00FF7959"/>
    <w:rsid w:val="00FF7AC5"/>
    <w:rsid w:val="108219C2"/>
    <w:rsid w:val="4FF0324F"/>
    <w:rsid w:val="5EA12B9A"/>
    <w:rsid w:val="5F803FEF"/>
    <w:rsid w:val="6DBC18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2"/>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annotation text"/>
    <w:basedOn w:val="1"/>
    <w:link w:val="27"/>
    <w:semiHidden/>
    <w:unhideWhenUsed/>
    <w:uiPriority w:val="99"/>
    <w:pPr>
      <w:jc w:val="left"/>
    </w:pPr>
  </w:style>
  <w:style w:type="paragraph" w:styleId="6">
    <w:name w:val="Plain Text"/>
    <w:basedOn w:val="1"/>
    <w:link w:val="24"/>
    <w:qFormat/>
    <w:uiPriority w:val="0"/>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uiPriority w:val="99"/>
    <w:pPr>
      <w:tabs>
        <w:tab w:val="center" w:pos="4153"/>
        <w:tab w:val="right" w:pos="8306"/>
      </w:tabs>
      <w:snapToGrid w:val="0"/>
      <w:jc w:val="left"/>
    </w:pPr>
    <w:rPr>
      <w:sz w:val="18"/>
      <w:szCs w:val="18"/>
    </w:rPr>
  </w:style>
  <w:style w:type="paragraph" w:styleId="9">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5"/>
    <w:qFormat/>
    <w:uiPriority w:val="0"/>
    <w:pPr>
      <w:widowControl/>
      <w:jc w:val="center"/>
    </w:pPr>
    <w:rPr>
      <w:rFonts w:ascii="Book Antiqua" w:hAnsi="Book Antiqua"/>
      <w:b/>
      <w:kern w:val="0"/>
      <w:sz w:val="31"/>
      <w:szCs w:val="31"/>
      <w:u w:val="single"/>
      <w:lang w:eastAsia="en-US"/>
    </w:rPr>
  </w:style>
  <w:style w:type="paragraph" w:styleId="11">
    <w:name w:val="annotation subject"/>
    <w:basedOn w:val="5"/>
    <w:next w:val="5"/>
    <w:link w:val="28"/>
    <w:semiHidden/>
    <w:unhideWhenUsed/>
    <w:qFormat/>
    <w:uiPriority w:val="99"/>
    <w:rPr>
      <w:b/>
      <w:bCs/>
    </w:rPr>
  </w:style>
  <w:style w:type="character" w:styleId="14">
    <w:name w:val="annotation reference"/>
    <w:basedOn w:val="13"/>
    <w:semiHidden/>
    <w:unhideWhenUsed/>
    <w:uiPriority w:val="99"/>
    <w:rPr>
      <w:sz w:val="21"/>
      <w:szCs w:val="21"/>
    </w:rPr>
  </w:style>
  <w:style w:type="character" w:customStyle="1" w:styleId="15">
    <w:name w:val="页眉 Char"/>
    <w:basedOn w:val="13"/>
    <w:link w:val="9"/>
    <w:uiPriority w:val="0"/>
    <w:rPr>
      <w:rFonts w:ascii="Times New Roman" w:hAnsi="Times New Roman" w:eastAsia="宋体" w:cs="Times New Roman"/>
      <w:sz w:val="18"/>
      <w:szCs w:val="18"/>
    </w:rPr>
  </w:style>
  <w:style w:type="character" w:customStyle="1" w:styleId="16">
    <w:name w:val="页脚 Char"/>
    <w:basedOn w:val="13"/>
    <w:link w:val="8"/>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3"/>
    <w:qFormat/>
    <w:uiPriority w:val="0"/>
    <w:rPr>
      <w:rFonts w:hint="eastAsia" w:ascii="宋体" w:hAnsi="宋体" w:eastAsia="宋体"/>
      <w:color w:val="000000"/>
      <w:sz w:val="24"/>
      <w:szCs w:val="24"/>
    </w:rPr>
  </w:style>
  <w:style w:type="character" w:customStyle="1" w:styleId="20">
    <w:name w:val="fontstyle21"/>
    <w:basedOn w:val="13"/>
    <w:qFormat/>
    <w:uiPriority w:val="0"/>
    <w:rPr>
      <w:rFonts w:hint="default" w:ascii="Times New Roman" w:hAnsi="Times New Roman" w:cs="Times New Roman"/>
      <w:color w:val="000000"/>
      <w:sz w:val="24"/>
      <w:szCs w:val="24"/>
    </w:rPr>
  </w:style>
  <w:style w:type="character" w:customStyle="1" w:styleId="21">
    <w:name w:val="标题 2 Char"/>
    <w:basedOn w:val="13"/>
    <w:link w:val="3"/>
    <w:uiPriority w:val="9"/>
    <w:rPr>
      <w:rFonts w:asciiTheme="majorHAnsi" w:hAnsiTheme="majorHAnsi" w:eastAsiaTheme="majorEastAsia" w:cstheme="majorBidi"/>
      <w:b/>
      <w:bCs/>
      <w:kern w:val="2"/>
      <w:sz w:val="32"/>
      <w:szCs w:val="32"/>
    </w:rPr>
  </w:style>
  <w:style w:type="character" w:customStyle="1" w:styleId="22">
    <w:name w:val="正文文本 Char"/>
    <w:basedOn w:val="13"/>
    <w:link w:val="2"/>
    <w:uiPriority w:val="99"/>
    <w:rPr>
      <w:rFonts w:ascii="Times New Roman" w:hAnsi="Times New Roman" w:eastAsia="宋体" w:cs="Times New Roman"/>
      <w:kern w:val="2"/>
      <w:sz w:val="24"/>
    </w:rPr>
  </w:style>
  <w:style w:type="paragraph" w:customStyle="1" w:styleId="23">
    <w:name w:val="表格文字"/>
    <w:basedOn w:val="1"/>
    <w:qFormat/>
    <w:uiPriority w:val="0"/>
    <w:pPr>
      <w:spacing w:before="25" w:after="25"/>
    </w:pPr>
    <w:rPr>
      <w:bCs/>
      <w:spacing w:val="10"/>
    </w:rPr>
  </w:style>
  <w:style w:type="character" w:customStyle="1" w:styleId="24">
    <w:name w:val="纯文本 Char"/>
    <w:basedOn w:val="13"/>
    <w:link w:val="6"/>
    <w:uiPriority w:val="0"/>
    <w:rPr>
      <w:rFonts w:ascii="宋体" w:hAnsi="Courier New" w:eastAsia="宋体" w:cs="Times New Roman"/>
      <w:kern w:val="2"/>
      <w:sz w:val="21"/>
    </w:rPr>
  </w:style>
  <w:style w:type="character" w:customStyle="1" w:styleId="25">
    <w:name w:val="标题 Char"/>
    <w:basedOn w:val="13"/>
    <w:link w:val="10"/>
    <w:qFormat/>
    <w:uiPriority w:val="0"/>
    <w:rPr>
      <w:rFonts w:ascii="Book Antiqua" w:hAnsi="Book Antiqua" w:eastAsia="宋体" w:cs="Times New Roman"/>
      <w:b/>
      <w:sz w:val="31"/>
      <w:szCs w:val="31"/>
      <w:u w:val="single"/>
      <w:lang w:eastAsia="en-US"/>
    </w:rPr>
  </w:style>
  <w:style w:type="paragraph" w:styleId="26">
    <w:name w:val="List Paragraph"/>
    <w:basedOn w:val="1"/>
    <w:unhideWhenUsed/>
    <w:qFormat/>
    <w:uiPriority w:val="99"/>
    <w:pPr>
      <w:ind w:firstLine="420" w:firstLineChars="200"/>
    </w:pPr>
  </w:style>
  <w:style w:type="character" w:customStyle="1" w:styleId="27">
    <w:name w:val="批注文字 Char"/>
    <w:basedOn w:val="13"/>
    <w:link w:val="5"/>
    <w:semiHidden/>
    <w:qFormat/>
    <w:uiPriority w:val="99"/>
    <w:rPr>
      <w:rFonts w:ascii="Times New Roman" w:hAnsi="Times New Roman" w:eastAsia="宋体" w:cs="Times New Roman"/>
      <w:kern w:val="2"/>
      <w:sz w:val="21"/>
    </w:rPr>
  </w:style>
  <w:style w:type="character" w:customStyle="1" w:styleId="28">
    <w:name w:val="批注主题 Char"/>
    <w:basedOn w:val="27"/>
    <w:link w:val="11"/>
    <w:semiHidden/>
    <w:qFormat/>
    <w:uiPriority w:val="99"/>
    <w:rPr>
      <w:rFonts w:ascii="Times New Roman" w:hAnsi="Times New Roman" w:eastAsia="宋体" w:cs="Times New Roman"/>
      <w:b/>
      <w:bCs/>
      <w:kern w:val="2"/>
      <w:sz w:val="21"/>
    </w:rPr>
  </w:style>
  <w:style w:type="paragraph" w:styleId="2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1384</Words>
  <Characters>1502</Characters>
  <Lines>15</Lines>
  <Paragraphs>4</Paragraphs>
  <TotalTime>2799</TotalTime>
  <ScaleCrop>false</ScaleCrop>
  <LinksUpToDate>false</LinksUpToDate>
  <CharactersWithSpaces>1539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2022-07-08T08:34:21Z</dcterms:modified>
  <cp:revision>1410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C0DB0CFEC8184ADD8BBE35E9D486ADCB</vt:lpwstr>
  </property>
</Properties>
</file>