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过程与活动、</w:t>
            </w:r>
          </w:p>
          <w:p>
            <w:pPr>
              <w:ind w:firstLine="420" w:firstLineChars="200"/>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涉及</w:t>
            </w:r>
          </w:p>
          <w:p>
            <w:pPr>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条款</w:t>
            </w:r>
          </w:p>
        </w:tc>
        <w:tc>
          <w:tcPr>
            <w:tcW w:w="10376" w:type="dxa"/>
            <w:vAlign w:val="center"/>
          </w:tcPr>
          <w:p>
            <w:pP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受审核部门：管理层    主管领导：</w:t>
            </w:r>
            <w:bookmarkStart w:id="0" w:name="_GoBack"/>
            <w:bookmarkEnd w:id="0"/>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总经理</w:t>
            </w:r>
            <w:r>
              <w:rPr>
                <w:rFonts w:hint="eastAsia" w:cs="Times New Roman"/>
                <w:color w:val="000000" w:themeColor="text1"/>
                <w:sz w:val="21"/>
                <w:szCs w:val="21"/>
                <w:lang w:val="en-US" w:eastAsia="zh-CN"/>
                <w14:textFill>
                  <w14:solidFill>
                    <w14:schemeClr w14:val="tx1"/>
                  </w14:solidFill>
                </w14:textFill>
              </w:rPr>
              <w:t>-江寿根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陪同人员：</w:t>
            </w:r>
            <w:r>
              <w:rPr>
                <w:rFonts w:hint="eastAsia"/>
                <w:color w:val="000000" w:themeColor="text1"/>
                <w:szCs w:val="21"/>
                <w:lang w:val="en-US" w:eastAsia="zh-CN"/>
                <w14:textFill>
                  <w14:solidFill>
                    <w14:schemeClr w14:val="tx1"/>
                  </w14:solidFill>
                </w14:textFill>
              </w:rPr>
              <w:t>巩雅丽</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376" w:type="dxa"/>
            <w:vAlign w:val="center"/>
          </w:tcPr>
          <w:p>
            <w:pP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审核员：王宁敏       审核时间：2022-0</w:t>
            </w:r>
            <w:r>
              <w:rPr>
                <w:rFonts w:hint="eastAsia" w:cs="Times New Roman"/>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8:30-10:30</w:t>
            </w:r>
          </w:p>
        </w:tc>
        <w:tc>
          <w:tcPr>
            <w:tcW w:w="1213"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376" w:type="dxa"/>
            <w:vAlign w:val="center"/>
          </w:tcPr>
          <w:p>
            <w:pPr>
              <w:tabs>
                <w:tab w:val="left" w:pos="709"/>
              </w:tabs>
              <w:ind w:right="57"/>
              <w:jc w:val="left"/>
              <w:rPr>
                <w:rFonts w:hint="eastAsia"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审核条款： 应对风险和机遇的措施管理、变更的策划管理、监视和测量规划和持续改进</w:t>
            </w:r>
            <w:r>
              <w:rPr>
                <w:rFonts w:hint="eastAsia" w:cs="Times New Roman"/>
                <w:color w:val="000000" w:themeColor="text1"/>
                <w:szCs w:val="22"/>
                <w:lang w:val="en-US" w:eastAsia="zh-CN"/>
                <w14:textFill>
                  <w14:solidFill>
                    <w14:schemeClr w14:val="tx1"/>
                  </w14:solidFill>
                </w14:textFill>
              </w:rPr>
              <w:t>。</w:t>
            </w:r>
          </w:p>
          <w:p>
            <w:pPr>
              <w:tabs>
                <w:tab w:val="left" w:pos="709"/>
              </w:tabs>
              <w:ind w:right="57"/>
              <w:jc w:val="left"/>
              <w:rPr>
                <w:rFonts w:hint="default"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QMS:6.1、6.3、9.1.1、9.1.3</w:t>
            </w:r>
            <w:r>
              <w:rPr>
                <w:rFonts w:hint="eastAsia" w:cs="Times New Roman"/>
                <w:color w:val="000000" w:themeColor="text1"/>
                <w:szCs w:val="22"/>
                <w:lang w:val="en-US" w:eastAsia="zh-CN"/>
                <w14:textFill>
                  <w14:solidFill>
                    <w14:schemeClr w14:val="tx1"/>
                  </w14:solidFill>
                </w14:textFill>
              </w:rPr>
              <w:t>，</w:t>
            </w:r>
            <w:r>
              <w:rPr>
                <w:rFonts w:hint="eastAsia" w:ascii="Times New Roman" w:hAnsi="Times New Roman" w:cs="Times New Roman"/>
                <w:color w:val="000000" w:themeColor="text1"/>
                <w:szCs w:val="22"/>
                <w:lang w:val="en-US" w:eastAsia="zh-CN"/>
                <w14:textFill>
                  <w14:solidFill>
                    <w14:schemeClr w14:val="tx1"/>
                  </w14:solidFill>
                </w14:textFill>
              </w:rPr>
              <w:t>EMS:6.1.1、9.1.1</w:t>
            </w:r>
            <w:r>
              <w:rPr>
                <w:rFonts w:hint="eastAsia" w:cs="Times New Roman"/>
                <w:color w:val="000000" w:themeColor="text1"/>
                <w:szCs w:val="22"/>
                <w:lang w:val="en-US" w:eastAsia="zh-CN"/>
                <w14:textFill>
                  <w14:solidFill>
                    <w14:schemeClr w14:val="tx1"/>
                  </w14:solidFill>
                </w14:textFill>
              </w:rPr>
              <w:t>，</w:t>
            </w:r>
            <w:r>
              <w:rPr>
                <w:rFonts w:hint="eastAsia" w:ascii="Times New Roman" w:hAnsi="Times New Roman" w:cs="Times New Roman"/>
                <w:color w:val="000000" w:themeColor="text1"/>
                <w:szCs w:val="22"/>
                <w:lang w:val="en-US" w:eastAsia="zh-CN"/>
                <w14:textFill>
                  <w14:solidFill>
                    <w14:schemeClr w14:val="tx1"/>
                  </w14:solidFill>
                </w14:textFill>
              </w:rPr>
              <w:t>OHS:6.1.1、9.1.1</w:t>
            </w:r>
            <w:r>
              <w:rPr>
                <w:rFonts w:hint="eastAsia" w:cs="Times New Roman"/>
                <w:color w:val="000000" w:themeColor="text1"/>
                <w:szCs w:val="22"/>
                <w:lang w:val="en-US" w:eastAsia="zh-CN"/>
                <w14:textFill>
                  <w14:solidFill>
                    <w14:schemeClr w14:val="tx1"/>
                  </w14:solidFill>
                </w14:textFill>
              </w:rPr>
              <w:t>，</w:t>
            </w:r>
            <w:r>
              <w:rPr>
                <w:rFonts w:hint="eastAsia" w:ascii="Times New Roman" w:hAnsi="Times New Roman" w:cs="Times New Roman"/>
                <w:color w:val="000000" w:themeColor="text1"/>
                <w:szCs w:val="22"/>
                <w:lang w:val="en-US" w:eastAsia="zh-CN"/>
                <w14:textFill>
                  <w14:solidFill>
                    <w14:schemeClr w14:val="tx1"/>
                  </w14:solidFill>
                </w14:textFill>
              </w:rPr>
              <w:t>HSE:2.2、4.12、5.1</w:t>
            </w:r>
          </w:p>
        </w:tc>
        <w:tc>
          <w:tcPr>
            <w:tcW w:w="1213"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应对风险和机遇的措施</w:t>
            </w:r>
            <w:r>
              <w:rPr>
                <w:rFonts w:hint="eastAsia" w:ascii="宋体" w:hAnsi="宋体" w:cs="Times New Roman"/>
                <w:color w:val="000000" w:themeColor="text1"/>
                <w:sz w:val="21"/>
                <w:szCs w:val="21"/>
                <w:lang w:val="en-US" w:eastAsia="zh-CN"/>
                <w14:textFill>
                  <w14:solidFill>
                    <w14:schemeClr w14:val="tx1"/>
                  </w14:solidFill>
                </w14:textFill>
              </w:rPr>
              <w:t>的管理</w:t>
            </w:r>
          </w:p>
        </w:tc>
        <w:tc>
          <w:tcPr>
            <w:tcW w:w="960" w:type="dxa"/>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Q:6.1</w:t>
            </w:r>
          </w:p>
          <w:p>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EO:6.1.1</w:t>
            </w:r>
          </w:p>
          <w:p>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default"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H:2.2</w:t>
            </w:r>
          </w:p>
          <w:p>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default" w:ascii="宋体" w:hAnsi="宋体" w:cs="Times New Roman"/>
                <w:color w:val="000000" w:themeColor="text1"/>
                <w:sz w:val="21"/>
                <w:szCs w:val="21"/>
                <w:lang w:val="en-US" w:eastAsia="zh-CN"/>
                <w14:textFill>
                  <w14:solidFill>
                    <w14:schemeClr w14:val="tx1"/>
                  </w14:solidFill>
                </w14:textFill>
              </w:rPr>
            </w:pPr>
          </w:p>
        </w:tc>
        <w:tc>
          <w:tcPr>
            <w:tcW w:w="10376" w:type="dxa"/>
          </w:tcPr>
          <w:p>
            <w:pPr>
              <w:ind w:firstLine="420" w:firstLineChars="200"/>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提供《风险和机遇控制程序BS/CX-02-2022》，有编审批，符合标准要求。</w:t>
            </w:r>
          </w:p>
          <w:p>
            <w:pPr>
              <w:ind w:firstLine="420" w:firstLineChars="200"/>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公司通过对目标和战略方向相关影响其实现管理体系预期结果的各种内外部环境因素的识别与评价，有效应对风险和机遇。</w:t>
            </w:r>
          </w:p>
          <w:p>
            <w:pPr>
              <w:ind w:firstLine="420" w:firstLineChars="200"/>
              <w:rPr>
                <w:rFonts w:hint="eastAsia"/>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提供公司的BSCX-02-JL-01《风险评估与应对措施表》</w:t>
            </w:r>
            <w:r>
              <w:rPr>
                <w:rFonts w:hint="eastAsia"/>
                <w:color w:val="000000" w:themeColor="text1"/>
                <w:sz w:val="21"/>
                <w:szCs w:val="21"/>
                <w:lang w:val="en-US" w:eastAsia="zh-CN"/>
                <w14:textFill>
                  <w14:solidFill>
                    <w14:schemeClr w14:val="tx1"/>
                  </w14:solidFill>
                </w14:textFill>
              </w:rPr>
              <w:t>，按照：序号、风险类别、风险内容、风险后果、风险对策、应对措施、责任部门、监督检查和评价进行</w:t>
            </w:r>
          </w:p>
          <w:p>
            <w:pPr>
              <w:ind w:firstLine="420" w:firstLineChars="20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提供BSCX-02-JL-02《机遇评估与应对措施表》，按照：序号、机遇内容、描述、应对措施、责任部门、完成日期、监督检查和评价进行</w:t>
            </w:r>
            <w:r>
              <w:rPr>
                <w:rFonts w:hint="eastAsia" w:eastAsia="宋体"/>
                <w:color w:val="000000" w:themeColor="text1"/>
                <w:sz w:val="21"/>
                <w:szCs w:val="21"/>
                <w:lang w:val="en-US" w:eastAsia="zh-CN"/>
                <w14:textFill>
                  <w14:solidFill>
                    <w14:schemeClr w14:val="tx1"/>
                  </w14:solidFill>
                </w14:textFill>
              </w:rPr>
              <w:t>。最后提出风险及机遇应对措施。</w:t>
            </w:r>
          </w:p>
          <w:p>
            <w:p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司提出风险4项（战略和市场风险、财务风险、法律风险、运营风险），机遇2项（监督检查工作的强化有助于提高全员环保意识和环保技术技能，从而提高公司环境管理绩效；对供应商的环保要求有助于进一步推广绿色环保产品的使用和普及，有助于进一步提高资源的投入产出效率，从而提高公司环境管理绩效）</w:t>
            </w:r>
            <w:r>
              <w:rPr>
                <w:rFonts w:hint="eastAsia"/>
                <w:color w:val="000000" w:themeColor="text1"/>
                <w:sz w:val="21"/>
                <w:szCs w:val="21"/>
                <w:lang w:val="en-US" w:eastAsia="zh-CN"/>
                <w14:textFill>
                  <w14:solidFill>
                    <w14:schemeClr w14:val="tx1"/>
                  </w14:solidFill>
                </w14:textFill>
              </w:rPr>
              <w:t>。</w:t>
            </w:r>
          </w:p>
          <w:p>
            <w:pPr>
              <w:ind w:firstLine="420" w:firstLineChars="200"/>
              <w:rPr>
                <w:rFonts w:hint="default" w:eastAsia="宋体" w:cs="Times New Roman"/>
                <w:bCs w:val="0"/>
                <w:color w:val="000000" w:themeColor="text1"/>
                <w:spacing w:val="0"/>
                <w:kern w:val="2"/>
                <w:sz w:val="21"/>
                <w:szCs w:val="22"/>
                <w:lang w:val="en-US" w:eastAsia="zh-CN" w:bidi="ar-SA"/>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公司对外部因素</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内部因素进行了风险和机遇的识别，确定了风险等级，制定了应对措施。符合要求。</w:t>
            </w:r>
          </w:p>
        </w:tc>
        <w:tc>
          <w:tcPr>
            <w:tcW w:w="121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变更的策划管理</w:t>
            </w:r>
          </w:p>
        </w:tc>
        <w:tc>
          <w:tcPr>
            <w:tcW w:w="960" w:type="dxa"/>
          </w:tcPr>
          <w:p>
            <w:pP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Q:6.3</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H:4.12</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p>
        </w:tc>
        <w:tc>
          <w:tcPr>
            <w:tcW w:w="10376" w:type="dxa"/>
          </w:tcPr>
          <w:p>
            <w:pPr>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司已经规定，当公司的内外部环境、相关方的需求等发生重大变化时，公司应该对管理体系变更进行策划（包括政策法规、技术标准、组织机构、核心人员、服务方式发生重大变化、以及新增劳务派遣项目、管理体系标准的变化等诸多方面）。</w:t>
            </w:r>
          </w:p>
          <w:p>
            <w:pPr>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公司规定，安全环保部对管理体系的变更进行统筹策划，应提前预防变更造成的不良影响，动态识别变更信息，评估风险和机遇，制定应对措施，对变更前、变更中、变更后的全过程加以控制。</w:t>
            </w:r>
          </w:p>
          <w:p>
            <w:pPr>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目前公司在劳务派遣方面还没有发生相关劳务派遣的变更。一切按照客户提出的计划进行。</w:t>
            </w:r>
          </w:p>
        </w:tc>
        <w:tc>
          <w:tcPr>
            <w:tcW w:w="121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vAlign w:val="top"/>
          </w:tcPr>
          <w:p>
            <w:pP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监视和测量规划和</w:t>
            </w:r>
          </w:p>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持续改进</w:t>
            </w:r>
          </w:p>
        </w:tc>
        <w:tc>
          <w:tcPr>
            <w:tcW w:w="960" w:type="dxa"/>
            <w:vAlign w:val="top"/>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QEO:</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9.1.1</w:t>
            </w:r>
          </w:p>
          <w:p>
            <w:pPr>
              <w:pStyle w:val="2"/>
              <w:rPr>
                <w:rFonts w:hint="default"/>
                <w:color w:val="000000" w:themeColor="text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H:5.1</w:t>
            </w:r>
          </w:p>
        </w:tc>
        <w:tc>
          <w:tcPr>
            <w:tcW w:w="10376" w:type="dxa"/>
            <w:vAlign w:val="top"/>
          </w:tcPr>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公司建立了《绩效监视和测量控制程序BS/CX-20-2022》，对公司的对办公和劳务派遣服务场所环境、职业健康安全、HSE绩效的监控。对可能具有重大环境影响和可能造成人员伤害、健康损害相关的运行与活动的关键特性进行监视与测量，以便评价对法律法规遵循情况，重要环境因素、重大危险源及目标、指标的完成情况，确保环境、职业健康安全管理体系有效运行。 </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公司建立了《事故/事件调查、不符合、纠正和预防措施控制程序BS/CX-21-2022》，对实际存在的不符合或潜在的不符合采取纠正或改进措施，预防不符合的再次发生。确定了不符合的来源：（1）日常监测和测量中出现的不符合；（2）内、外部相关方的意见和合理建议；（3）内审及管理评审中发现的不符合。规定了不符合的处置方法及纠正措施的制定实施要求，以及日常</w:t>
            </w:r>
            <w:r>
              <w:rPr>
                <w:rFonts w:hint="eastAsia"/>
                <w:color w:val="000000" w:themeColor="text1"/>
                <w:lang w:val="en-US" w:eastAsia="zh-CN"/>
                <w14:textFill>
                  <w14:solidFill>
                    <w14:schemeClr w14:val="tx1"/>
                  </w14:solidFill>
                </w14:textFill>
              </w:rPr>
              <w:t>监视预测量（岗位大检查）、</w:t>
            </w:r>
            <w:r>
              <w:rPr>
                <w:rFonts w:hint="eastAsia"/>
                <w:color w:val="000000" w:themeColor="text1"/>
                <w14:textFill>
                  <w14:solidFill>
                    <w14:schemeClr w14:val="tx1"/>
                  </w14:solidFill>
                </w14:textFill>
              </w:rPr>
              <w:t>持续改进活动。</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公司通过日常管理与检查、内审、管理评审等过程的控制实现持续改进。符合标准要求。</w:t>
            </w:r>
          </w:p>
          <w:p>
            <w:pPr>
              <w:ind w:firstLine="420" w:firstLineChars="200"/>
              <w:jc w:val="lef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提供公司管理评审报告，提出近期改进的方面：</w:t>
            </w:r>
          </w:p>
          <w:p>
            <w:pPr>
              <w:ind w:firstLine="420" w:firstLineChars="200"/>
              <w:jc w:val="lef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1．应对健康、环境和安全方面的法律法规（HSE）标准进行及时收集，理解并运用。</w:t>
            </w:r>
          </w:p>
          <w:p>
            <w:pPr>
              <w:ind w:firstLine="420" w:firstLineChars="200"/>
              <w:jc w:val="left"/>
              <w:rPr>
                <w:rFonts w:hint="default"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color w:val="000000" w:themeColor="text1"/>
                <w:szCs w:val="22"/>
                <w:lang w:val="en-US" w:eastAsia="zh-CN"/>
                <w14:textFill>
                  <w14:solidFill>
                    <w14:schemeClr w14:val="tx1"/>
                  </w14:solidFill>
                </w14:textFill>
              </w:rPr>
              <w:t>2. 对质量、环境、职业健康安全标准、中国石化HSE管理体系要求还应进一步学习和理解。</w:t>
            </w:r>
          </w:p>
        </w:tc>
        <w:tc>
          <w:tcPr>
            <w:tcW w:w="1213" w:type="dxa"/>
          </w:tcPr>
          <w:p>
            <w:pPr>
              <w:rPr>
                <w:color w:val="000000" w:themeColor="text1"/>
                <w14:textFill>
                  <w14:solidFill>
                    <w14:schemeClr w14:val="tx1"/>
                  </w14:solidFill>
                </w14:textFill>
              </w:rPr>
            </w:pPr>
          </w:p>
        </w:tc>
      </w:tr>
    </w:tbl>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56" w:firstLineChars="4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iODA1MTVjZDY1YTRkN2VmNmM5OWJkMjExYmM0YjQifQ=="/>
  </w:docVars>
  <w:rsids>
    <w:rsidRoot w:val="009973B4"/>
    <w:rsid w:val="000237F6"/>
    <w:rsid w:val="0003373A"/>
    <w:rsid w:val="000400E2"/>
    <w:rsid w:val="00062E46"/>
    <w:rsid w:val="000E6B21"/>
    <w:rsid w:val="001A2D7F"/>
    <w:rsid w:val="001B2B1C"/>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A20B6F"/>
    <w:rsid w:val="01E30C0C"/>
    <w:rsid w:val="01F25A54"/>
    <w:rsid w:val="03B17E9F"/>
    <w:rsid w:val="047A2E43"/>
    <w:rsid w:val="047C23EE"/>
    <w:rsid w:val="04F069D1"/>
    <w:rsid w:val="050D2726"/>
    <w:rsid w:val="06D7205C"/>
    <w:rsid w:val="08422B0C"/>
    <w:rsid w:val="08797894"/>
    <w:rsid w:val="0A200CA9"/>
    <w:rsid w:val="0A216C7D"/>
    <w:rsid w:val="0A896FE9"/>
    <w:rsid w:val="0AFD3115"/>
    <w:rsid w:val="0D2D4B4A"/>
    <w:rsid w:val="0F0B2BDE"/>
    <w:rsid w:val="0F3B12A6"/>
    <w:rsid w:val="0F7B2CDA"/>
    <w:rsid w:val="106C6179"/>
    <w:rsid w:val="108219C2"/>
    <w:rsid w:val="11CE14E0"/>
    <w:rsid w:val="13B33BC9"/>
    <w:rsid w:val="13BD2BE4"/>
    <w:rsid w:val="147941C0"/>
    <w:rsid w:val="14E340D5"/>
    <w:rsid w:val="15986167"/>
    <w:rsid w:val="15B870CC"/>
    <w:rsid w:val="16B65069"/>
    <w:rsid w:val="16D974B1"/>
    <w:rsid w:val="178D388A"/>
    <w:rsid w:val="18572570"/>
    <w:rsid w:val="190F099B"/>
    <w:rsid w:val="1AB47395"/>
    <w:rsid w:val="1ADD2EA8"/>
    <w:rsid w:val="1B46487E"/>
    <w:rsid w:val="1B6170A5"/>
    <w:rsid w:val="1B881819"/>
    <w:rsid w:val="1B8C7176"/>
    <w:rsid w:val="1C75625B"/>
    <w:rsid w:val="1C8C17DD"/>
    <w:rsid w:val="1E056013"/>
    <w:rsid w:val="1E263064"/>
    <w:rsid w:val="1E27007F"/>
    <w:rsid w:val="1E286F45"/>
    <w:rsid w:val="1E3A3D1D"/>
    <w:rsid w:val="1E4246BE"/>
    <w:rsid w:val="1E873FE7"/>
    <w:rsid w:val="1F107A2E"/>
    <w:rsid w:val="1F771329"/>
    <w:rsid w:val="212345D6"/>
    <w:rsid w:val="22F54EA8"/>
    <w:rsid w:val="24F52E53"/>
    <w:rsid w:val="25A60F9D"/>
    <w:rsid w:val="25C6426F"/>
    <w:rsid w:val="25D01723"/>
    <w:rsid w:val="25D43F74"/>
    <w:rsid w:val="25F6279D"/>
    <w:rsid w:val="260E6499"/>
    <w:rsid w:val="262C1EEA"/>
    <w:rsid w:val="26E50717"/>
    <w:rsid w:val="277D79BE"/>
    <w:rsid w:val="28EB77AF"/>
    <w:rsid w:val="29A21A71"/>
    <w:rsid w:val="29E318C1"/>
    <w:rsid w:val="2A766C51"/>
    <w:rsid w:val="2AAD74CC"/>
    <w:rsid w:val="2B2F4819"/>
    <w:rsid w:val="2B5B1396"/>
    <w:rsid w:val="2BE71DC5"/>
    <w:rsid w:val="2C3103C0"/>
    <w:rsid w:val="2EB967C5"/>
    <w:rsid w:val="2F912599"/>
    <w:rsid w:val="318604A8"/>
    <w:rsid w:val="32334EAE"/>
    <w:rsid w:val="332C2F3D"/>
    <w:rsid w:val="347A765D"/>
    <w:rsid w:val="34B42186"/>
    <w:rsid w:val="351F77BF"/>
    <w:rsid w:val="356B5308"/>
    <w:rsid w:val="35933FBA"/>
    <w:rsid w:val="35A8064D"/>
    <w:rsid w:val="361577F0"/>
    <w:rsid w:val="36240FF0"/>
    <w:rsid w:val="36742059"/>
    <w:rsid w:val="36D844B9"/>
    <w:rsid w:val="374716A1"/>
    <w:rsid w:val="393C56E6"/>
    <w:rsid w:val="39925D4F"/>
    <w:rsid w:val="3A8E705E"/>
    <w:rsid w:val="3AD4006D"/>
    <w:rsid w:val="3B2F152F"/>
    <w:rsid w:val="3C721706"/>
    <w:rsid w:val="3CD52507"/>
    <w:rsid w:val="3D4E6C4D"/>
    <w:rsid w:val="3D507775"/>
    <w:rsid w:val="3E4F4E3C"/>
    <w:rsid w:val="3EC252BA"/>
    <w:rsid w:val="3EED6F68"/>
    <w:rsid w:val="3F363088"/>
    <w:rsid w:val="3F655E33"/>
    <w:rsid w:val="3F8A37D7"/>
    <w:rsid w:val="3FEF0729"/>
    <w:rsid w:val="40E73C0B"/>
    <w:rsid w:val="418C6EA0"/>
    <w:rsid w:val="41A102B3"/>
    <w:rsid w:val="41D81C71"/>
    <w:rsid w:val="430458CB"/>
    <w:rsid w:val="43C45188"/>
    <w:rsid w:val="43EA1BA4"/>
    <w:rsid w:val="450827B4"/>
    <w:rsid w:val="456613DE"/>
    <w:rsid w:val="45835A41"/>
    <w:rsid w:val="4610399C"/>
    <w:rsid w:val="46676C35"/>
    <w:rsid w:val="49A43C5D"/>
    <w:rsid w:val="4A643F32"/>
    <w:rsid w:val="4AB51850"/>
    <w:rsid w:val="4B1D16C3"/>
    <w:rsid w:val="4B3D5431"/>
    <w:rsid w:val="4BC14352"/>
    <w:rsid w:val="4C7C72A1"/>
    <w:rsid w:val="4C8654D1"/>
    <w:rsid w:val="4DE427FB"/>
    <w:rsid w:val="4E194E12"/>
    <w:rsid w:val="4E377A31"/>
    <w:rsid w:val="4F460E7A"/>
    <w:rsid w:val="4FAC517C"/>
    <w:rsid w:val="4FFD1A67"/>
    <w:rsid w:val="508939BE"/>
    <w:rsid w:val="510C5AF5"/>
    <w:rsid w:val="511B40AC"/>
    <w:rsid w:val="53D34B71"/>
    <w:rsid w:val="568C3F73"/>
    <w:rsid w:val="56F0460D"/>
    <w:rsid w:val="56F15158"/>
    <w:rsid w:val="57900F32"/>
    <w:rsid w:val="59062011"/>
    <w:rsid w:val="5A1D6551"/>
    <w:rsid w:val="5B99033C"/>
    <w:rsid w:val="5BA21581"/>
    <w:rsid w:val="5BFD0207"/>
    <w:rsid w:val="5CAB44D2"/>
    <w:rsid w:val="5CC22B73"/>
    <w:rsid w:val="5DBA2483"/>
    <w:rsid w:val="5DE163BC"/>
    <w:rsid w:val="5DFE0F97"/>
    <w:rsid w:val="5E292A40"/>
    <w:rsid w:val="5EA12B9A"/>
    <w:rsid w:val="5EC27919"/>
    <w:rsid w:val="5F31209E"/>
    <w:rsid w:val="5F445EE1"/>
    <w:rsid w:val="5F5C13F0"/>
    <w:rsid w:val="609C6059"/>
    <w:rsid w:val="60D8693C"/>
    <w:rsid w:val="61EC1F58"/>
    <w:rsid w:val="620D4FC6"/>
    <w:rsid w:val="6298438A"/>
    <w:rsid w:val="62C55E6E"/>
    <w:rsid w:val="62F24F2F"/>
    <w:rsid w:val="63175BAC"/>
    <w:rsid w:val="634714D0"/>
    <w:rsid w:val="6352475B"/>
    <w:rsid w:val="645F2B5D"/>
    <w:rsid w:val="650A78D6"/>
    <w:rsid w:val="663858E4"/>
    <w:rsid w:val="664A3CA3"/>
    <w:rsid w:val="673A3673"/>
    <w:rsid w:val="684903CF"/>
    <w:rsid w:val="693F2356"/>
    <w:rsid w:val="69CD79CF"/>
    <w:rsid w:val="6C1279E0"/>
    <w:rsid w:val="6CAA131E"/>
    <w:rsid w:val="6CEA2EF7"/>
    <w:rsid w:val="6D8D5B2D"/>
    <w:rsid w:val="6E26299D"/>
    <w:rsid w:val="6F094211"/>
    <w:rsid w:val="6F765216"/>
    <w:rsid w:val="70BC0C82"/>
    <w:rsid w:val="70FE0D10"/>
    <w:rsid w:val="7147513F"/>
    <w:rsid w:val="71523BBC"/>
    <w:rsid w:val="721A7BDD"/>
    <w:rsid w:val="7257141B"/>
    <w:rsid w:val="742D63C8"/>
    <w:rsid w:val="747A1632"/>
    <w:rsid w:val="753266BC"/>
    <w:rsid w:val="75623FC3"/>
    <w:rsid w:val="765A5DFB"/>
    <w:rsid w:val="76AF40A0"/>
    <w:rsid w:val="77187E8F"/>
    <w:rsid w:val="778D1E8E"/>
    <w:rsid w:val="782F74B9"/>
    <w:rsid w:val="78B95828"/>
    <w:rsid w:val="78CB57AE"/>
    <w:rsid w:val="78E67034"/>
    <w:rsid w:val="790F4ED3"/>
    <w:rsid w:val="79807E6E"/>
    <w:rsid w:val="79CD2983"/>
    <w:rsid w:val="7AD6279A"/>
    <w:rsid w:val="7B243ADF"/>
    <w:rsid w:val="7B421755"/>
    <w:rsid w:val="7BDB243B"/>
    <w:rsid w:val="7CC16C5D"/>
    <w:rsid w:val="7E155CD3"/>
    <w:rsid w:val="7E64683F"/>
    <w:rsid w:val="7ED31D30"/>
    <w:rsid w:val="7F843BBB"/>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华文细黑"/>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5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1285</Words>
  <Characters>1456</Characters>
  <Lines>1</Lines>
  <Paragraphs>1</Paragraphs>
  <TotalTime>28</TotalTime>
  <ScaleCrop>false</ScaleCrop>
  <LinksUpToDate>false</LinksUpToDate>
  <CharactersWithSpaces>1480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2022-06-23T11:21:38Z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DCB683D0AE43431F9B0B2EFB3B90E8FA</vt:lpwstr>
  </property>
</Properties>
</file>