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rPr>
          <w:rFonts w:hint="eastAsia" w:ascii="隶书" w:hAnsi="宋体" w:eastAsia="隶书"/>
          <w:bCs/>
          <w:color w:val="000000" w:themeColor="text1"/>
          <w:sz w:val="36"/>
          <w:szCs w:val="36"/>
          <w14:textFill>
            <w14:solidFill>
              <w14:schemeClr w14:val="tx1"/>
            </w14:solidFill>
          </w14:textFill>
        </w:rPr>
      </w:pPr>
    </w:p>
    <w:p>
      <w:pPr>
        <w:spacing w:line="480" w:lineRule="exact"/>
        <w:jc w:val="center"/>
        <w:rPr>
          <w:rFonts w:ascii="隶书" w:hAnsi="宋体" w:eastAsia="隶书"/>
          <w:bCs/>
          <w:color w:val="000000" w:themeColor="text1"/>
          <w:sz w:val="36"/>
          <w:szCs w:val="36"/>
          <w14:textFill>
            <w14:solidFill>
              <w14:schemeClr w14:val="tx1"/>
            </w14:solidFill>
          </w14:textFill>
        </w:rPr>
      </w:pPr>
      <w:r>
        <w:rPr>
          <w:rFonts w:hint="eastAsia" w:ascii="隶书" w:hAnsi="宋体" w:eastAsia="隶书"/>
          <w:bCs/>
          <w:color w:val="000000" w:themeColor="text1"/>
          <w:sz w:val="36"/>
          <w:szCs w:val="36"/>
          <w14:textFill>
            <w14:solidFill>
              <w14:schemeClr w14:val="tx1"/>
            </w14:solidFill>
          </w14:textFill>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160" w:type="dxa"/>
            <w:vMerge w:val="restart"/>
            <w:vAlign w:val="center"/>
          </w:tcPr>
          <w:p>
            <w:pPr>
              <w:ind w:firstLine="420" w:firstLineChars="200"/>
              <w:rPr>
                <w:rFonts w:hint="eastAsia" w:ascii="Times New Roman" w:hAnsi="Times New Roman" w:cs="Times New Roman"/>
                <w:color w:val="000000" w:themeColor="text1"/>
                <w:szCs w:val="22"/>
                <w:lang w:val="en-US" w:eastAsia="zh-CN"/>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过程与活动、</w:t>
            </w:r>
          </w:p>
          <w:p>
            <w:pPr>
              <w:ind w:firstLine="420" w:firstLineChars="200"/>
              <w:rPr>
                <w:rFonts w:hint="eastAsia" w:ascii="Times New Roman" w:hAnsi="Times New Roman" w:cs="Times New Roman"/>
                <w:color w:val="000000" w:themeColor="text1"/>
                <w:szCs w:val="22"/>
                <w:lang w:val="en-US" w:eastAsia="zh-CN"/>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抽样计划</w:t>
            </w:r>
          </w:p>
        </w:tc>
        <w:tc>
          <w:tcPr>
            <w:tcW w:w="960" w:type="dxa"/>
            <w:vMerge w:val="restart"/>
            <w:vAlign w:val="center"/>
          </w:tcPr>
          <w:p>
            <w:pPr>
              <w:jc w:val="center"/>
              <w:rPr>
                <w:rFonts w:hint="eastAsia" w:ascii="Times New Roman" w:hAnsi="Times New Roman" w:cs="Times New Roman"/>
                <w:color w:val="000000" w:themeColor="text1"/>
                <w:szCs w:val="22"/>
                <w:lang w:val="en-US" w:eastAsia="zh-CN"/>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涉及</w:t>
            </w:r>
          </w:p>
          <w:p>
            <w:pPr>
              <w:jc w:val="center"/>
              <w:rPr>
                <w:rFonts w:hint="eastAsia" w:ascii="Times New Roman" w:hAnsi="Times New Roman" w:cs="Times New Roman"/>
                <w:color w:val="000000" w:themeColor="text1"/>
                <w:szCs w:val="22"/>
                <w:lang w:val="en-US" w:eastAsia="zh-CN"/>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条款</w:t>
            </w:r>
          </w:p>
        </w:tc>
        <w:tc>
          <w:tcPr>
            <w:tcW w:w="10376" w:type="dxa"/>
            <w:vAlign w:val="center"/>
          </w:tcPr>
          <w:p>
            <w:pP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受审核部门：管理层    主管领导： 总经理</w:t>
            </w:r>
            <w:r>
              <w:rPr>
                <w:rFonts w:hint="eastAsia" w:cs="Times New Roman"/>
                <w:color w:val="000000" w:themeColor="text1"/>
                <w:sz w:val="21"/>
                <w:szCs w:val="21"/>
                <w:lang w:val="en-US" w:eastAsia="zh-CN"/>
                <w14:textFill>
                  <w14:solidFill>
                    <w14:schemeClr w14:val="tx1"/>
                  </w14:solidFill>
                </w14:textFill>
              </w:rPr>
              <w:t>-江寿根</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color w:val="000000" w:themeColor="text1"/>
                <w:szCs w:val="22"/>
                <w:lang w:val="en-US" w:eastAsia="zh-CN"/>
                <w14:textFill>
                  <w14:solidFill>
                    <w14:schemeClr w14:val="tx1"/>
                  </w14:solidFill>
                </w14:textFill>
              </w:rPr>
              <w:t>陪同人员：</w:t>
            </w:r>
            <w:r>
              <w:rPr>
                <w:rFonts w:hint="eastAsia"/>
                <w:color w:val="000000" w:themeColor="text1"/>
                <w:szCs w:val="21"/>
                <w:lang w:val="en-US" w:eastAsia="zh-CN"/>
                <w14:textFill>
                  <w14:solidFill>
                    <w14:schemeClr w14:val="tx1"/>
                  </w14:solidFill>
                </w14:textFill>
              </w:rPr>
              <w:t>巩雅丽</w:t>
            </w:r>
          </w:p>
        </w:tc>
        <w:tc>
          <w:tcPr>
            <w:tcW w:w="1213" w:type="dxa"/>
            <w:vMerge w:val="restart"/>
            <w:vAlign w:val="center"/>
          </w:tcPr>
          <w:p>
            <w:pPr>
              <w:tabs>
                <w:tab w:val="center" w:pos="498"/>
              </w:tabs>
              <w:jc w:val="center"/>
              <w:rPr>
                <w:rFonts w:hint="eastAsia" w:ascii="Times New Roman" w:hAnsi="Times New Roman" w:cs="Times New Roman"/>
                <w:color w:val="000000" w:themeColor="text1"/>
                <w:szCs w:val="22"/>
                <w:lang w:val="en-US" w:eastAsia="zh-CN"/>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14:textFill>
                  <w14:solidFill>
                    <w14:schemeClr w14:val="tx1"/>
                  </w14:solidFill>
                </w14:textFill>
              </w:rPr>
            </w:pPr>
          </w:p>
        </w:tc>
        <w:tc>
          <w:tcPr>
            <w:tcW w:w="960" w:type="dxa"/>
            <w:vMerge w:val="continue"/>
            <w:vAlign w:val="center"/>
          </w:tcPr>
          <w:p>
            <w:pPr>
              <w:rPr>
                <w:color w:val="000000" w:themeColor="text1"/>
                <w14:textFill>
                  <w14:solidFill>
                    <w14:schemeClr w14:val="tx1"/>
                  </w14:solidFill>
                </w14:textFill>
              </w:rPr>
            </w:pPr>
          </w:p>
        </w:tc>
        <w:tc>
          <w:tcPr>
            <w:tcW w:w="10376" w:type="dxa"/>
            <w:vAlign w:val="center"/>
          </w:tcPr>
          <w:p>
            <w:pP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审核员：王宁敏       审核时间：2022-0</w:t>
            </w:r>
            <w:r>
              <w:rPr>
                <w:rFonts w:hint="eastAsia" w:cs="Times New Roman"/>
                <w:color w:val="000000" w:themeColor="text1"/>
                <w:sz w:val="21"/>
                <w:szCs w:val="21"/>
                <w:lang w:val="en-US" w:eastAsia="zh-CN"/>
                <w14:textFill>
                  <w14:solidFill>
                    <w14:schemeClr w14:val="tx1"/>
                  </w14:solidFill>
                </w14:textFill>
              </w:rPr>
              <w:t>6</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21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09:00-12:30</w:t>
            </w:r>
            <w:bookmarkStart w:id="2" w:name="_GoBack"/>
            <w:bookmarkEnd w:id="2"/>
          </w:p>
        </w:tc>
        <w:tc>
          <w:tcPr>
            <w:tcW w:w="1213"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14:textFill>
                  <w14:solidFill>
                    <w14:schemeClr w14:val="tx1"/>
                  </w14:solidFill>
                </w14:textFill>
              </w:rPr>
            </w:pPr>
          </w:p>
        </w:tc>
        <w:tc>
          <w:tcPr>
            <w:tcW w:w="960" w:type="dxa"/>
            <w:vMerge w:val="continue"/>
            <w:vAlign w:val="center"/>
          </w:tcPr>
          <w:p>
            <w:pPr>
              <w:rPr>
                <w:color w:val="000000" w:themeColor="text1"/>
                <w14:textFill>
                  <w14:solidFill>
                    <w14:schemeClr w14:val="tx1"/>
                  </w14:solidFill>
                </w14:textFill>
              </w:rPr>
            </w:pPr>
          </w:p>
        </w:tc>
        <w:tc>
          <w:tcPr>
            <w:tcW w:w="10376" w:type="dxa"/>
            <w:vAlign w:val="center"/>
          </w:tcPr>
          <w:p>
            <w:pPr>
              <w:tabs>
                <w:tab w:val="left" w:pos="709"/>
              </w:tabs>
              <w:ind w:right="57"/>
              <w:jc w:val="left"/>
              <w:rPr>
                <w:rFonts w:hint="default" w:ascii="Times New Roman" w:hAnsi="Times New Roman" w:cs="Times New Roman"/>
                <w:color w:val="000000" w:themeColor="text1"/>
                <w:szCs w:val="22"/>
                <w:lang w:val="en-US" w:eastAsia="zh-CN"/>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审核条款：（内外部因素、相关方的需求和期望、确定管理体系的范围、体系策划过程、管理承诺相关过程、方针及目标的建立、职权分配、资源提供过程、管理评审过程）对一阶段问题整改情况的确认；审核范围及企业资质合规性的再确认；事故事件及起处理情况，质量、环境安全监测情况、使用情况等；</w:t>
            </w:r>
            <w:r>
              <w:rPr>
                <w:rFonts w:hint="eastAsia" w:eastAsia="宋体"/>
                <w:color w:val="000000" w:themeColor="text1"/>
                <w:sz w:val="21"/>
                <w:szCs w:val="21"/>
                <w:lang w:val="en-US" w:eastAsia="zh-CN"/>
                <w14:textFill>
                  <w14:solidFill>
                    <w14:schemeClr w14:val="tx1"/>
                  </w14:solidFill>
                </w14:textFill>
              </w:rPr>
              <w:t>QMS：4.1、4.2、4.3、4.4、5.1、5.2、5.3、6.2、7.1.1、9.3、10.1、10.3</w:t>
            </w:r>
            <w:r>
              <w:rPr>
                <w:rFonts w:hint="eastAsia"/>
                <w:color w:val="000000" w:themeColor="text1"/>
                <w:sz w:val="21"/>
                <w:szCs w:val="21"/>
                <w:lang w:val="en-US" w:eastAsia="zh-CN"/>
                <w14:textFill>
                  <w14:solidFill>
                    <w14:schemeClr w14:val="tx1"/>
                  </w14:solidFill>
                </w14:textFill>
              </w:rPr>
              <w:t>;</w:t>
            </w:r>
            <w:r>
              <w:rPr>
                <w:rFonts w:hint="eastAsia" w:eastAsia="宋体"/>
                <w:color w:val="000000" w:themeColor="text1"/>
                <w:sz w:val="21"/>
                <w:szCs w:val="21"/>
                <w:lang w:val="en-US" w:eastAsia="zh-CN"/>
                <w14:textFill>
                  <w14:solidFill>
                    <w14:schemeClr w14:val="tx1"/>
                  </w14:solidFill>
                </w14:textFill>
              </w:rPr>
              <w:t>EMS：4.1、4.2、4.3、4.4、5.1、5.2、5.3、6.2、7.1、9.3、10.1、10.3</w:t>
            </w:r>
            <w:r>
              <w:rPr>
                <w:rFonts w:hint="eastAsia"/>
                <w:color w:val="000000" w:themeColor="text1"/>
                <w:sz w:val="21"/>
                <w:szCs w:val="21"/>
                <w:lang w:val="en-US" w:eastAsia="zh-CN"/>
                <w14:textFill>
                  <w14:solidFill>
                    <w14:schemeClr w14:val="tx1"/>
                  </w14:solidFill>
                </w14:textFill>
              </w:rPr>
              <w:t>;</w:t>
            </w:r>
            <w:r>
              <w:rPr>
                <w:rFonts w:hint="eastAsia" w:eastAsia="宋体"/>
                <w:color w:val="000000" w:themeColor="text1"/>
                <w:sz w:val="21"/>
                <w:szCs w:val="21"/>
                <w:lang w:val="en-US" w:eastAsia="zh-CN"/>
                <w14:textFill>
                  <w14:solidFill>
                    <w14:schemeClr w14:val="tx1"/>
                  </w14:solidFill>
                </w14:textFill>
              </w:rPr>
              <w:t>OHS：4.1、4.2、4.3、4.4、5.1、5.2、5.3、6.2、7.1、9.3、10.1、10.3</w:t>
            </w:r>
            <w:r>
              <w:rPr>
                <w:rFonts w:hint="eastAsia"/>
                <w:color w:val="000000" w:themeColor="text1"/>
                <w:sz w:val="21"/>
                <w:szCs w:val="21"/>
                <w:lang w:val="en-US" w:eastAsia="zh-CN"/>
                <w14:textFill>
                  <w14:solidFill>
                    <w14:schemeClr w14:val="tx1"/>
                  </w14:solidFill>
                </w14:textFill>
              </w:rPr>
              <w:t>;</w:t>
            </w:r>
            <w:r>
              <w:rPr>
                <w:rFonts w:hint="eastAsia" w:eastAsia="宋体"/>
                <w:color w:val="000000" w:themeColor="text1"/>
                <w:sz w:val="21"/>
                <w:szCs w:val="21"/>
                <w:lang w:val="en-US" w:eastAsia="zh-CN"/>
                <w14:textFill>
                  <w14:solidFill>
                    <w14:schemeClr w14:val="tx1"/>
                  </w14:solidFill>
                </w14:textFill>
              </w:rPr>
              <w:t>HSE:1.1-1.5、2.4、3.1、6.2</w:t>
            </w:r>
          </w:p>
        </w:tc>
        <w:tc>
          <w:tcPr>
            <w:tcW w:w="1213" w:type="dxa"/>
            <w:vMerge w:val="continue"/>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2160" w:type="dxa"/>
          </w:tcPr>
          <w:p>
            <w:pPr>
              <w:rPr>
                <w:color w:val="000000" w:themeColor="text1"/>
                <w14:textFill>
                  <w14:solidFill>
                    <w14:schemeClr w14:val="tx1"/>
                  </w14:solidFill>
                </w14:textFill>
              </w:rPr>
            </w:pPr>
            <w:r>
              <w:rPr>
                <w:rFonts w:hint="eastAsia" w:ascii="Times New Roman" w:hAnsi="Times New Roman" w:cs="Times New Roman"/>
                <w:color w:val="000000" w:themeColor="text1"/>
                <w:szCs w:val="22"/>
                <w:lang w:val="en-US" w:eastAsia="zh-CN"/>
                <w14:textFill>
                  <w14:solidFill>
                    <w14:schemeClr w14:val="tx1"/>
                  </w14:solidFill>
                </w14:textFill>
              </w:rPr>
              <w:t>了解公司基本情况</w:t>
            </w:r>
          </w:p>
        </w:tc>
        <w:tc>
          <w:tcPr>
            <w:tcW w:w="960" w:type="dxa"/>
          </w:tcPr>
          <w:p>
            <w:pPr>
              <w:rPr>
                <w:color w:val="000000" w:themeColor="text1"/>
                <w14:textFill>
                  <w14:solidFill>
                    <w14:schemeClr w14:val="tx1"/>
                  </w14:solidFill>
                </w14:textFill>
              </w:rPr>
            </w:pPr>
          </w:p>
        </w:tc>
        <w:tc>
          <w:tcPr>
            <w:tcW w:w="10376" w:type="dxa"/>
          </w:tcPr>
          <w:p>
            <w:pPr>
              <w:ind w:firstLine="420" w:firstLineChars="200"/>
              <w:rPr>
                <w:rFonts w:hint="eastAsia" w:cs="Times New Roman"/>
                <w:color w:val="000000" w:themeColor="text1"/>
                <w:szCs w:val="22"/>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安庆博盛石化工程有限公司（以下简称博盛公司）是安徽盈创石化检修安装有限责任公司全资子公司，成立于2019年7月。博盛公司是一家以集施工劳务、模板脚手架施工、劳务派遣为一体综合性劳务公司。企业资质有施工劳务，模板脚手架专业承包，劳务派遣。经营范围：模板脚手架搭设；劳务派遣服务；石油化工工程、建筑安装工程、防水防腐保温工程、消防工程施工、市政工程、机电工程、装饰装修工程设计及施工；石油化工及电站装置检修、1级锅炉维修、2级固定式压力容器维修、电气仪表安装维修、GC1级压力管道安装；模板脚手架出租。</w:t>
            </w:r>
          </w:p>
          <w:p>
            <w:pPr>
              <w:ind w:firstLine="420" w:firstLineChars="20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总经理：</w:t>
            </w:r>
            <w:r>
              <w:rPr>
                <w:rFonts w:hint="eastAsia" w:cs="Times New Roman"/>
                <w:color w:val="000000" w:themeColor="text1"/>
                <w:sz w:val="21"/>
                <w:szCs w:val="21"/>
                <w:lang w:val="en-US" w:eastAsia="zh-CN"/>
                <w14:textFill>
                  <w14:solidFill>
                    <w14:schemeClr w14:val="tx1"/>
                  </w14:solidFill>
                </w14:textFill>
              </w:rPr>
              <w:t>江寿根</w:t>
            </w:r>
            <w:r>
              <w:rPr>
                <w:rFonts w:hint="eastAsia"/>
                <w:color w:val="000000" w:themeColor="text1"/>
                <w:sz w:val="21"/>
                <w:szCs w:val="21"/>
                <w:lang w:val="en-US" w:eastAsia="zh-CN"/>
                <w14:textFill>
                  <w14:solidFill>
                    <w14:schemeClr w14:val="tx1"/>
                  </w14:solidFill>
                </w14:textFill>
              </w:rPr>
              <w:t>；管理者代表：梁挺；职业健康安全、HSE事务代表：陈娟。</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注册资金：1000万，</w:t>
            </w:r>
            <w:r>
              <w:rPr>
                <w:rFonts w:hint="eastAsia"/>
                <w:color w:val="000000" w:themeColor="text1"/>
                <w:sz w:val="20"/>
                <w:szCs w:val="22"/>
                <w14:textFill>
                  <w14:solidFill>
                    <w14:schemeClr w14:val="tx1"/>
                  </w14:solidFill>
                </w14:textFill>
              </w:rPr>
              <w:t>固定资产</w:t>
            </w:r>
            <w:r>
              <w:rPr>
                <w:rFonts w:hint="eastAsia"/>
                <w:color w:val="000000" w:themeColor="text1"/>
                <w:sz w:val="20"/>
                <w:szCs w:val="22"/>
                <w:lang w:val="en-US" w:eastAsia="zh-CN"/>
                <w14:textFill>
                  <w14:solidFill>
                    <w14:schemeClr w14:val="tx1"/>
                  </w14:solidFill>
                </w14:textFill>
              </w:rPr>
              <w:t>4.6</w:t>
            </w:r>
            <w:r>
              <w:rPr>
                <w:rFonts w:hint="eastAsia"/>
                <w:color w:val="000000" w:themeColor="text1"/>
                <w:sz w:val="20"/>
                <w:szCs w:val="22"/>
                <w14:textFill>
                  <w14:solidFill>
                    <w14:schemeClr w14:val="tx1"/>
                  </w14:solidFill>
                </w14:textFill>
              </w:rPr>
              <w:t>万，占地面积：</w:t>
            </w:r>
            <w:r>
              <w:rPr>
                <w:rFonts w:hint="eastAsia"/>
                <w:color w:val="000000" w:themeColor="text1"/>
                <w:sz w:val="20"/>
                <w:szCs w:val="22"/>
                <w:lang w:val="en-US" w:eastAsia="zh-CN"/>
                <w14:textFill>
                  <w14:solidFill>
                    <w14:schemeClr w14:val="tx1"/>
                  </w14:solidFill>
                </w14:textFill>
              </w:rPr>
              <w:t>1100m2</w:t>
            </w:r>
            <w:r>
              <w:rPr>
                <w:rFonts w:hint="eastAsia"/>
                <w:color w:val="000000" w:themeColor="text1"/>
                <w:sz w:val="20"/>
                <w:szCs w:val="22"/>
                <w14:textFill>
                  <w14:solidFill>
                    <w14:schemeClr w14:val="tx1"/>
                  </w14:solidFill>
                </w14:textFill>
              </w:rPr>
              <w:t>。</w:t>
            </w:r>
            <w:r>
              <w:rPr>
                <w:rFonts w:hint="eastAsia"/>
                <w:color w:val="000000" w:themeColor="text1"/>
                <w:lang w:val="en-US" w:eastAsia="zh-CN"/>
                <w14:textFill>
                  <w14:solidFill>
                    <w14:schemeClr w14:val="tx1"/>
                  </w14:solidFill>
                </w14:textFill>
              </w:rPr>
              <w:t>拥有体系员工25余名。</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营业执照注册地址：</w:t>
            </w:r>
            <w:bookmarkStart w:id="0" w:name="注册地址"/>
            <w:r>
              <w:rPr>
                <w:rFonts w:asciiTheme="minorEastAsia" w:hAnsiTheme="minorEastAsia" w:eastAsiaTheme="minorEastAsia"/>
                <w:color w:val="000000" w:themeColor="text1"/>
                <w:sz w:val="20"/>
                <w14:textFill>
                  <w14:solidFill>
                    <w14:schemeClr w14:val="tx1"/>
                  </w14:solidFill>
                </w14:textFill>
              </w:rPr>
              <w:t>安徽省安庆市大观区油化一路5号</w:t>
            </w:r>
            <w:bookmarkEnd w:id="0"/>
            <w:r>
              <w:rPr>
                <w:rFonts w:hint="eastAsia"/>
                <w:color w:val="000000" w:themeColor="text1"/>
                <w:lang w:val="en-US" w:eastAsia="zh-CN"/>
                <w14:textFill>
                  <w14:solidFill>
                    <w14:schemeClr w14:val="tx1"/>
                  </w14:solidFill>
                </w14:textFill>
              </w:rPr>
              <w:t>。</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经营地址：</w:t>
            </w:r>
            <w:r>
              <w:rPr>
                <w:rFonts w:asciiTheme="minorEastAsia" w:hAnsiTheme="minorEastAsia" w:eastAsiaTheme="minorEastAsia"/>
                <w:color w:val="000000" w:themeColor="text1"/>
                <w:sz w:val="20"/>
                <w14:textFill>
                  <w14:solidFill>
                    <w14:schemeClr w14:val="tx1"/>
                  </w14:solidFill>
                </w14:textFill>
              </w:rPr>
              <w:t>安徽省安庆市大观区油化一路5号</w:t>
            </w:r>
            <w:r>
              <w:rPr>
                <w:rFonts w:hint="eastAsia"/>
                <w:color w:val="000000" w:themeColor="text1"/>
                <w:lang w:val="en-US" w:eastAsia="zh-CN"/>
                <w14:textFill>
                  <w14:solidFill>
                    <w14:schemeClr w14:val="tx1"/>
                  </w14:solidFill>
                </w14:textFill>
              </w:rPr>
              <w:t>，与生产或服务现场一致。</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管理体系覆盖的人数总计 25人，现场审核予以确认。</w:t>
            </w:r>
          </w:p>
        </w:tc>
        <w:tc>
          <w:tcPr>
            <w:tcW w:w="1213" w:type="dxa"/>
          </w:tcPr>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tcPr>
          <w:p>
            <w:pPr>
              <w:rPr>
                <w:rFonts w:hint="eastAsia" w:ascii="宋体" w:hAnsi="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理解组织及其所处的环境</w:t>
            </w:r>
            <w:r>
              <w:rPr>
                <w:rFonts w:hint="eastAsia" w:ascii="宋体" w:hAnsi="宋体" w:cs="Times New Roman"/>
                <w:color w:val="000000" w:themeColor="text1"/>
                <w:sz w:val="21"/>
                <w:szCs w:val="21"/>
                <w:lang w:val="en-US" w:eastAsia="zh-CN"/>
                <w14:textFill>
                  <w14:solidFill>
                    <w14:schemeClr w14:val="tx1"/>
                  </w14:solidFill>
                </w14:textFill>
              </w:rPr>
              <w:t>，</w:t>
            </w:r>
          </w:p>
          <w:p>
            <w:pPr>
              <w:rPr>
                <w:rFonts w:hint="default"/>
                <w:color w:val="000000" w:themeColor="text1"/>
                <w:lang w:val="en-US"/>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理解相关方的需求和期望</w:t>
            </w:r>
          </w:p>
        </w:tc>
        <w:tc>
          <w:tcPr>
            <w:tcW w:w="960" w:type="dxa"/>
          </w:tcPr>
          <w:p>
            <w:pPr>
              <w:rPr>
                <w:rFonts w:hint="default"/>
                <w:color w:val="000000" w:themeColor="text1"/>
                <w:lang w:val="en-US"/>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QEO:4</w:t>
            </w:r>
            <w:r>
              <w:rPr>
                <w:rFonts w:hint="eastAsia" w:ascii="宋体" w:hAnsi="宋体" w:eastAsia="宋体" w:cs="Times New Roman"/>
                <w:color w:val="000000" w:themeColor="text1"/>
                <w:sz w:val="21"/>
                <w:szCs w:val="21"/>
                <w:lang w:val="en-US" w:eastAsia="zh-CN"/>
                <w14:textFill>
                  <w14:solidFill>
                    <w14:schemeClr w14:val="tx1"/>
                  </w14:solidFill>
                </w14:textFill>
              </w:rPr>
              <w:t>.1</w:t>
            </w:r>
            <w:r>
              <w:rPr>
                <w:rFonts w:hint="eastAsia" w:ascii="宋体" w:hAnsi="宋体" w:cs="Times New Roman"/>
                <w:color w:val="000000" w:themeColor="text1"/>
                <w:sz w:val="21"/>
                <w:szCs w:val="21"/>
                <w:lang w:val="en-US" w:eastAsia="zh-CN"/>
                <w14:textFill>
                  <w14:solidFill>
                    <w14:schemeClr w14:val="tx1"/>
                  </w14:solidFill>
                </w14:textFill>
              </w:rPr>
              <w:t>/4.2</w:t>
            </w:r>
          </w:p>
        </w:tc>
        <w:tc>
          <w:tcPr>
            <w:tcW w:w="10376" w:type="dxa"/>
          </w:tcPr>
          <w:p>
            <w:pPr>
              <w:ind w:firstLine="420" w:firstLineChars="200"/>
              <w:jc w:val="left"/>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xml:space="preserve">公司建立了《组织环境理解和分析管理程序》（BS/CX-01-2022），确定与其宗旨相关并影响其实现管理体系预期结果的能力的外部和内部问题。从地理位置、国内国际市场、法律法规要求、技术水平、文化和价值观等方面关注环境变化，包括： </w:t>
            </w:r>
          </w:p>
          <w:p>
            <w:pPr>
              <w:ind w:firstLine="420" w:firstLineChars="200"/>
              <w:jc w:val="left"/>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BSCX-01-JL-01《组织环境外部因素分析表》</w:t>
            </w:r>
            <w:r>
              <w:rPr>
                <w:rFonts w:hint="eastAsia"/>
                <w:color w:val="000000" w:themeColor="text1"/>
                <w:lang w:val="en-US" w:eastAsia="zh-CN"/>
                <w14:textFill>
                  <w14:solidFill>
                    <w14:schemeClr w14:val="tx1"/>
                  </w14:solidFill>
                </w14:textFill>
              </w:rPr>
              <w:t>、BSCX-01-JL-02《组织环境内部因素分析表》</w:t>
            </w:r>
            <w:r>
              <w:rPr>
                <w:rFonts w:hint="default"/>
                <w:color w:val="000000" w:themeColor="text1"/>
                <w:lang w:val="en-US" w:eastAsia="zh-CN"/>
                <w14:textFill>
                  <w14:solidFill>
                    <w14:schemeClr w14:val="tx1"/>
                  </w14:solidFill>
                </w14:textFill>
              </w:rPr>
              <w:t>。</w:t>
            </w:r>
          </w:p>
          <w:p>
            <w:pPr>
              <w:ind w:firstLine="420" w:firstLineChars="20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公司的相关方：安庆石化、安徽赢创石化检修安装有限责任公司、</w:t>
            </w:r>
            <w:r>
              <w:rPr>
                <w:rFonts w:hint="default"/>
                <w:color w:val="000000" w:themeColor="text1"/>
                <w:lang w:val="en-US" w:eastAsia="zh-CN"/>
                <w14:textFill>
                  <w14:solidFill>
                    <w14:schemeClr w14:val="tx1"/>
                  </w14:solidFill>
                </w14:textFill>
              </w:rPr>
              <w:t>环保局</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公安消防大队</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安全生产监督管理局</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市场监督管理局</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经济与信息委员会</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市场监督管理局</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顾客</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最高管理者（总经理）</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员工</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邻近单位</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设备</w:t>
            </w:r>
            <w:r>
              <w:rPr>
                <w:rFonts w:hint="default" w:eastAsia="宋体"/>
                <w:color w:val="000000" w:themeColor="text1"/>
                <w:sz w:val="21"/>
                <w:szCs w:val="21"/>
                <w:lang w:val="en-US" w:eastAsia="zh-CN"/>
                <w14:textFill>
                  <w14:solidFill>
                    <w14:schemeClr w14:val="tx1"/>
                  </w14:solidFill>
                </w14:textFill>
              </w:rPr>
              <w:t>供应商</w:t>
            </w:r>
            <w:r>
              <w:rPr>
                <w:rFonts w:hint="eastAsia" w:eastAsia="宋体"/>
                <w:color w:val="000000" w:themeColor="text1"/>
                <w:sz w:val="21"/>
                <w:szCs w:val="21"/>
                <w:lang w:val="en-US" w:eastAsia="zh-CN"/>
                <w14:textFill>
                  <w14:solidFill>
                    <w14:schemeClr w14:val="tx1"/>
                  </w14:solidFill>
                </w14:textFill>
              </w:rPr>
              <w:t>、</w:t>
            </w:r>
            <w:r>
              <w:rPr>
                <w:rFonts w:hint="default" w:eastAsia="宋体"/>
                <w:color w:val="000000" w:themeColor="text1"/>
                <w:sz w:val="21"/>
                <w:szCs w:val="21"/>
                <w:lang w:val="en-US" w:eastAsia="zh-CN"/>
                <w14:textFill>
                  <w14:solidFill>
                    <w14:schemeClr w14:val="tx1"/>
                  </w14:solidFill>
                </w14:textFill>
              </w:rPr>
              <w:t>行政合作单位</w:t>
            </w:r>
            <w:r>
              <w:rPr>
                <w:rFonts w:hint="eastAsia" w:eastAsia="宋体"/>
                <w:color w:val="000000" w:themeColor="text1"/>
                <w:sz w:val="21"/>
                <w:szCs w:val="21"/>
                <w:lang w:val="en-US" w:eastAsia="zh-CN"/>
                <w14:textFill>
                  <w14:solidFill>
                    <w14:schemeClr w14:val="tx1"/>
                  </w14:solidFill>
                </w14:textFill>
              </w:rPr>
              <w:t>、</w:t>
            </w:r>
            <w:r>
              <w:rPr>
                <w:rFonts w:hint="default" w:eastAsia="宋体"/>
                <w:color w:val="000000" w:themeColor="text1"/>
                <w:sz w:val="21"/>
                <w:szCs w:val="21"/>
                <w:lang w:val="en-US" w:eastAsia="zh-CN"/>
                <w14:textFill>
                  <w14:solidFill>
                    <w14:schemeClr w14:val="tx1"/>
                  </w14:solidFill>
                </w14:textFill>
              </w:rPr>
              <w:t>物流公司</w:t>
            </w:r>
            <w:r>
              <w:rPr>
                <w:rFonts w:hint="eastAsia" w:eastAsia="宋体"/>
                <w:color w:val="000000" w:themeColor="text1"/>
                <w:sz w:val="21"/>
                <w:szCs w:val="21"/>
                <w:lang w:val="en-US" w:eastAsia="zh-CN"/>
                <w14:textFill>
                  <w14:solidFill>
                    <w14:schemeClr w14:val="tx1"/>
                  </w14:solidFill>
                </w14:textFill>
              </w:rPr>
              <w:t>、</w:t>
            </w:r>
            <w:r>
              <w:rPr>
                <w:rFonts w:hint="default" w:eastAsia="宋体"/>
                <w:color w:val="000000" w:themeColor="text1"/>
                <w:sz w:val="21"/>
                <w:szCs w:val="21"/>
                <w:lang w:val="en-US" w:eastAsia="zh-CN"/>
                <w14:textFill>
                  <w14:solidFill>
                    <w14:schemeClr w14:val="tx1"/>
                  </w14:solidFill>
                </w14:textFill>
              </w:rPr>
              <w:t>第三方认证服务机构</w:t>
            </w:r>
            <w:r>
              <w:rPr>
                <w:rFonts w:hint="eastAsia" w:eastAsia="宋体"/>
                <w:color w:val="000000" w:themeColor="text1"/>
                <w:sz w:val="21"/>
                <w:szCs w:val="21"/>
                <w:lang w:val="en-US" w:eastAsia="zh-CN"/>
                <w14:textFill>
                  <w14:solidFill>
                    <w14:schemeClr w14:val="tx1"/>
                  </w14:solidFill>
                </w14:textFill>
              </w:rPr>
              <w:t>、</w:t>
            </w:r>
            <w:r>
              <w:rPr>
                <w:rFonts w:hint="default" w:eastAsia="宋体"/>
                <w:color w:val="000000" w:themeColor="text1"/>
                <w:sz w:val="21"/>
                <w:szCs w:val="21"/>
                <w:lang w:val="en-US" w:eastAsia="zh-CN"/>
                <w14:textFill>
                  <w14:solidFill>
                    <w14:schemeClr w14:val="tx1"/>
                  </w14:solidFill>
                </w14:textFill>
              </w:rPr>
              <w:t>第三方监测机构</w:t>
            </w:r>
            <w:r>
              <w:rPr>
                <w:rFonts w:hint="eastAsia" w:eastAsia="宋体"/>
                <w:color w:val="000000" w:themeColor="text1"/>
                <w:sz w:val="21"/>
                <w:szCs w:val="21"/>
                <w:lang w:val="en-US" w:eastAsia="zh-CN"/>
                <w14:textFill>
                  <w14:solidFill>
                    <w14:schemeClr w14:val="tx1"/>
                  </w14:solidFill>
                </w14:textFill>
              </w:rPr>
              <w:t>、</w:t>
            </w:r>
            <w:r>
              <w:rPr>
                <w:rFonts w:hint="default" w:eastAsia="宋体"/>
                <w:color w:val="000000" w:themeColor="text1"/>
                <w:sz w:val="21"/>
                <w:szCs w:val="21"/>
                <w:lang w:val="en-US" w:eastAsia="zh-CN"/>
                <w14:textFill>
                  <w14:solidFill>
                    <w14:schemeClr w14:val="tx1"/>
                  </w14:solidFill>
                </w14:textFill>
              </w:rPr>
              <w:t>固体废物转移处理机构等，公司通过以下行为满足相关方需求和期望：遵守国家和地方各项法律法规，履行合规义务；持续改进管理体系过程，提升管理绩效。</w:t>
            </w:r>
          </w:p>
          <w:p>
            <w:pPr>
              <w:ind w:firstLine="420" w:firstLineChars="200"/>
              <w:rPr>
                <w:rFonts w:hint="default"/>
                <w:color w:val="000000" w:themeColor="text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公司的管理</w:t>
            </w:r>
            <w:r>
              <w:rPr>
                <w:rFonts w:hint="eastAsia"/>
                <w:color w:val="000000" w:themeColor="text1"/>
                <w:sz w:val="21"/>
                <w:szCs w:val="21"/>
                <w:lang w:val="en-US" w:eastAsia="zh-CN"/>
                <w14:textFill>
                  <w14:solidFill>
                    <w14:schemeClr w14:val="tx1"/>
                  </w14:solidFill>
                </w14:textFill>
              </w:rPr>
              <w:t>体系</w:t>
            </w:r>
            <w:r>
              <w:rPr>
                <w:rFonts w:hint="eastAsia" w:eastAsia="宋体"/>
                <w:color w:val="000000" w:themeColor="text1"/>
                <w:sz w:val="21"/>
                <w:szCs w:val="21"/>
                <w:lang w:val="en-US" w:eastAsia="zh-CN"/>
                <w14:textFill>
                  <w14:solidFill>
                    <w14:schemeClr w14:val="tx1"/>
                  </w14:solidFill>
                </w14:textFill>
              </w:rPr>
              <w:t>涉及的内外部环境因素、相关方的需求和期望等基本识别到位，并明确了监测部门。满足要求。</w:t>
            </w:r>
          </w:p>
        </w:tc>
        <w:tc>
          <w:tcPr>
            <w:tcW w:w="1213" w:type="dxa"/>
          </w:tcPr>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color w:val="000000" w:themeColor="text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确定管理体系的范围</w:t>
            </w:r>
          </w:p>
        </w:tc>
        <w:tc>
          <w:tcPr>
            <w:tcW w:w="960" w:type="dxa"/>
          </w:tcPr>
          <w:p>
            <w:pPr>
              <w:rPr>
                <w:rFonts w:hint="eastAsia" w:eastAsia="宋体"/>
                <w:color w:val="000000" w:themeColor="text1"/>
                <w:lang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QEO:4</w:t>
            </w:r>
            <w:r>
              <w:rPr>
                <w:rFonts w:hint="eastAsia" w:ascii="宋体" w:hAnsi="宋体" w:eastAsia="宋体" w:cs="Times New Roman"/>
                <w:color w:val="000000" w:themeColor="text1"/>
                <w:sz w:val="21"/>
                <w:szCs w:val="21"/>
                <w14:textFill>
                  <w14:solidFill>
                    <w14:schemeClr w14:val="tx1"/>
                  </w14:solidFill>
                </w14:textFill>
              </w:rPr>
              <w:t>.</w:t>
            </w:r>
            <w:r>
              <w:rPr>
                <w:rFonts w:hint="eastAsia" w:ascii="宋体" w:hAnsi="宋体" w:cs="Times New Roman"/>
                <w:color w:val="000000" w:themeColor="text1"/>
                <w:sz w:val="21"/>
                <w:szCs w:val="21"/>
                <w:lang w:val="en-US" w:eastAsia="zh-CN"/>
                <w14:textFill>
                  <w14:solidFill>
                    <w14:schemeClr w14:val="tx1"/>
                  </w14:solidFill>
                </w14:textFill>
              </w:rPr>
              <w:t>3</w:t>
            </w:r>
          </w:p>
        </w:tc>
        <w:tc>
          <w:tcPr>
            <w:tcW w:w="10376" w:type="dxa"/>
          </w:tcPr>
          <w:p>
            <w:pPr>
              <w:ind w:firstLine="400" w:firstLineChars="200"/>
              <w:rPr>
                <w:rFonts w:hint="default"/>
                <w:color w:val="000000" w:themeColor="text1"/>
                <w:sz w:val="20"/>
                <w:szCs w:val="22"/>
                <w:lang w:val="en-US" w:eastAsia="zh-CN"/>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公司管理体系的边界和范围：二阶段已确认下审核范围。</w:t>
            </w:r>
          </w:p>
          <w:p>
            <w:pPr>
              <w:ind w:firstLine="420" w:firstLineChars="200"/>
              <w:rPr>
                <w:rFonts w:hint="eastAsia"/>
                <w:color w:val="000000" w:themeColor="text1"/>
                <w:sz w:val="20"/>
                <w:szCs w:val="22"/>
                <w:lang w:val="en-US" w:eastAsia="zh-CN"/>
                <w14:textFill>
                  <w14:solidFill>
                    <w14:schemeClr w14:val="tx1"/>
                  </w14:solidFill>
                </w14:textFill>
              </w:rPr>
            </w:pPr>
            <w:bookmarkStart w:id="1" w:name="组织名称"/>
            <w:r>
              <w:rPr>
                <w:color w:val="000000" w:themeColor="text1"/>
                <w:sz w:val="21"/>
                <w:szCs w:val="21"/>
                <w14:textFill>
                  <w14:solidFill>
                    <w14:schemeClr w14:val="tx1"/>
                  </w14:solidFill>
                </w14:textFill>
              </w:rPr>
              <w:t>安庆博盛石化工程有限公司</w:t>
            </w:r>
            <w:bookmarkEnd w:id="1"/>
            <w:r>
              <w:rPr>
                <w:rFonts w:hint="eastAsia"/>
                <w:color w:val="000000" w:themeColor="text1"/>
                <w:sz w:val="20"/>
                <w:szCs w:val="22"/>
                <w:lang w:val="en-US" w:eastAsia="zh-CN"/>
                <w14:textFill>
                  <w14:solidFill>
                    <w14:schemeClr w14:val="tx1"/>
                  </w14:solidFill>
                </w14:textFill>
              </w:rPr>
              <w:t>的</w:t>
            </w:r>
          </w:p>
          <w:p>
            <w:pPr>
              <w:ind w:firstLine="402" w:firstLineChars="200"/>
              <w:rPr>
                <w:rFonts w:hint="eastAsia"/>
                <w:b/>
                <w:bCs/>
                <w:color w:val="000000" w:themeColor="text1"/>
                <w:sz w:val="20"/>
                <w:szCs w:val="22"/>
                <w:lang w:val="en-US" w:eastAsia="zh-CN"/>
                <w14:textFill>
                  <w14:solidFill>
                    <w14:schemeClr w14:val="tx1"/>
                  </w14:solidFill>
                </w14:textFill>
              </w:rPr>
            </w:pPr>
            <w:r>
              <w:rPr>
                <w:rFonts w:hint="eastAsia"/>
                <w:b/>
                <w:bCs/>
                <w:color w:val="000000" w:themeColor="text1"/>
                <w:sz w:val="20"/>
                <w:szCs w:val="22"/>
                <w:lang w:val="en-US" w:eastAsia="zh-CN"/>
                <w14:textFill>
                  <w14:solidFill>
                    <w14:schemeClr w14:val="tx1"/>
                  </w14:solidFill>
                </w14:textFill>
              </w:rPr>
              <w:t>Q：劳务派遣服务；</w:t>
            </w:r>
          </w:p>
          <w:p>
            <w:pPr>
              <w:ind w:firstLine="402" w:firstLineChars="200"/>
              <w:rPr>
                <w:rFonts w:hint="eastAsia"/>
                <w:b/>
                <w:bCs/>
                <w:color w:val="000000" w:themeColor="text1"/>
                <w:sz w:val="20"/>
                <w:szCs w:val="22"/>
                <w:lang w:val="en-US" w:eastAsia="zh-CN"/>
                <w14:textFill>
                  <w14:solidFill>
                    <w14:schemeClr w14:val="tx1"/>
                  </w14:solidFill>
                </w14:textFill>
              </w:rPr>
            </w:pPr>
            <w:r>
              <w:rPr>
                <w:rFonts w:hint="eastAsia"/>
                <w:b/>
                <w:bCs/>
                <w:color w:val="000000" w:themeColor="text1"/>
                <w:sz w:val="20"/>
                <w:szCs w:val="22"/>
                <w:lang w:val="en-US" w:eastAsia="zh-CN"/>
                <w14:textFill>
                  <w14:solidFill>
                    <w14:schemeClr w14:val="tx1"/>
                  </w14:solidFill>
                </w14:textFill>
              </w:rPr>
              <w:t>E：劳务派遣服务所涉及场所的相关环境管理活动；</w:t>
            </w:r>
          </w:p>
          <w:p>
            <w:pPr>
              <w:ind w:firstLine="402" w:firstLineChars="200"/>
              <w:rPr>
                <w:rFonts w:hint="eastAsia"/>
                <w:b/>
                <w:bCs/>
                <w:color w:val="000000" w:themeColor="text1"/>
                <w:sz w:val="20"/>
                <w:szCs w:val="22"/>
                <w:lang w:val="en-US" w:eastAsia="zh-CN"/>
                <w14:textFill>
                  <w14:solidFill>
                    <w14:schemeClr w14:val="tx1"/>
                  </w14:solidFill>
                </w14:textFill>
              </w:rPr>
            </w:pPr>
            <w:r>
              <w:rPr>
                <w:rFonts w:hint="eastAsia"/>
                <w:b/>
                <w:bCs/>
                <w:color w:val="000000" w:themeColor="text1"/>
                <w:sz w:val="20"/>
                <w:szCs w:val="22"/>
                <w:lang w:val="en-US" w:eastAsia="zh-CN"/>
                <w14:textFill>
                  <w14:solidFill>
                    <w14:schemeClr w14:val="tx1"/>
                  </w14:solidFill>
                </w14:textFill>
              </w:rPr>
              <w:t>O：劳务派遣服务所涉及场所的相关职业健康安全管理活动；</w:t>
            </w:r>
          </w:p>
          <w:p>
            <w:pPr>
              <w:ind w:firstLine="402" w:firstLineChars="200"/>
              <w:rPr>
                <w:rFonts w:hint="eastAsia"/>
                <w:color w:val="000000" w:themeColor="text1"/>
                <w:sz w:val="20"/>
                <w:szCs w:val="22"/>
                <w:lang w:val="en-US" w:eastAsia="zh-CN"/>
                <w14:textFill>
                  <w14:solidFill>
                    <w14:schemeClr w14:val="tx1"/>
                  </w14:solidFill>
                </w14:textFill>
              </w:rPr>
            </w:pPr>
            <w:r>
              <w:rPr>
                <w:rFonts w:hint="eastAsia"/>
                <w:b/>
                <w:bCs/>
                <w:color w:val="000000" w:themeColor="text1"/>
                <w:sz w:val="20"/>
                <w:szCs w:val="22"/>
                <w:lang w:val="en-US" w:eastAsia="zh-CN"/>
                <w14:textFill>
                  <w14:solidFill>
                    <w14:schemeClr w14:val="tx1"/>
                  </w14:solidFill>
                </w14:textFill>
              </w:rPr>
              <w:t>HSE：劳务派遣服务</w:t>
            </w:r>
            <w:r>
              <w:rPr>
                <w:rFonts w:hint="eastAsia"/>
                <w:color w:val="000000" w:themeColor="text1"/>
                <w:sz w:val="20"/>
                <w:szCs w:val="22"/>
                <w:lang w:val="en-US" w:eastAsia="zh-CN"/>
                <w14:textFill>
                  <w14:solidFill>
                    <w14:schemeClr w14:val="tx1"/>
                  </w14:solidFill>
                </w14:textFill>
              </w:rPr>
              <w:t>。</w:t>
            </w:r>
          </w:p>
          <w:p>
            <w:pPr>
              <w:ind w:firstLine="400" w:firstLineChars="200"/>
              <w:rPr>
                <w:rFonts w:hint="default"/>
                <w:color w:val="000000" w:themeColor="text1"/>
                <w:lang w:val="en-US" w:eastAsia="zh-CN"/>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公司没有多场所和临时场所。</w:t>
            </w:r>
          </w:p>
        </w:tc>
        <w:tc>
          <w:tcPr>
            <w:tcW w:w="1213" w:type="dxa"/>
          </w:tcPr>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管理体系的建立与策划</w:t>
            </w:r>
          </w:p>
        </w:tc>
        <w:tc>
          <w:tcPr>
            <w:tcW w:w="960" w:type="dxa"/>
            <w:vAlign w:val="top"/>
          </w:tcPr>
          <w:p>
            <w:pPr>
              <w:rPr>
                <w:rFonts w:hint="default"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QEO:4.4</w:t>
            </w:r>
          </w:p>
        </w:tc>
        <w:tc>
          <w:tcPr>
            <w:tcW w:w="10376" w:type="dxa"/>
          </w:tcPr>
          <w:p>
            <w:pPr>
              <w:ind w:firstLine="400" w:firstLineChars="200"/>
              <w:rPr>
                <w:rFonts w:hint="eastAsia"/>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公司总经理重视质量、环境、职业健康安全、HSE工作，为了系统高效地开展体系工作，使公司原有的体系管理更加系统化、规范化、标准化，公司根据GB/T 19001-2016；GB/T 24001-2016；GB/T 45001-2020标准和中国石化HSE管理手册及国家相关法律法规，充分结合本公司体系管理的实际情况，建立质量、环境、职业健康安全、HSE管理体系，并编写“质量、环境、职业健康安全、HSE管理手册”及相应的程序、管理文件，通过全面系统的策划、实施、检查和改进，对体系管理的全过程进行系统的科学监控。管理体系自2022年2月1日正式实施运行以来，至今已取得较好的管理体系绩效。</w:t>
            </w:r>
          </w:p>
        </w:tc>
        <w:tc>
          <w:tcPr>
            <w:tcW w:w="1213" w:type="dxa"/>
          </w:tcPr>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160" w:type="dxa"/>
          </w:tcPr>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领导作用和承诺</w:t>
            </w:r>
          </w:p>
        </w:tc>
        <w:tc>
          <w:tcPr>
            <w:tcW w:w="960" w:type="dxa"/>
          </w:tcPr>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QEO:</w:t>
            </w:r>
            <w:r>
              <w:rPr>
                <w:rFonts w:hint="eastAsia" w:ascii="宋体" w:hAnsi="宋体" w:eastAsia="宋体" w:cs="Times New Roman"/>
                <w:color w:val="000000" w:themeColor="text1"/>
                <w:sz w:val="21"/>
                <w:szCs w:val="21"/>
                <w:lang w:val="en-US" w:eastAsia="zh-CN"/>
                <w14:textFill>
                  <w14:solidFill>
                    <w14:schemeClr w14:val="tx1"/>
                  </w14:solidFill>
                </w14:textFill>
              </w:rPr>
              <w:t>5.1</w:t>
            </w:r>
          </w:p>
          <w:p>
            <w:pPr>
              <w:rPr>
                <w:rFonts w:hint="eastAsia" w:ascii="宋体" w:hAnsi="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H:1.1</w:t>
            </w:r>
            <w:r>
              <w:rPr>
                <w:rFonts w:hint="eastAsia" w:ascii="宋体" w:hAnsi="宋体" w:eastAsia="宋体" w:cs="Times New Roman"/>
                <w:color w:val="000000" w:themeColor="text1"/>
                <w:sz w:val="21"/>
                <w:szCs w:val="21"/>
                <w:lang w:val="en-US" w:eastAsia="zh-CN"/>
                <w14:textFill>
                  <w14:solidFill>
                    <w14:schemeClr w14:val="tx1"/>
                  </w14:solidFill>
                </w14:textFill>
              </w:rPr>
              <w:t xml:space="preserve"> </w:t>
            </w:r>
          </w:p>
        </w:tc>
        <w:tc>
          <w:tcPr>
            <w:tcW w:w="10376" w:type="dxa"/>
          </w:tcPr>
          <w:p>
            <w:pPr>
              <w:ind w:firstLine="420" w:firstLineChars="200"/>
              <w:rPr>
                <w:rFonts w:hint="eastAsia"/>
                <w:color w:val="000000" w:themeColor="text1"/>
                <w:sz w:val="20"/>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公司手册中明确了公司领导层的承诺和要求，包括：体系的理念融入到公司管理工作的各个环节中并得到运用，通过以下活动，对其建立、实施和改进管理体系并持续改进其有效性的承诺提供证据：在企业内部传达满足法律法规要求的重要性；制定</w:t>
            </w:r>
            <w:r>
              <w:rPr>
                <w:rFonts w:hint="eastAsia" w:asciiTheme="minorEastAsia" w:hAnsiTheme="minorEastAsia" w:eastAsiaTheme="minorEastAsia"/>
                <w:color w:val="000000" w:themeColor="text1"/>
                <w:szCs w:val="21"/>
                <w:lang w:val="en-US" w:eastAsia="zh-CN"/>
                <w14:textFill>
                  <w14:solidFill>
                    <w14:schemeClr w14:val="tx1"/>
                  </w14:solidFill>
                </w14:textFill>
              </w:rPr>
              <w:t>管理</w:t>
            </w:r>
            <w:r>
              <w:rPr>
                <w:rFonts w:hint="eastAsia" w:asciiTheme="minorEastAsia" w:hAnsiTheme="minorEastAsia" w:eastAsiaTheme="minorEastAsia"/>
                <w:color w:val="000000" w:themeColor="text1"/>
                <w:szCs w:val="21"/>
                <w14:textFill>
                  <w14:solidFill>
                    <w14:schemeClr w14:val="tx1"/>
                  </w14:solidFill>
                </w14:textFill>
              </w:rPr>
              <w:t>方针；确保</w:t>
            </w:r>
            <w:r>
              <w:rPr>
                <w:rFonts w:hint="eastAsia" w:asciiTheme="minorEastAsia" w:hAnsiTheme="minorEastAsia" w:eastAsiaTheme="minorEastAsia"/>
                <w:color w:val="000000" w:themeColor="text1"/>
                <w:szCs w:val="21"/>
                <w:lang w:val="en-US" w:eastAsia="zh-CN"/>
                <w14:textFill>
                  <w14:solidFill>
                    <w14:schemeClr w14:val="tx1"/>
                  </w14:solidFill>
                </w14:textFill>
              </w:rPr>
              <w:t>管理</w:t>
            </w:r>
            <w:r>
              <w:rPr>
                <w:rFonts w:hint="eastAsia" w:asciiTheme="minorEastAsia" w:hAnsiTheme="minorEastAsia" w:eastAsiaTheme="minorEastAsia"/>
                <w:color w:val="000000" w:themeColor="text1"/>
                <w:szCs w:val="21"/>
                <w14:textFill>
                  <w14:solidFill>
                    <w14:schemeClr w14:val="tx1"/>
                  </w14:solidFill>
                </w14:textFill>
              </w:rPr>
              <w:t>目标的制定；确保</w:t>
            </w:r>
            <w:r>
              <w:rPr>
                <w:rFonts w:hint="eastAsia" w:asciiTheme="minorEastAsia" w:hAnsiTheme="minorEastAsia" w:eastAsiaTheme="minorEastAsia"/>
                <w:color w:val="000000" w:themeColor="text1"/>
                <w:szCs w:val="21"/>
                <w:lang w:val="en-US" w:eastAsia="zh-CN"/>
                <w14:textFill>
                  <w14:solidFill>
                    <w14:schemeClr w14:val="tx1"/>
                  </w14:solidFill>
                </w14:textFill>
              </w:rPr>
              <w:t>管理</w:t>
            </w:r>
            <w:r>
              <w:rPr>
                <w:rFonts w:hint="eastAsia" w:asciiTheme="minorEastAsia" w:hAnsiTheme="minorEastAsia" w:eastAsiaTheme="minorEastAsia"/>
                <w:color w:val="000000" w:themeColor="text1"/>
                <w:szCs w:val="21"/>
                <w14:textFill>
                  <w14:solidFill>
                    <w14:schemeClr w14:val="tx1"/>
                  </w14:solidFill>
                </w14:textFill>
              </w:rPr>
              <w:t>绩效；进行管理评审；确保管理体系所需资源的配置和获得等</w:t>
            </w:r>
            <w:r>
              <w:rPr>
                <w:rFonts w:asciiTheme="minorEastAsia" w:hAnsiTheme="minorEastAsia" w:eastAsiaTheme="minorEastAsia"/>
                <w:color w:val="000000" w:themeColor="text1"/>
                <w:szCs w:val="21"/>
                <w14:textFill>
                  <w14:solidFill>
                    <w14:schemeClr w14:val="tx1"/>
                  </w14:solidFill>
                </w14:textFill>
              </w:rPr>
              <w:t>。</w:t>
            </w:r>
          </w:p>
        </w:tc>
        <w:tc>
          <w:tcPr>
            <w:tcW w:w="1213" w:type="dxa"/>
          </w:tcPr>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tcPr>
          <w:p>
            <w:pP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管理</w:t>
            </w:r>
            <w:r>
              <w:rPr>
                <w:rFonts w:hint="eastAsia" w:ascii="宋体" w:hAnsi="宋体" w:eastAsia="宋体" w:cs="Times New Roman"/>
                <w:color w:val="000000" w:themeColor="text1"/>
                <w:sz w:val="21"/>
                <w:szCs w:val="21"/>
                <w:lang w:val="en-US" w:eastAsia="zh-CN"/>
                <w14:textFill>
                  <w14:solidFill>
                    <w14:schemeClr w14:val="tx1"/>
                  </w14:solidFill>
                </w14:textFill>
              </w:rPr>
              <w:t>方针</w:t>
            </w:r>
            <w:r>
              <w:rPr>
                <w:rFonts w:hint="eastAsia" w:ascii="宋体" w:hAnsi="宋体" w:cs="Times New Roman"/>
                <w:color w:val="000000" w:themeColor="text1"/>
                <w:sz w:val="21"/>
                <w:szCs w:val="21"/>
                <w:lang w:val="en-US" w:eastAsia="zh-CN"/>
                <w14:textFill>
                  <w14:solidFill>
                    <w14:schemeClr w14:val="tx1"/>
                  </w14:solidFill>
                </w14:textFill>
              </w:rPr>
              <w:t>、目标指标</w:t>
            </w:r>
          </w:p>
        </w:tc>
        <w:tc>
          <w:tcPr>
            <w:tcW w:w="960" w:type="dxa"/>
          </w:tcPr>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QEO:5.2/6.2</w:t>
            </w:r>
          </w:p>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H:1.3;</w:t>
            </w:r>
          </w:p>
          <w:p>
            <w:pPr>
              <w:rPr>
                <w:rFonts w:hint="default"/>
                <w:color w:val="000000" w:themeColor="text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2.4</w:t>
            </w:r>
          </w:p>
          <w:p>
            <w:pPr>
              <w:pStyle w:val="2"/>
              <w:rPr>
                <w:rFonts w:hint="eastAsia"/>
                <w:color w:val="000000" w:themeColor="text1"/>
                <w:lang w:val="en-US" w:eastAsia="zh-CN"/>
                <w14:textFill>
                  <w14:solidFill>
                    <w14:schemeClr w14:val="tx1"/>
                  </w14:solidFill>
                </w14:textFill>
              </w:rPr>
            </w:pPr>
          </w:p>
        </w:tc>
        <w:tc>
          <w:tcPr>
            <w:tcW w:w="10376" w:type="dxa"/>
          </w:tcPr>
          <w:p>
            <w:pPr>
              <w:ind w:firstLine="4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提供《管理目标管理程序BA/CX-03-2022》，有编审批，符合标准要求。</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管理方针：</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以人为本  守法经营  和谐发展  科学管理  求实创新  创建一流。</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方针内含：</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1．自觉遵守各项法律法规、行业标准和其他要求，承诺公司的一切施工劳务，模板脚手架专业承包，劳务派遣活动合法。</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2．以精益求精，诚实守信、勇于创新的工作精神，规范公司基础管理，满足各相关方要求，打造一流的经营业绩，一流的服务水平。</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在施工劳务，模板脚手架专业承包，劳务派遣服务过程中运用先进的、科学技术手段，帮助客户解决设备、设施检修、维修中的难题，改善安全生产环境，综合治理，持续改进，预防为主，最大限度的防止事件、伤害和职业病的发生。</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4．坚持持续改进，增强员工的社会责任感，治理源头，降低污染，节约资源，最大限度地保护环境，使公司在获得卓越经济效益的同时，与社会的发展需求得到和谐统一。</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5．实现管理的规范化、精细化，全体员工都要为“创建公司品牌”做出贡献。。</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管理方针内容基本符合标准要求和企业实际。管理方针由总经理批准发布，以书面、电子媒介、宣传栏等方式，便于员工、顾客及其他相关方所获取，并且予以评审。</w:t>
            </w:r>
          </w:p>
          <w:p>
            <w:pPr>
              <w:pStyle w:val="2"/>
              <w:keepNext w:val="0"/>
              <w:keepLines w:val="0"/>
              <w:pageBreakBefore w:val="0"/>
              <w:widowControl w:val="0"/>
              <w:kinsoku/>
              <w:wordWrap/>
              <w:overflowPunct/>
              <w:topLinePunct w:val="0"/>
              <w:autoSpaceDE/>
              <w:autoSpaceDN/>
              <w:bidi w:val="0"/>
              <w:adjustRightInd/>
              <w:snapToGrid/>
              <w:spacing w:before="0" w:after="0"/>
              <w:ind w:firstLine="460" w:firstLineChars="20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公司质量、环境、职业健康安全、HSE管理目标：</w:t>
            </w:r>
          </w:p>
          <w:p>
            <w:pPr>
              <w:pStyle w:val="2"/>
              <w:keepNext w:val="0"/>
              <w:keepLines w:val="0"/>
              <w:pageBreakBefore w:val="0"/>
              <w:widowControl w:val="0"/>
              <w:kinsoku/>
              <w:wordWrap/>
              <w:overflowPunct/>
              <w:topLinePunct w:val="0"/>
              <w:autoSpaceDE/>
              <w:autoSpaceDN/>
              <w:bidi w:val="0"/>
              <w:adjustRightInd/>
              <w:snapToGrid/>
              <w:spacing w:before="0" w:after="0"/>
              <w:ind w:firstLine="460" w:firstLineChars="20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 顾客满意度95%以上；</w:t>
            </w:r>
          </w:p>
          <w:p>
            <w:pPr>
              <w:pStyle w:val="2"/>
              <w:keepNext w:val="0"/>
              <w:keepLines w:val="0"/>
              <w:pageBreakBefore w:val="0"/>
              <w:widowControl w:val="0"/>
              <w:kinsoku/>
              <w:wordWrap/>
              <w:overflowPunct/>
              <w:topLinePunct w:val="0"/>
              <w:autoSpaceDE/>
              <w:autoSpaceDN/>
              <w:bidi w:val="0"/>
              <w:adjustRightInd/>
              <w:snapToGrid/>
              <w:spacing w:before="0" w:after="0"/>
              <w:ind w:firstLine="460" w:firstLineChars="20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2．合同履约率100%；</w:t>
            </w:r>
          </w:p>
          <w:p>
            <w:pPr>
              <w:pStyle w:val="2"/>
              <w:keepNext w:val="0"/>
              <w:keepLines w:val="0"/>
              <w:pageBreakBefore w:val="0"/>
              <w:widowControl w:val="0"/>
              <w:kinsoku/>
              <w:wordWrap/>
              <w:overflowPunct/>
              <w:topLinePunct w:val="0"/>
              <w:autoSpaceDE/>
              <w:autoSpaceDN/>
              <w:bidi w:val="0"/>
              <w:adjustRightInd/>
              <w:snapToGrid/>
              <w:spacing w:before="0" w:after="0"/>
              <w:ind w:firstLine="460" w:firstLineChars="20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3.杜绝人身伤害和健康损害事件发生；</w:t>
            </w:r>
          </w:p>
          <w:p>
            <w:pPr>
              <w:pStyle w:val="2"/>
              <w:keepNext w:val="0"/>
              <w:keepLines w:val="0"/>
              <w:pageBreakBefore w:val="0"/>
              <w:widowControl w:val="0"/>
              <w:kinsoku/>
              <w:wordWrap/>
              <w:overflowPunct/>
              <w:topLinePunct w:val="0"/>
              <w:autoSpaceDE/>
              <w:autoSpaceDN/>
              <w:bidi w:val="0"/>
              <w:adjustRightInd/>
              <w:snapToGrid/>
              <w:spacing w:before="0" w:after="0"/>
              <w:ind w:firstLine="460" w:firstLineChars="20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4.杜绝环境污染事故发生；</w:t>
            </w:r>
          </w:p>
          <w:p>
            <w:pPr>
              <w:pStyle w:val="2"/>
              <w:keepNext w:val="0"/>
              <w:keepLines w:val="0"/>
              <w:pageBreakBefore w:val="0"/>
              <w:widowControl w:val="0"/>
              <w:kinsoku/>
              <w:wordWrap/>
              <w:overflowPunct/>
              <w:topLinePunct w:val="0"/>
              <w:autoSpaceDE/>
              <w:autoSpaceDN/>
              <w:bidi w:val="0"/>
              <w:adjustRightInd/>
              <w:snapToGrid/>
              <w:spacing w:before="0" w:after="0"/>
              <w:ind w:firstLine="460" w:firstLineChars="20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5.重视卫生防疫，关心员工健康，职业病发生率为0；</w:t>
            </w:r>
          </w:p>
          <w:p>
            <w:pPr>
              <w:pStyle w:val="2"/>
              <w:keepNext w:val="0"/>
              <w:keepLines w:val="0"/>
              <w:pageBreakBefore w:val="0"/>
              <w:widowControl w:val="0"/>
              <w:kinsoku/>
              <w:wordWrap/>
              <w:overflowPunct/>
              <w:topLinePunct w:val="0"/>
              <w:autoSpaceDE/>
              <w:autoSpaceDN/>
              <w:bidi w:val="0"/>
              <w:adjustRightInd/>
              <w:snapToGrid/>
              <w:spacing w:before="0" w:after="0"/>
              <w:ind w:firstLine="460" w:firstLineChars="200"/>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6.员工HSE教育面100%。</w:t>
            </w:r>
          </w:p>
          <w:p>
            <w:pPr>
              <w:pStyle w:val="2"/>
              <w:keepNext w:val="0"/>
              <w:keepLines w:val="0"/>
              <w:pageBreakBefore w:val="0"/>
              <w:widowControl w:val="0"/>
              <w:kinsoku/>
              <w:wordWrap/>
              <w:overflowPunct/>
              <w:topLinePunct w:val="0"/>
              <w:autoSpaceDE/>
              <w:autoSpaceDN/>
              <w:bidi w:val="0"/>
              <w:adjustRightInd/>
              <w:snapToGrid/>
              <w:spacing w:before="0" w:after="0"/>
              <w:ind w:firstLine="460" w:firstLineChars="200"/>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公司的目标指标已经分解到各部门。</w:t>
            </w:r>
          </w:p>
        </w:tc>
        <w:tc>
          <w:tcPr>
            <w:tcW w:w="1213" w:type="dxa"/>
          </w:tcPr>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60" w:type="dxa"/>
          </w:tcPr>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组织的岗位、职责和权限</w:t>
            </w:r>
          </w:p>
        </w:tc>
        <w:tc>
          <w:tcPr>
            <w:tcW w:w="960" w:type="dxa"/>
          </w:tcPr>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QEO:</w:t>
            </w:r>
            <w:r>
              <w:rPr>
                <w:rFonts w:hint="eastAsia" w:ascii="宋体" w:hAnsi="宋体" w:eastAsia="宋体" w:cs="Times New Roman"/>
                <w:color w:val="000000" w:themeColor="text1"/>
                <w:sz w:val="21"/>
                <w:szCs w:val="21"/>
                <w:lang w:val="en-US" w:eastAsia="zh-CN"/>
                <w14:textFill>
                  <w14:solidFill>
                    <w14:schemeClr w14:val="tx1"/>
                  </w14:solidFill>
                </w14:textFill>
              </w:rPr>
              <w:t>5.3</w:t>
            </w:r>
          </w:p>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H:1.4</w:t>
            </w:r>
            <w:r>
              <w:rPr>
                <w:rFonts w:hint="eastAsia" w:ascii="宋体" w:hAnsi="宋体" w:eastAsia="宋体" w:cs="Times New Roman"/>
                <w:color w:val="000000" w:themeColor="text1"/>
                <w:sz w:val="21"/>
                <w:szCs w:val="21"/>
                <w:lang w:val="en-US" w:eastAsia="zh-CN"/>
                <w14:textFill>
                  <w14:solidFill>
                    <w14:schemeClr w14:val="tx1"/>
                  </w14:solidFill>
                </w14:textFill>
              </w:rPr>
              <w:t xml:space="preserve"> </w:t>
            </w:r>
          </w:p>
        </w:tc>
        <w:tc>
          <w:tcPr>
            <w:tcW w:w="10376" w:type="dxa"/>
          </w:tcPr>
          <w:p>
            <w:pPr>
              <w:ind w:firstLine="400" w:firstLineChars="200"/>
              <w:rPr>
                <w:rFonts w:hint="eastAsia" w:eastAsia="宋体"/>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总经理：江寿根；管理者代表：梁挺；职业健康安全、HSE事务代表：陈娟。</w:t>
            </w:r>
          </w:p>
          <w:p>
            <w:pPr>
              <w:ind w:firstLine="400" w:firstLineChars="200"/>
              <w:rPr>
                <w:rFonts w:hint="eastAsia"/>
                <w:color w:val="000000" w:themeColor="text1"/>
                <w:sz w:val="20"/>
                <w:szCs w:val="22"/>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公司设有</w:t>
            </w:r>
            <w:r>
              <w:rPr>
                <w:rFonts w:hint="eastAsia"/>
                <w:color w:val="000000" w:themeColor="text1"/>
                <w:szCs w:val="21"/>
                <w14:textFill>
                  <w14:solidFill>
                    <w14:schemeClr w14:val="tx1"/>
                  </w14:solidFill>
                </w14:textFill>
              </w:rPr>
              <w:t>管理层、</w:t>
            </w:r>
            <w:r>
              <w:rPr>
                <w:rFonts w:hint="eastAsia"/>
                <w:color w:val="000000" w:themeColor="text1"/>
                <w:szCs w:val="21"/>
                <w:lang w:val="en-US" w:eastAsia="zh-CN"/>
                <w14:textFill>
                  <w14:solidFill>
                    <w14:schemeClr w14:val="tx1"/>
                  </w14:solidFill>
                </w14:textFill>
              </w:rPr>
              <w:t>综合管理部</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经营部</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安全环保部、财务部</w:t>
            </w:r>
            <w:r>
              <w:rPr>
                <w:rFonts w:hint="eastAsia"/>
                <w:color w:val="000000" w:themeColor="text1"/>
                <w:sz w:val="20"/>
                <w:szCs w:val="22"/>
                <w:lang w:val="en-US" w:eastAsia="zh-CN"/>
                <w14:textFill>
                  <w14:solidFill>
                    <w14:schemeClr w14:val="tx1"/>
                  </w14:solidFill>
                </w14:textFill>
              </w:rPr>
              <w:t>等。</w:t>
            </w:r>
          </w:p>
          <w:p>
            <w:pPr>
              <w:ind w:firstLine="400" w:firstLineChars="200"/>
              <w:rPr>
                <w:rFonts w:hint="eastAsia"/>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从管理层到各部门、各岗位职责权限均以文件化予以规定（在《管理手册》“3.2 职责和权限”条款中予以规定），编审批齐全。</w:t>
            </w:r>
          </w:p>
        </w:tc>
        <w:tc>
          <w:tcPr>
            <w:tcW w:w="1213" w:type="dxa"/>
          </w:tcPr>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资源</w:t>
            </w:r>
          </w:p>
        </w:tc>
        <w:tc>
          <w:tcPr>
            <w:tcW w:w="960" w:type="dxa"/>
          </w:tcPr>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QEO:</w:t>
            </w:r>
            <w:r>
              <w:rPr>
                <w:rFonts w:hint="eastAsia" w:ascii="宋体" w:hAnsi="宋体" w:eastAsia="宋体" w:cs="Times New Roman"/>
                <w:color w:val="000000" w:themeColor="text1"/>
                <w:sz w:val="21"/>
                <w:szCs w:val="21"/>
                <w:lang w:val="en-US" w:eastAsia="zh-CN"/>
                <w14:textFill>
                  <w14:solidFill>
                    <w14:schemeClr w14:val="tx1"/>
                  </w14:solidFill>
                </w14:textFill>
              </w:rPr>
              <w:t>7.1</w:t>
            </w:r>
          </w:p>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H:3.1</w:t>
            </w:r>
            <w:r>
              <w:rPr>
                <w:rFonts w:hint="eastAsia" w:ascii="宋体" w:hAnsi="宋体" w:eastAsia="宋体" w:cs="Times New Roman"/>
                <w:color w:val="000000" w:themeColor="text1"/>
                <w:sz w:val="21"/>
                <w:szCs w:val="21"/>
                <w:lang w:val="en-US" w:eastAsia="zh-CN"/>
                <w14:textFill>
                  <w14:solidFill>
                    <w14:schemeClr w14:val="tx1"/>
                  </w14:solidFill>
                </w14:textFill>
              </w:rPr>
              <w:t xml:space="preserve"> </w:t>
            </w:r>
          </w:p>
        </w:tc>
        <w:tc>
          <w:tcPr>
            <w:tcW w:w="10376" w:type="dxa"/>
          </w:tcPr>
          <w:p>
            <w:pPr>
              <w:widowControl/>
              <w:spacing w:after="0"/>
              <w:ind w:firstLine="400" w:firstLineChars="200"/>
              <w:jc w:val="left"/>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公司总人数300人（经过现场变更），其中体系覆盖人数25人，大专以上人数24人。管理人员6，作业人员19，从事相同/重复工作人数0人；劳务派遣人员19 人；临时工0 人；其中承包商员工数0人；季节工 0 人。注册资金：1000万，固定资产4.6万，办公占地面积：1100m2。</w:t>
            </w:r>
          </w:p>
          <w:p>
            <w:pPr>
              <w:widowControl/>
              <w:spacing w:after="0"/>
              <w:ind w:firstLine="400" w:firstLineChars="200"/>
              <w:jc w:val="left"/>
              <w:rPr>
                <w:rFonts w:hint="eastAsia"/>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主要基础设施设备为办公楼、办公设备、硫化氢报警仪。</w:t>
            </w:r>
          </w:p>
          <w:p>
            <w:pPr>
              <w:widowControl/>
              <w:spacing w:after="0"/>
              <w:ind w:firstLine="400" w:firstLineChars="200"/>
              <w:jc w:val="left"/>
              <w:rPr>
                <w:color w:val="000000" w:themeColor="text1"/>
                <w:sz w:val="20"/>
                <w:szCs w:val="22"/>
                <w14:textFill>
                  <w14:solidFill>
                    <w14:schemeClr w14:val="tx1"/>
                  </w14:solidFill>
                </w14:textFill>
              </w:rPr>
            </w:pPr>
            <w:r>
              <w:rPr>
                <w:rFonts w:hint="eastAsia"/>
                <w:color w:val="000000" w:themeColor="text1"/>
                <w:sz w:val="20"/>
                <w14:textFill>
                  <w14:solidFill>
                    <w14:schemeClr w14:val="tx1"/>
                  </w14:solidFill>
                </w14:textFill>
              </w:rPr>
              <w:t>公司的组织机构：管理层、综合管理部、安全环保部、经营部、财务部。</w:t>
            </w:r>
            <w:r>
              <w:rPr>
                <w:rFonts w:hint="eastAsia"/>
                <w:color w:val="000000" w:themeColor="text1"/>
                <w:sz w:val="20"/>
                <w:szCs w:val="22"/>
                <w14:textFill>
                  <w14:solidFill>
                    <w14:schemeClr w14:val="tx1"/>
                  </w14:solidFill>
                </w14:textFill>
              </w:rPr>
              <w:t>。</w:t>
            </w:r>
          </w:p>
          <w:p>
            <w:pPr>
              <w:ind w:firstLine="400" w:firstLineChars="200"/>
              <w:rPr>
                <w:rFonts w:hint="eastAsia"/>
                <w:color w:val="000000" w:themeColor="text1"/>
                <w:sz w:val="20"/>
                <w:lang w:val="en-US" w:eastAsia="zh-CN"/>
                <w14:textFill>
                  <w14:solidFill>
                    <w14:schemeClr w14:val="tx1"/>
                  </w14:solidFill>
                </w14:textFill>
              </w:rPr>
            </w:pPr>
            <w:r>
              <w:rPr>
                <w:rFonts w:hint="eastAsia" w:eastAsia="宋体"/>
                <w:color w:val="000000" w:themeColor="text1"/>
                <w:sz w:val="20"/>
                <w:szCs w:val="22"/>
                <w:lang w:val="en-US" w:eastAsia="zh-CN"/>
                <w14:textFill>
                  <w14:solidFill>
                    <w14:schemeClr w14:val="tx1"/>
                  </w14:solidFill>
                </w14:textFill>
              </w:rPr>
              <w:t>资源配置能够满足建立、实施、保持和持续改进</w:t>
            </w:r>
            <w:r>
              <w:rPr>
                <w:rFonts w:hint="eastAsia"/>
                <w:color w:val="000000" w:themeColor="text1"/>
                <w:sz w:val="20"/>
                <w:szCs w:val="22"/>
                <w:lang w:val="en-US" w:eastAsia="zh-CN"/>
                <w14:textFill>
                  <w14:solidFill>
                    <w14:schemeClr w14:val="tx1"/>
                  </w14:solidFill>
                </w14:textFill>
              </w:rPr>
              <w:t>管理</w:t>
            </w:r>
            <w:r>
              <w:rPr>
                <w:rFonts w:hint="eastAsia" w:eastAsia="宋体"/>
                <w:color w:val="000000" w:themeColor="text1"/>
                <w:sz w:val="20"/>
                <w:szCs w:val="22"/>
                <w:lang w:val="en-US" w:eastAsia="zh-CN"/>
                <w14:textFill>
                  <w14:solidFill>
                    <w14:schemeClr w14:val="tx1"/>
                  </w14:solidFill>
                </w14:textFill>
              </w:rPr>
              <w:t>绩效和管理体系的有效运行。</w:t>
            </w:r>
          </w:p>
        </w:tc>
        <w:tc>
          <w:tcPr>
            <w:tcW w:w="1213" w:type="dxa"/>
          </w:tcPr>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60" w:type="dxa"/>
          </w:tcPr>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管理评审</w:t>
            </w:r>
          </w:p>
        </w:tc>
        <w:tc>
          <w:tcPr>
            <w:tcW w:w="960" w:type="dxa"/>
          </w:tcPr>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QEO:</w:t>
            </w:r>
            <w:r>
              <w:rPr>
                <w:rFonts w:hint="eastAsia" w:ascii="宋体" w:hAnsi="宋体" w:eastAsia="宋体" w:cs="Times New Roman"/>
                <w:color w:val="000000" w:themeColor="text1"/>
                <w:sz w:val="21"/>
                <w:szCs w:val="21"/>
                <w:lang w:val="en-US" w:eastAsia="zh-CN"/>
                <w14:textFill>
                  <w14:solidFill>
                    <w14:schemeClr w14:val="tx1"/>
                  </w14:solidFill>
                </w14:textFill>
              </w:rPr>
              <w:t>9.3</w:t>
            </w:r>
          </w:p>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H:5.4</w:t>
            </w:r>
            <w:r>
              <w:rPr>
                <w:rFonts w:hint="eastAsia" w:ascii="宋体" w:hAnsi="宋体" w:eastAsia="宋体" w:cs="Times New Roman"/>
                <w:color w:val="000000" w:themeColor="text1"/>
                <w:sz w:val="21"/>
                <w:szCs w:val="21"/>
                <w:lang w:val="en-US" w:eastAsia="zh-CN"/>
                <w14:textFill>
                  <w14:solidFill>
                    <w14:schemeClr w14:val="tx1"/>
                  </w14:solidFill>
                </w14:textFill>
              </w:rPr>
              <w:t xml:space="preserve"> </w:t>
            </w:r>
          </w:p>
        </w:tc>
        <w:tc>
          <w:tcPr>
            <w:tcW w:w="10376" w:type="dxa"/>
          </w:tcPr>
          <w:p>
            <w:pPr>
              <w:ind w:firstLine="420" w:firstLineChars="20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提供程序文件《管理评审控制程序BS/CX-12-2022》，有编审批，符合标准要求。</w:t>
            </w:r>
          </w:p>
          <w:p>
            <w:pPr>
              <w:ind w:firstLine="420" w:firstLineChars="200"/>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1、公司自质量、环境、职业健康安全、HSE管理体系运行以来组织了一次管理评审，日期： 2022年5月9日。</w:t>
            </w:r>
          </w:p>
          <w:p>
            <w:pPr>
              <w:ind w:firstLine="420" w:firstLineChars="200"/>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采用会议形式，总经理：江寿根主持会议。</w:t>
            </w:r>
            <w:r>
              <w:rPr>
                <w:rFonts w:hint="eastAsia"/>
                <w:color w:val="000000" w:themeColor="text1"/>
                <w:szCs w:val="21"/>
                <w14:textFill>
                  <w14:solidFill>
                    <w14:schemeClr w14:val="tx1"/>
                  </w14:solidFill>
                </w14:textFill>
              </w:rPr>
              <w:t>管理层、综合管理部、经营部、安全环保部、财务部</w:t>
            </w:r>
            <w:r>
              <w:rPr>
                <w:rFonts w:hint="eastAsia"/>
                <w:color w:val="000000" w:themeColor="text1"/>
                <w:szCs w:val="21"/>
                <w:lang w:val="en-US" w:eastAsia="zh-CN"/>
                <w14:textFill>
                  <w14:solidFill>
                    <w14:schemeClr w14:val="tx1"/>
                  </w14:solidFill>
                </w14:textFill>
              </w:rPr>
              <w:t>负责人均参加</w:t>
            </w:r>
            <w:r>
              <w:rPr>
                <w:rFonts w:hint="eastAsia"/>
                <w:color w:val="000000" w:themeColor="text1"/>
                <w:sz w:val="21"/>
                <w:szCs w:val="21"/>
                <w:lang w:val="en-US" w:eastAsia="zh-CN"/>
                <w14:textFill>
                  <w14:solidFill>
                    <w14:schemeClr w14:val="tx1"/>
                  </w14:solidFill>
                </w14:textFill>
              </w:rPr>
              <w:t>。</w:t>
            </w:r>
          </w:p>
          <w:p>
            <w:pPr>
              <w:ind w:firstLine="420" w:firstLineChars="20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2、提供：管理评审档案，含  1.管理评审计划，2.管理评审报告，3.签到表、各部门管理评审输入资料，编审批齐全。</w:t>
            </w:r>
          </w:p>
          <w:p>
            <w:pPr>
              <w:ind w:firstLine="420" w:firstLineChars="200"/>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出示“管理评审会议签到表”总经理、中层以上负责人参加并签到；</w:t>
            </w:r>
          </w:p>
          <w:p>
            <w:pPr>
              <w:pStyle w:val="2"/>
              <w:jc w:val="center"/>
              <w:rPr>
                <w:rFonts w:hint="eastAsia"/>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2762250" cy="2510790"/>
                  <wp:effectExtent l="0" t="0" r="3810" b="38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2762250" cy="2510790"/>
                          </a:xfrm>
                          <a:prstGeom prst="rect">
                            <a:avLst/>
                          </a:prstGeom>
                          <a:noFill/>
                          <a:ln>
                            <a:noFill/>
                          </a:ln>
                        </pic:spPr>
                      </pic:pic>
                    </a:graphicData>
                  </a:graphic>
                </wp:inline>
              </w:drawing>
            </w:r>
          </w:p>
          <w:p>
            <w:pPr>
              <w:pStyle w:val="2"/>
              <w:rPr>
                <w:rFonts w:hint="eastAsia"/>
                <w:color w:val="000000" w:themeColor="text1"/>
                <w:sz w:val="21"/>
                <w:szCs w:val="21"/>
                <w:lang w:val="en-US" w:eastAsia="zh-CN"/>
                <w14:textFill>
                  <w14:solidFill>
                    <w14:schemeClr w14:val="tx1"/>
                  </w14:solidFill>
                </w14:textFill>
              </w:rPr>
            </w:pPr>
          </w:p>
          <w:p>
            <w:pPr>
              <w:ind w:firstLine="400" w:firstLineChars="200"/>
              <w:rPr>
                <w:rFonts w:hint="eastAsia"/>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出示“管理评审会议记录”，查评审输入内容包括：</w:t>
            </w:r>
          </w:p>
          <w:p>
            <w:pPr>
              <w:ind w:firstLine="400" w:firstLineChars="200"/>
              <w:rPr>
                <w:rFonts w:hint="eastAsia"/>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3、评审目的：对本公司的质量、环境、职业健康安全、HSE管理体系进行评审，以确保管理体系的适宜性、充分性和有效性。</w:t>
            </w:r>
          </w:p>
          <w:p>
            <w:pPr>
              <w:ind w:firstLine="400" w:firstLineChars="200"/>
              <w:rPr>
                <w:rFonts w:hint="eastAsia"/>
                <w:color w:val="000000" w:themeColor="text1"/>
                <w:sz w:val="20"/>
                <w:szCs w:val="22"/>
                <w:lang w:val="en-US" w:eastAsia="zh-CN"/>
                <w14:textFill>
                  <w14:solidFill>
                    <w14:schemeClr w14:val="tx1"/>
                  </w14:solidFill>
                </w14:textFill>
              </w:rPr>
            </w:pPr>
            <w:r>
              <w:rPr>
                <w:rFonts w:hint="eastAsia"/>
                <w:color w:val="000000" w:themeColor="text1"/>
                <w:sz w:val="20"/>
                <w:szCs w:val="22"/>
                <w:lang w:val="en-US" w:eastAsia="zh-CN"/>
                <w14:textFill>
                  <w14:solidFill>
                    <w14:schemeClr w14:val="tx1"/>
                  </w14:solidFill>
                </w14:textFill>
              </w:rPr>
              <w:t>评审组织：主持：总经理，出席：管理者代表、各部门负责人。</w:t>
            </w:r>
          </w:p>
          <w:p>
            <w:pPr>
              <w:ind w:firstLine="400" w:firstLineChars="200"/>
              <w:rPr>
                <w:rFonts w:hint="eastAsia"/>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评审内容：1.本公司质量、环境、职业健康安全、HSE管理体系实施、运行以来的运行情况；2.2022年4月19日至20日内审的结果；3.环境因素和危险源的识别、评价和控制情况；5.对公司管理体系所需的资源；6.采取的预防和纠正措施或所要求的跟踪措施；7.管理方针和目标指标的适宜性、有效性、充分性；8. 领导承诺的实现程度及其它改进的建议；9.针对事故、重复事故和其他单位事故的分析，来改进公司管理体系；10.关键过程或装置的风险控制情况；11.法律法规遵守情况;12.安全专项资金投入计划和使用11.应急预案的有效性等。</w:t>
            </w:r>
          </w:p>
          <w:p>
            <w:pPr>
              <w:pStyle w:val="2"/>
              <w:rPr>
                <w:rFonts w:hint="default" w:ascii="Times New Roman" w:hAnsi="Times New Roman" w:eastAsia="宋体" w:cs="Times New Roman"/>
                <w:bCs w:val="0"/>
                <w:color w:val="000000" w:themeColor="text1"/>
                <w:spacing w:val="0"/>
                <w:kern w:val="2"/>
                <w:sz w:val="20"/>
                <w:szCs w:val="22"/>
                <w:lang w:val="en-US" w:eastAsia="zh-CN" w:bidi="ar-SA"/>
                <w14:textFill>
                  <w14:solidFill>
                    <w14:schemeClr w14:val="tx1"/>
                  </w14:solidFill>
                </w14:textFill>
              </w:rPr>
            </w:pPr>
            <w:r>
              <w:rPr>
                <w:rFonts w:hint="eastAsia"/>
                <w:color w:val="000000" w:themeColor="text1"/>
                <w:sz w:val="20"/>
                <w:lang w:val="en-US" w:eastAsia="zh-CN"/>
                <w14:textFill>
                  <w14:solidFill>
                    <w14:schemeClr w14:val="tx1"/>
                  </w14:solidFill>
                </w14:textFill>
              </w:rPr>
              <w:t xml:space="preserve">   </w:t>
            </w:r>
            <w:r>
              <w:rPr>
                <w:rFonts w:hint="eastAsia" w:ascii="Times New Roman" w:hAnsi="Times New Roman" w:eastAsia="宋体" w:cs="Times New Roman"/>
                <w:bCs w:val="0"/>
                <w:color w:val="000000" w:themeColor="text1"/>
                <w:spacing w:val="0"/>
                <w:kern w:val="2"/>
                <w:sz w:val="20"/>
                <w:szCs w:val="22"/>
                <w:lang w:val="en-US" w:eastAsia="zh-CN" w:bidi="ar-SA"/>
                <w14:textFill>
                  <w14:solidFill>
                    <w14:schemeClr w14:val="tx1"/>
                  </w14:solidFill>
                </w14:textFill>
              </w:rPr>
              <w:t>各管理部门以及管理者代表均有输入材料。符合标准要求。</w:t>
            </w:r>
          </w:p>
          <w:p>
            <w:pPr>
              <w:ind w:firstLine="400" w:firstLineChars="200"/>
              <w:rPr>
                <w:rFonts w:hint="eastAsia"/>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 xml:space="preserve">4、管理评审输出，形成《管理评审报告》编审批齐全 。   </w:t>
            </w:r>
          </w:p>
          <w:p>
            <w:pPr>
              <w:ind w:firstLine="400" w:firstLineChars="200"/>
              <w:rPr>
                <w:rFonts w:hint="eastAsia"/>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管理评审结论：</w:t>
            </w:r>
          </w:p>
          <w:p>
            <w:pPr>
              <w:ind w:firstLine="400" w:firstLineChars="200"/>
              <w:rPr>
                <w:rFonts w:hint="eastAsia"/>
                <w:color w:val="000000" w:themeColor="text1"/>
                <w:sz w:val="20"/>
                <w:lang w:val="en-US" w:eastAsia="zh-CN"/>
                <w14:textFill>
                  <w14:solidFill>
                    <w14:schemeClr w14:val="tx1"/>
                  </w14:solidFill>
                </w14:textFill>
              </w:rPr>
            </w:pPr>
            <w:r>
              <w:rPr>
                <w:rFonts w:hint="eastAsia"/>
                <w:color w:val="000000" w:themeColor="text1"/>
                <w:sz w:val="20"/>
                <w:lang w:val="en-US" w:eastAsia="zh-CN"/>
                <w14:textFill>
                  <w14:solidFill>
                    <w14:schemeClr w14:val="tx1"/>
                  </w14:solidFill>
                </w14:textFill>
              </w:rPr>
              <w:t>公司的管理体系符合质量、环境、职业健康安全、HSE管理要求，运行有效，使用方法适宜，结果是有效的，效果是明显的。</w:t>
            </w:r>
          </w:p>
        </w:tc>
        <w:tc>
          <w:tcPr>
            <w:tcW w:w="1213" w:type="dxa"/>
          </w:tcPr>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default" w:ascii="宋体" w:hAnsi="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总则</w:t>
            </w:r>
          </w:p>
          <w:p>
            <w:pPr>
              <w:rPr>
                <w:rFonts w:hint="eastAsia" w:ascii="宋体" w:hAnsi="宋体" w:cs="Times New Roman"/>
                <w:color w:val="000000" w:themeColor="text1"/>
                <w:sz w:val="21"/>
                <w:szCs w:val="21"/>
                <w:lang w:val="en-US" w:eastAsia="zh-CN"/>
                <w14:textFill>
                  <w14:solidFill>
                    <w14:schemeClr w14:val="tx1"/>
                  </w14:solidFill>
                </w14:textFill>
              </w:rPr>
            </w:pPr>
            <w:r>
              <w:rPr>
                <w:rFonts w:hint="eastAsia" w:ascii="宋体" w:hAnsi="宋体" w:cs="Times New Roman"/>
                <w:color w:val="000000" w:themeColor="text1"/>
                <w:sz w:val="21"/>
                <w:szCs w:val="21"/>
                <w:lang w:val="en-US" w:eastAsia="zh-CN"/>
                <w14:textFill>
                  <w14:solidFill>
                    <w14:schemeClr w14:val="tx1"/>
                  </w14:solidFill>
                </w14:textFill>
              </w:rPr>
              <w:t>不符合与纠正措施</w:t>
            </w:r>
          </w:p>
          <w:p>
            <w:pP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持续改进</w:t>
            </w:r>
          </w:p>
        </w:tc>
        <w:tc>
          <w:tcPr>
            <w:tcW w:w="960" w:type="dxa"/>
          </w:tcPr>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QEO:</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10.1</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10.2</w:t>
            </w:r>
          </w:p>
          <w:p>
            <w:pPr>
              <w:pStyle w:val="2"/>
              <w:rPr>
                <w:rFonts w:hint="eastAsia" w:ascii="Times New Roman" w:hAnsi="Times New Roman" w:eastAsia="宋体" w:cs="Times New Roman"/>
                <w:color w:val="000000" w:themeColor="text1"/>
                <w:szCs w:val="22"/>
                <w:lang w:val="en-US" w:eastAsia="zh-CN"/>
                <w14:textFill>
                  <w14:solidFill>
                    <w14:schemeClr w14:val="tx1"/>
                  </w14:solidFill>
                </w14:textFill>
              </w:rPr>
            </w:pPr>
            <w:r>
              <w:rPr>
                <w:rFonts w:hint="eastAsia" w:ascii="Times New Roman" w:hAnsi="Times New Roman" w:eastAsia="宋体" w:cs="Times New Roman"/>
                <w:color w:val="000000" w:themeColor="text1"/>
                <w:szCs w:val="22"/>
                <w:lang w:val="en-US" w:eastAsia="zh-CN"/>
                <w14:textFill>
                  <w14:solidFill>
                    <w14:schemeClr w14:val="tx1"/>
                  </w14:solidFill>
                </w14:textFill>
              </w:rPr>
              <w:t>10.3</w:t>
            </w:r>
          </w:p>
          <w:p>
            <w:pPr>
              <w:pStyle w:val="2"/>
              <w:rPr>
                <w:rFonts w:hint="eastAsia" w:ascii="Times New Roman" w:hAnsi="Times New Roman" w:eastAsia="宋体" w:cs="Times New Roman"/>
                <w:color w:val="000000" w:themeColor="text1"/>
                <w:szCs w:val="22"/>
                <w:lang w:val="en-US" w:eastAsia="zh-CN"/>
                <w14:textFill>
                  <w14:solidFill>
                    <w14:schemeClr w14:val="tx1"/>
                  </w14:solidFill>
                </w14:textFill>
              </w:rPr>
            </w:pPr>
            <w:r>
              <w:rPr>
                <w:rFonts w:hint="eastAsia" w:ascii="Times New Roman" w:hAnsi="Times New Roman" w:eastAsia="宋体" w:cs="Times New Roman"/>
                <w:color w:val="000000" w:themeColor="text1"/>
                <w:szCs w:val="22"/>
                <w:lang w:val="en-US" w:eastAsia="zh-CN"/>
                <w14:textFill>
                  <w14:solidFill>
                    <w14:schemeClr w14:val="tx1"/>
                  </w14:solidFill>
                </w14:textFill>
              </w:rPr>
              <w:t>H:6.1</w:t>
            </w:r>
          </w:p>
          <w:p>
            <w:pPr>
              <w:pStyle w:val="2"/>
              <w:rPr>
                <w:rFonts w:hint="default" w:ascii="Times New Roman" w:hAnsi="Times New Roman" w:eastAsia="宋体" w:cs="Times New Roman"/>
                <w:color w:val="000000" w:themeColor="text1"/>
                <w:szCs w:val="22"/>
                <w:lang w:val="en-US" w:eastAsia="zh-CN"/>
                <w14:textFill>
                  <w14:solidFill>
                    <w14:schemeClr w14:val="tx1"/>
                  </w14:solidFill>
                </w14:textFill>
              </w:rPr>
            </w:pPr>
            <w:r>
              <w:rPr>
                <w:rFonts w:hint="eastAsia" w:ascii="Times New Roman" w:hAnsi="Times New Roman" w:eastAsia="宋体" w:cs="Times New Roman"/>
                <w:color w:val="000000" w:themeColor="text1"/>
                <w:szCs w:val="22"/>
                <w:lang w:val="en-US" w:eastAsia="zh-CN"/>
                <w14:textFill>
                  <w14:solidFill>
                    <w14:schemeClr w14:val="tx1"/>
                  </w14:solidFill>
                </w14:textFill>
              </w:rPr>
              <w:t>6.2</w:t>
            </w:r>
          </w:p>
        </w:tc>
        <w:tc>
          <w:tcPr>
            <w:tcW w:w="10376" w:type="dxa"/>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提供《不合格输出控制程序BS/CX-10-2022》《事故/事件调查、不符合、纠正和预防措施控制程序BS/CX-21-2022》，经过编审批符合标准要求。</w:t>
            </w:r>
          </w:p>
          <w:p>
            <w:pPr>
              <w:pStyle w:val="2"/>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default" w:eastAsia="宋体" w:cs="Times New Roman"/>
                <w:bCs w:val="0"/>
                <w:color w:val="000000" w:themeColor="text1"/>
                <w:spacing w:val="0"/>
                <w:kern w:val="2"/>
                <w:sz w:val="21"/>
                <w:szCs w:val="22"/>
                <w:lang w:val="en-US" w:eastAsia="zh-CN" w:bidi="ar-SA"/>
                <w14:textFill>
                  <w14:solidFill>
                    <w14:schemeClr w14:val="tx1"/>
                  </w14:solidFill>
                </w14:textFill>
              </w:rPr>
            </w:pPr>
            <w:r>
              <w:rPr>
                <w:rFonts w:hint="eastAsia" w:ascii="Times New Roman" w:hAnsi="Times New Roman" w:eastAsia="宋体" w:cs="Times New Roman"/>
                <w:bCs w:val="0"/>
                <w:color w:val="000000" w:themeColor="text1"/>
                <w:spacing w:val="0"/>
                <w:kern w:val="2"/>
                <w:sz w:val="21"/>
                <w:szCs w:val="22"/>
                <w:lang w:val="en-US" w:eastAsia="zh-CN" w:bidi="ar-SA"/>
                <w14:textFill>
                  <w14:solidFill>
                    <w14:schemeClr w14:val="tx1"/>
                  </w14:solidFill>
                </w14:textFill>
              </w:rPr>
              <w:t>公司</w:t>
            </w: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通过</w:t>
            </w:r>
            <w:r>
              <w:rPr>
                <w:rFonts w:hint="eastAsia" w:cs="Times New Roman"/>
                <w:bCs w:val="0"/>
                <w:color w:val="000000" w:themeColor="text1"/>
                <w:spacing w:val="0"/>
                <w:kern w:val="2"/>
                <w:sz w:val="21"/>
                <w:szCs w:val="22"/>
                <w:lang w:val="en-US" w:eastAsia="zh-CN" w:bidi="ar-SA"/>
                <w14:textFill>
                  <w14:solidFill>
                    <w14:schemeClr w14:val="tx1"/>
                  </w14:solidFill>
                </w14:textFill>
              </w:rPr>
              <w:t>劳务派遣</w:t>
            </w: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、目标指标、绩效检查与考核对管理体系的策划运行大检查。抽查2021年的</w:t>
            </w:r>
            <w:r>
              <w:rPr>
                <w:rFonts w:hint="eastAsia" w:cs="Times New Roman"/>
                <w:bCs w:val="0"/>
                <w:color w:val="000000" w:themeColor="text1"/>
                <w:spacing w:val="0"/>
                <w:kern w:val="2"/>
                <w:sz w:val="21"/>
                <w:szCs w:val="22"/>
                <w:lang w:val="en-US" w:eastAsia="zh-CN" w:bidi="ar-SA"/>
                <w14:textFill>
                  <w14:solidFill>
                    <w14:schemeClr w14:val="tx1"/>
                  </w14:solidFill>
                </w14:textFill>
              </w:rPr>
              <w:t>管理</w:t>
            </w: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目标指标检查各部门全部完成。</w:t>
            </w:r>
          </w:p>
          <w:p>
            <w:pPr>
              <w:pStyle w:val="2"/>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eastAsia="宋体" w:cs="Times New Roman"/>
                <w:bCs w:val="0"/>
                <w:color w:val="000000" w:themeColor="text1"/>
                <w:spacing w:val="0"/>
                <w:kern w:val="2"/>
                <w:sz w:val="21"/>
                <w:szCs w:val="22"/>
                <w:lang w:val="en-US" w:eastAsia="zh-CN" w:bidi="ar-SA"/>
                <w14:textFill>
                  <w14:solidFill>
                    <w14:schemeClr w14:val="tx1"/>
                  </w14:solidFill>
                </w14:textFill>
              </w:rPr>
            </w:pP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提供公司2022年</w:t>
            </w:r>
            <w:r>
              <w:rPr>
                <w:rFonts w:hint="eastAsia" w:cs="Times New Roman"/>
                <w:bCs w:val="0"/>
                <w:color w:val="000000" w:themeColor="text1"/>
                <w:spacing w:val="0"/>
                <w:kern w:val="2"/>
                <w:sz w:val="21"/>
                <w:szCs w:val="22"/>
                <w:lang w:val="en-US" w:eastAsia="zh-CN" w:bidi="ar-SA"/>
                <w14:textFill>
                  <w14:solidFill>
                    <w14:schemeClr w14:val="tx1"/>
                  </w14:solidFill>
                </w14:textFill>
              </w:rPr>
              <w:t>4</w:t>
            </w: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月</w:t>
            </w:r>
            <w:r>
              <w:rPr>
                <w:rFonts w:hint="eastAsia" w:cs="Times New Roman"/>
                <w:bCs w:val="0"/>
                <w:color w:val="000000" w:themeColor="text1"/>
                <w:spacing w:val="0"/>
                <w:kern w:val="2"/>
                <w:sz w:val="21"/>
                <w:szCs w:val="22"/>
                <w:lang w:val="en-US" w:eastAsia="zh-CN" w:bidi="ar-SA"/>
                <w14:textFill>
                  <w14:solidFill>
                    <w14:schemeClr w14:val="tx1"/>
                  </w14:solidFill>
                </w14:textFill>
              </w:rPr>
              <w:t>19</w:t>
            </w: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日至</w:t>
            </w:r>
            <w:r>
              <w:rPr>
                <w:rFonts w:hint="eastAsia" w:cs="Times New Roman"/>
                <w:bCs w:val="0"/>
                <w:color w:val="000000" w:themeColor="text1"/>
                <w:spacing w:val="0"/>
                <w:kern w:val="2"/>
                <w:sz w:val="21"/>
                <w:szCs w:val="22"/>
                <w:lang w:val="en-US" w:eastAsia="zh-CN" w:bidi="ar-SA"/>
                <w14:textFill>
                  <w14:solidFill>
                    <w14:schemeClr w14:val="tx1"/>
                  </w14:solidFill>
                </w14:textFill>
              </w:rPr>
              <w:t>20</w:t>
            </w: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日</w:t>
            </w:r>
            <w:r>
              <w:rPr>
                <w:rFonts w:hint="eastAsia"/>
                <w:color w:val="000000" w:themeColor="text1"/>
                <w:sz w:val="20"/>
                <w:lang w:val="en-US" w:eastAsia="zh-CN"/>
                <w14:textFill>
                  <w14:solidFill>
                    <w14:schemeClr w14:val="tx1"/>
                  </w14:solidFill>
                </w14:textFill>
              </w:rPr>
              <w:t>质量、环境、职业健康安全、HSE</w:t>
            </w: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管理体系的内审进行体系的符合性、有效性检查，在公司组织的</w:t>
            </w:r>
            <w:r>
              <w:rPr>
                <w:rFonts w:hint="eastAsia" w:cs="Times New Roman"/>
                <w:bCs w:val="0"/>
                <w:color w:val="000000" w:themeColor="text1"/>
                <w:spacing w:val="0"/>
                <w:kern w:val="2"/>
                <w:sz w:val="21"/>
                <w:szCs w:val="22"/>
                <w:lang w:val="en-US" w:eastAsia="zh-CN" w:bidi="ar-SA"/>
                <w14:textFill>
                  <w14:solidFill>
                    <w14:schemeClr w14:val="tx1"/>
                  </w14:solidFill>
                </w14:textFill>
              </w:rPr>
              <w:t>管理</w:t>
            </w: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体系内审中发现一个不符合，开在</w:t>
            </w:r>
            <w:r>
              <w:rPr>
                <w:rFonts w:hint="eastAsia" w:cs="Times New Roman"/>
                <w:bCs w:val="0"/>
                <w:color w:val="000000" w:themeColor="text1"/>
                <w:spacing w:val="0"/>
                <w:kern w:val="2"/>
                <w:sz w:val="21"/>
                <w:szCs w:val="22"/>
                <w:lang w:val="en-US" w:eastAsia="zh-CN" w:bidi="ar-SA"/>
                <w14:textFill>
                  <w14:solidFill>
                    <w14:schemeClr w14:val="tx1"/>
                  </w14:solidFill>
                </w14:textFill>
              </w:rPr>
              <w:t>综合管理部</w:t>
            </w: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，不符合事实：“未将办公区域电气设备违规使用造成触电伤人进行识别。不符合GB/T 45001-2020标准中6.1.2条款、中国石化HSE管理体系</w:t>
            </w:r>
            <w:r>
              <w:rPr>
                <w:rFonts w:hint="eastAsia" w:cs="Times New Roman"/>
                <w:bCs w:val="0"/>
                <w:color w:val="000000" w:themeColor="text1"/>
                <w:spacing w:val="0"/>
                <w:kern w:val="2"/>
                <w:sz w:val="21"/>
                <w:szCs w:val="22"/>
                <w:lang w:val="en-US" w:eastAsia="zh-CN" w:bidi="ar-SA"/>
                <w14:textFill>
                  <w14:solidFill>
                    <w14:schemeClr w14:val="tx1"/>
                  </w14:solidFill>
                </w14:textFill>
              </w:rPr>
              <w:t>手册</w:t>
            </w: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中2.2条款的相关要求”。经过内审组验证，此不符合已经关闭，符合标准要求。</w:t>
            </w:r>
          </w:p>
          <w:p>
            <w:pPr>
              <w:pStyle w:val="2"/>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eastAsia="宋体" w:cs="Times New Roman"/>
                <w:bCs w:val="0"/>
                <w:color w:val="000000" w:themeColor="text1"/>
                <w:spacing w:val="0"/>
                <w:kern w:val="2"/>
                <w:sz w:val="21"/>
                <w:szCs w:val="22"/>
                <w:lang w:val="en-US" w:eastAsia="zh-CN" w:bidi="ar-SA"/>
                <w14:textFill>
                  <w14:solidFill>
                    <w14:schemeClr w14:val="tx1"/>
                  </w14:solidFill>
                </w14:textFill>
              </w:rPr>
            </w:pP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提供管理评审来证实体系的充分性、适宜性、有效性。在公司2022年</w:t>
            </w:r>
            <w:r>
              <w:rPr>
                <w:rFonts w:hint="eastAsia" w:cs="Times New Roman"/>
                <w:bCs w:val="0"/>
                <w:color w:val="000000" w:themeColor="text1"/>
                <w:spacing w:val="0"/>
                <w:kern w:val="2"/>
                <w:sz w:val="21"/>
                <w:szCs w:val="22"/>
                <w:lang w:val="en-US" w:eastAsia="zh-CN" w:bidi="ar-SA"/>
                <w14:textFill>
                  <w14:solidFill>
                    <w14:schemeClr w14:val="tx1"/>
                  </w14:solidFill>
                </w14:textFill>
              </w:rPr>
              <w:t>5</w:t>
            </w: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月</w:t>
            </w:r>
            <w:r>
              <w:rPr>
                <w:rFonts w:hint="eastAsia" w:cs="Times New Roman"/>
                <w:bCs w:val="0"/>
                <w:color w:val="000000" w:themeColor="text1"/>
                <w:spacing w:val="0"/>
                <w:kern w:val="2"/>
                <w:sz w:val="21"/>
                <w:szCs w:val="22"/>
                <w:lang w:val="en-US" w:eastAsia="zh-CN" w:bidi="ar-SA"/>
                <w14:textFill>
                  <w14:solidFill>
                    <w14:schemeClr w14:val="tx1"/>
                  </w14:solidFill>
                </w14:textFill>
              </w:rPr>
              <w:t>9</w:t>
            </w: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日组织的管理体系的管理评审中提出了6条综述、二条改进措施都进行了部署，均已完成。</w:t>
            </w:r>
          </w:p>
          <w:p>
            <w:pPr>
              <w:pStyle w:val="2"/>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eastAsia="宋体" w:cs="Times New Roman"/>
                <w:bCs w:val="0"/>
                <w:color w:val="000000" w:themeColor="text1"/>
                <w:spacing w:val="0"/>
                <w:kern w:val="2"/>
                <w:sz w:val="21"/>
                <w:szCs w:val="22"/>
                <w:lang w:val="en-US" w:eastAsia="zh-CN" w:bidi="ar-SA"/>
                <w14:textFill>
                  <w14:solidFill>
                    <w14:schemeClr w14:val="tx1"/>
                  </w14:solidFill>
                </w14:textFill>
              </w:rPr>
            </w:pP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公司建立了</w:t>
            </w:r>
            <w:r>
              <w:rPr>
                <w:rFonts w:hint="eastAsia"/>
                <w:color w:val="000000" w:themeColor="text1"/>
                <w:lang w:val="en-US" w:eastAsia="zh-CN"/>
                <w14:textFill>
                  <w14:solidFill>
                    <w14:schemeClr w14:val="tx1"/>
                  </w14:solidFill>
                </w14:textFill>
              </w:rPr>
              <w:t>《不合格输出控制程序BS/CX-10-2022》《事故/事件调查、不符合、纠正和预防措施控制程序BS/CX-21-2022》</w:t>
            </w: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对实际存在的不符合或潜在的不符合采取纠正或改进措施，预防不符合的再次发生。确定了不符合的来源：（1）日常监测和测量中出现的不符合；（2）内、外部相关方的意见和合理建议；（3）内审及管理评审中发现的不符合。规定了不符合的处置方法及纠正措施的制定实施要求，以及日常持续改进活动。公司通过日常管理与检查、内审、管理评审等过程的控制实现持续改进。符合标准要求。</w:t>
            </w:r>
          </w:p>
          <w:p>
            <w:pPr>
              <w:pStyle w:val="2"/>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eastAsia="宋体" w:cs="Times New Roman"/>
                <w:bCs w:val="0"/>
                <w:color w:val="000000" w:themeColor="text1"/>
                <w:spacing w:val="0"/>
                <w:kern w:val="2"/>
                <w:sz w:val="21"/>
                <w:szCs w:val="22"/>
                <w:lang w:val="en-US" w:eastAsia="zh-CN" w:bidi="ar-SA"/>
                <w14:textFill>
                  <w14:solidFill>
                    <w14:schemeClr w14:val="tx1"/>
                  </w14:solidFill>
                </w14:textFill>
              </w:rPr>
            </w:pP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提供公司管理评审报告</w:t>
            </w:r>
            <w:r>
              <w:rPr>
                <w:rFonts w:hint="eastAsia" w:cs="Times New Roman"/>
                <w:bCs w:val="0"/>
                <w:color w:val="000000" w:themeColor="text1"/>
                <w:spacing w:val="0"/>
                <w:kern w:val="2"/>
                <w:sz w:val="21"/>
                <w:szCs w:val="22"/>
                <w:lang w:val="en-US" w:eastAsia="zh-CN" w:bidi="ar-SA"/>
                <w14:textFill>
                  <w14:solidFill>
                    <w14:schemeClr w14:val="tx1"/>
                  </w14:solidFill>
                </w14:textFill>
              </w:rPr>
              <w:t>，</w:t>
            </w: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提出近期改进的方面：</w:t>
            </w:r>
          </w:p>
          <w:p>
            <w:pPr>
              <w:pStyle w:val="2"/>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eastAsia="宋体" w:cs="Times New Roman"/>
                <w:bCs w:val="0"/>
                <w:color w:val="000000" w:themeColor="text1"/>
                <w:spacing w:val="0"/>
                <w:kern w:val="2"/>
                <w:sz w:val="21"/>
                <w:szCs w:val="22"/>
                <w:lang w:val="en-US" w:eastAsia="zh-CN" w:bidi="ar-SA"/>
                <w14:textFill>
                  <w14:solidFill>
                    <w14:schemeClr w14:val="tx1"/>
                  </w14:solidFill>
                </w14:textFill>
              </w:rPr>
            </w:pP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1．应对健康、环境和安全方面的法律法规（HSE）标准进行及时收集，理解并运用。</w:t>
            </w:r>
          </w:p>
          <w:p>
            <w:pPr>
              <w:pStyle w:val="2"/>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eastAsia="宋体" w:cs="Times New Roman"/>
                <w:bCs w:val="0"/>
                <w:color w:val="000000" w:themeColor="text1"/>
                <w:spacing w:val="0"/>
                <w:kern w:val="2"/>
                <w:sz w:val="21"/>
                <w:szCs w:val="22"/>
                <w:lang w:val="en-US" w:eastAsia="zh-CN" w:bidi="ar-SA"/>
                <w14:textFill>
                  <w14:solidFill>
                    <w14:schemeClr w14:val="tx1"/>
                  </w14:solidFill>
                </w14:textFill>
              </w:rPr>
            </w:pP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2.</w:t>
            </w:r>
            <w:r>
              <w:rPr>
                <w:rFonts w:hint="eastAsia" w:cs="Times New Roman"/>
                <w:bCs w:val="0"/>
                <w:color w:val="000000" w:themeColor="text1"/>
                <w:spacing w:val="0"/>
                <w:kern w:val="2"/>
                <w:sz w:val="21"/>
                <w:szCs w:val="22"/>
                <w:lang w:val="en-US" w:eastAsia="zh-CN" w:bidi="ar-SA"/>
                <w14:textFill>
                  <w14:solidFill>
                    <w14:schemeClr w14:val="tx1"/>
                  </w14:solidFill>
                </w14:textFill>
              </w:rPr>
              <w:t xml:space="preserve"> </w:t>
            </w: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对质量、环境、职业健康安全标准、中国石化HSE管理体系要求还应进一步学习和理解。</w:t>
            </w:r>
          </w:p>
          <w:p>
            <w:pPr>
              <w:pStyle w:val="2"/>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default" w:eastAsia="宋体" w:cs="Times New Roman"/>
                <w:bCs w:val="0"/>
                <w:color w:val="000000" w:themeColor="text1"/>
                <w:spacing w:val="0"/>
                <w:kern w:val="2"/>
                <w:sz w:val="21"/>
                <w:szCs w:val="22"/>
                <w:lang w:val="en-US" w:eastAsia="zh-CN" w:bidi="ar-SA"/>
                <w14:textFill>
                  <w14:solidFill>
                    <w14:schemeClr w14:val="tx1"/>
                  </w14:solidFill>
                </w14:textFill>
              </w:rPr>
            </w:pP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一阶段提出的问题，现已经整改，在二阶段</w:t>
            </w:r>
            <w:r>
              <w:rPr>
                <w:rFonts w:hint="eastAsia" w:cs="Times New Roman"/>
                <w:bCs w:val="0"/>
                <w:color w:val="000000" w:themeColor="text1"/>
                <w:spacing w:val="0"/>
                <w:kern w:val="2"/>
                <w:sz w:val="21"/>
                <w:szCs w:val="22"/>
                <w:lang w:val="en-US" w:eastAsia="zh-CN" w:bidi="ar-SA"/>
                <w14:textFill>
                  <w14:solidFill>
                    <w14:schemeClr w14:val="tx1"/>
                  </w14:solidFill>
                </w14:textFill>
              </w:rPr>
              <w:t>现场与</w:t>
            </w:r>
            <w:r>
              <w:rPr>
                <w:rFonts w:hint="eastAsia" w:eastAsia="宋体" w:cs="Times New Roman"/>
                <w:bCs w:val="0"/>
                <w:color w:val="000000" w:themeColor="text1"/>
                <w:spacing w:val="0"/>
                <w:kern w:val="2"/>
                <w:sz w:val="21"/>
                <w:szCs w:val="22"/>
                <w:lang w:val="en-US" w:eastAsia="zh-CN" w:bidi="ar-SA"/>
                <w14:textFill>
                  <w14:solidFill>
                    <w14:schemeClr w14:val="tx1"/>
                  </w14:solidFill>
                </w14:textFill>
              </w:rPr>
              <w:t>远程审核时予以验证。</w:t>
            </w:r>
          </w:p>
        </w:tc>
        <w:tc>
          <w:tcPr>
            <w:tcW w:w="1213" w:type="dxa"/>
          </w:tcPr>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 是否发生顾客、相关方严重投诉</w:t>
            </w:r>
          </w:p>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 删减合理性</w:t>
            </w:r>
          </w:p>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 是否发生重大质量、环境、职业健康安全事故</w:t>
            </w:r>
          </w:p>
          <w:p>
            <w:pP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 法律法规遵守，执行情况？</w:t>
            </w:r>
          </w:p>
        </w:tc>
        <w:tc>
          <w:tcPr>
            <w:tcW w:w="960" w:type="dxa"/>
          </w:tcPr>
          <w:p>
            <w:pPr>
              <w:pStyle w:val="2"/>
              <w:rPr>
                <w:rFonts w:hint="eastAsia" w:ascii="Times New Roman" w:hAnsi="Times New Roman" w:eastAsia="宋体" w:cs="Times New Roman"/>
                <w:color w:val="000000" w:themeColor="text1"/>
                <w:szCs w:val="22"/>
                <w:lang w:val="en-US" w:eastAsia="zh-CN"/>
                <w14:textFill>
                  <w14:solidFill>
                    <w14:schemeClr w14:val="tx1"/>
                  </w14:solidFill>
                </w14:textFill>
              </w:rPr>
            </w:pPr>
          </w:p>
        </w:tc>
        <w:tc>
          <w:tcPr>
            <w:tcW w:w="10376" w:type="dxa"/>
          </w:tcPr>
          <w:p>
            <w:pPr>
              <w:pStyle w:val="2"/>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cs="Times New Roman"/>
                <w:bCs w:val="0"/>
                <w:color w:val="000000" w:themeColor="text1"/>
                <w:spacing w:val="0"/>
                <w:kern w:val="2"/>
                <w:sz w:val="21"/>
                <w:szCs w:val="22"/>
                <w:lang w:val="en-US" w:eastAsia="zh-CN" w:bidi="ar-SA"/>
                <w14:textFill>
                  <w14:solidFill>
                    <w14:schemeClr w14:val="tx1"/>
                  </w14:solidFill>
                </w14:textFill>
              </w:rPr>
            </w:pPr>
            <w:r>
              <w:rPr>
                <w:rFonts w:hint="eastAsia" w:cs="Times New Roman"/>
                <w:bCs w:val="0"/>
                <w:color w:val="000000" w:themeColor="text1"/>
                <w:spacing w:val="0"/>
                <w:kern w:val="2"/>
                <w:sz w:val="21"/>
                <w:szCs w:val="22"/>
                <w:lang w:val="en-US" w:eastAsia="zh-CN" w:bidi="ar-SA"/>
                <w14:textFill>
                  <w14:solidFill>
                    <w14:schemeClr w14:val="tx1"/>
                  </w14:solidFill>
                </w14:textFill>
              </w:rPr>
              <w:t>公司自建立质量、环境、职业健康安全、HSE管理体系以来，没有发生顾客、相关方严重投诉。</w:t>
            </w:r>
          </w:p>
          <w:p>
            <w:pPr>
              <w:pStyle w:val="2"/>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default" w:cs="Times New Roman"/>
                <w:bCs w:val="0"/>
                <w:color w:val="000000" w:themeColor="text1"/>
                <w:spacing w:val="0"/>
                <w:kern w:val="2"/>
                <w:sz w:val="21"/>
                <w:szCs w:val="22"/>
                <w:lang w:val="en-US" w:eastAsia="zh-CN" w:bidi="ar-SA"/>
                <w14:textFill>
                  <w14:solidFill>
                    <w14:schemeClr w14:val="tx1"/>
                  </w14:solidFill>
                </w14:textFill>
              </w:rPr>
            </w:pPr>
            <w:r>
              <w:rPr>
                <w:rFonts w:hint="default" w:cs="Times New Roman"/>
                <w:bCs w:val="0"/>
                <w:color w:val="000000" w:themeColor="text1"/>
                <w:spacing w:val="0"/>
                <w:kern w:val="2"/>
                <w:sz w:val="21"/>
                <w:szCs w:val="22"/>
                <w:lang w:val="en-US" w:eastAsia="zh-CN" w:bidi="ar-SA"/>
                <w14:textFill>
                  <w14:solidFill>
                    <w14:schemeClr w14:val="tx1"/>
                  </w14:solidFill>
                </w14:textFill>
              </w:rPr>
              <w:t>目前公司完全遵守法律法规和其他要求规定，劳务派遣服务目前全部由客户提供策划和计划，公司只承担现场服务要求，</w:t>
            </w:r>
            <w:r>
              <w:rPr>
                <w:rFonts w:hint="eastAsia" w:cs="Times New Roman"/>
                <w:bCs w:val="0"/>
                <w:color w:val="000000" w:themeColor="text1"/>
                <w:spacing w:val="0"/>
                <w:kern w:val="2"/>
                <w:sz w:val="21"/>
                <w:szCs w:val="22"/>
                <w:lang w:val="en-US" w:eastAsia="zh-CN" w:bidi="ar-SA"/>
                <w14:textFill>
                  <w14:solidFill>
                    <w14:schemeClr w14:val="tx1"/>
                  </w14:solidFill>
                </w14:textFill>
              </w:rPr>
              <w:t>所以删减“</w:t>
            </w:r>
            <w:r>
              <w:rPr>
                <w:rFonts w:hint="default" w:cs="Times New Roman"/>
                <w:bCs w:val="0"/>
                <w:color w:val="000000" w:themeColor="text1"/>
                <w:spacing w:val="0"/>
                <w:kern w:val="2"/>
                <w:sz w:val="21"/>
                <w:szCs w:val="22"/>
                <w:lang w:val="en-US" w:eastAsia="zh-CN" w:bidi="ar-SA"/>
                <w14:textFill>
                  <w14:solidFill>
                    <w14:schemeClr w14:val="tx1"/>
                  </w14:solidFill>
                </w14:textFill>
              </w:rPr>
              <w:t>8.3设计和开发</w:t>
            </w:r>
            <w:r>
              <w:rPr>
                <w:rFonts w:hint="eastAsia" w:cs="Times New Roman"/>
                <w:bCs w:val="0"/>
                <w:color w:val="000000" w:themeColor="text1"/>
                <w:spacing w:val="0"/>
                <w:kern w:val="2"/>
                <w:sz w:val="21"/>
                <w:szCs w:val="22"/>
                <w:lang w:val="en-US" w:eastAsia="zh-CN" w:bidi="ar-SA"/>
                <w14:textFill>
                  <w14:solidFill>
                    <w14:schemeClr w14:val="tx1"/>
                  </w14:solidFill>
                </w14:textFill>
              </w:rPr>
              <w:t>”条款，而管理手册中</w:t>
            </w:r>
            <w:r>
              <w:rPr>
                <w:rFonts w:hint="default" w:cs="Times New Roman"/>
                <w:bCs w:val="0"/>
                <w:color w:val="000000" w:themeColor="text1"/>
                <w:spacing w:val="0"/>
                <w:kern w:val="2"/>
                <w:sz w:val="21"/>
                <w:szCs w:val="22"/>
                <w:lang w:val="en-US" w:eastAsia="zh-CN" w:bidi="ar-SA"/>
                <w14:textFill>
                  <w14:solidFill>
                    <w14:schemeClr w14:val="tx1"/>
                  </w14:solidFill>
                </w14:textFill>
              </w:rPr>
              <w:t>后续</w:t>
            </w:r>
            <w:r>
              <w:rPr>
                <w:rFonts w:hint="eastAsia" w:cs="Times New Roman"/>
                <w:bCs w:val="0"/>
                <w:color w:val="000000" w:themeColor="text1"/>
                <w:spacing w:val="0"/>
                <w:kern w:val="2"/>
                <w:sz w:val="21"/>
                <w:szCs w:val="22"/>
                <w:lang w:val="en-US" w:eastAsia="zh-CN" w:bidi="ar-SA"/>
                <w14:textFill>
                  <w14:solidFill>
                    <w14:schemeClr w14:val="tx1"/>
                  </w14:solidFill>
                </w14:textFill>
              </w:rPr>
              <w:t>“</w:t>
            </w:r>
            <w:r>
              <w:rPr>
                <w:rFonts w:hint="default" w:cs="Times New Roman"/>
                <w:bCs w:val="0"/>
                <w:color w:val="000000" w:themeColor="text1"/>
                <w:spacing w:val="0"/>
                <w:kern w:val="2"/>
                <w:sz w:val="21"/>
                <w:szCs w:val="22"/>
                <w:lang w:val="en-US" w:eastAsia="zh-CN" w:bidi="ar-SA"/>
                <w14:textFill>
                  <w14:solidFill>
                    <w14:schemeClr w14:val="tx1"/>
                  </w14:solidFill>
                </w14:textFill>
              </w:rPr>
              <w:t>8.3设计和开发</w:t>
            </w:r>
            <w:r>
              <w:rPr>
                <w:rFonts w:hint="eastAsia" w:cs="Times New Roman"/>
                <w:bCs w:val="0"/>
                <w:color w:val="000000" w:themeColor="text1"/>
                <w:spacing w:val="0"/>
                <w:kern w:val="2"/>
                <w:sz w:val="21"/>
                <w:szCs w:val="22"/>
                <w:lang w:val="en-US" w:eastAsia="zh-CN" w:bidi="ar-SA"/>
                <w14:textFill>
                  <w14:solidFill>
                    <w14:schemeClr w14:val="tx1"/>
                  </w14:solidFill>
                </w14:textFill>
              </w:rPr>
              <w:t>”</w:t>
            </w:r>
            <w:r>
              <w:rPr>
                <w:rFonts w:hint="default" w:cs="Times New Roman"/>
                <w:bCs w:val="0"/>
                <w:color w:val="000000" w:themeColor="text1"/>
                <w:spacing w:val="0"/>
                <w:kern w:val="2"/>
                <w:sz w:val="21"/>
                <w:szCs w:val="22"/>
                <w:lang w:val="en-US" w:eastAsia="zh-CN" w:bidi="ar-SA"/>
                <w14:textFill>
                  <w14:solidFill>
                    <w14:schemeClr w14:val="tx1"/>
                  </w14:solidFill>
                </w14:textFill>
              </w:rPr>
              <w:t>，仅为公司今后发展要求所作出相关规定，删除本条款，不影响本公司提供劳务派遣服务能力和相关责任。</w:t>
            </w:r>
          </w:p>
          <w:p>
            <w:pPr>
              <w:pStyle w:val="2"/>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cs="Times New Roman"/>
                <w:bCs w:val="0"/>
                <w:color w:val="000000" w:themeColor="text1"/>
                <w:spacing w:val="0"/>
                <w:kern w:val="2"/>
                <w:sz w:val="21"/>
                <w:szCs w:val="22"/>
                <w:lang w:val="en-US" w:eastAsia="zh-CN" w:bidi="ar-SA"/>
                <w14:textFill>
                  <w14:solidFill>
                    <w14:schemeClr w14:val="tx1"/>
                  </w14:solidFill>
                </w14:textFill>
              </w:rPr>
            </w:pPr>
            <w:r>
              <w:rPr>
                <w:rFonts w:hint="eastAsia" w:cs="Times New Roman"/>
                <w:bCs w:val="0"/>
                <w:color w:val="000000" w:themeColor="text1"/>
                <w:spacing w:val="0"/>
                <w:kern w:val="2"/>
                <w:sz w:val="21"/>
                <w:szCs w:val="22"/>
                <w:lang w:val="en-US" w:eastAsia="zh-CN" w:bidi="ar-SA"/>
                <w14:textFill>
                  <w14:solidFill>
                    <w14:schemeClr w14:val="tx1"/>
                  </w14:solidFill>
                </w14:textFill>
              </w:rPr>
              <w:t>公司没有发生重大质量、环境、职业健康安全、HSE事故。</w:t>
            </w:r>
          </w:p>
          <w:p>
            <w:pPr>
              <w:pStyle w:val="2"/>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default" w:cs="Times New Roman"/>
                <w:bCs w:val="0"/>
                <w:color w:val="000000" w:themeColor="text1"/>
                <w:spacing w:val="0"/>
                <w:kern w:val="2"/>
                <w:sz w:val="21"/>
                <w:szCs w:val="22"/>
                <w:lang w:val="en-US" w:eastAsia="zh-CN" w:bidi="ar-SA"/>
                <w14:textFill>
                  <w14:solidFill>
                    <w14:schemeClr w14:val="tx1"/>
                  </w14:solidFill>
                </w14:textFill>
              </w:rPr>
            </w:pPr>
            <w:r>
              <w:rPr>
                <w:rFonts w:hint="eastAsia" w:cs="Times New Roman"/>
                <w:bCs w:val="0"/>
                <w:color w:val="000000" w:themeColor="text1"/>
                <w:spacing w:val="0"/>
                <w:kern w:val="2"/>
                <w:sz w:val="21"/>
                <w:szCs w:val="22"/>
                <w:lang w:val="en-US" w:eastAsia="zh-CN" w:bidi="ar-SA"/>
                <w14:textFill>
                  <w14:solidFill>
                    <w14:schemeClr w14:val="tx1"/>
                  </w14:solidFill>
                </w14:textFill>
              </w:rPr>
              <w:t>公司没有发生违反法律法规及其它要求的事件。</w:t>
            </w:r>
          </w:p>
        </w:tc>
        <w:tc>
          <w:tcPr>
            <w:tcW w:w="1213" w:type="dxa"/>
          </w:tcPr>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Y</w:t>
            </w:r>
          </w:p>
        </w:tc>
      </w:tr>
    </w:tbl>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0" locked="0" layoutInCell="1" allowOverlap="1">
          <wp:simplePos x="0" y="0"/>
          <wp:positionH relativeFrom="column">
            <wp:posOffset>-12700</wp:posOffset>
          </wp:positionH>
          <wp:positionV relativeFrom="paragraph">
            <wp:posOffset>12065</wp:posOffset>
          </wp:positionV>
          <wp:extent cx="423545" cy="426720"/>
          <wp:effectExtent l="0" t="0" r="317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23545" cy="426720"/>
                  </a:xfrm>
                  <a:prstGeom prst="rect">
                    <a:avLst/>
                  </a:prstGeom>
                </pic:spPr>
              </pic:pic>
            </a:graphicData>
          </a:graphic>
        </wp:anchor>
      </w:drawing>
    </w:r>
    <w:r>
      <w:pict>
        <v:shape id="_x0000_s4098" o:spid="_x0000_s4098" o:spt="202" type="#_x0000_t202" style="position:absolute;left:0pt;margin-left:602.3pt;margin-top:11pt;height:20.2pt;width:117.9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756" w:firstLineChars="400"/>
      <w:jc w:val="left"/>
    </w:pP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BiODA1MTVjZDY1YTRkN2VmNmM5OWJkMjExYmM0YjQifQ=="/>
  </w:docVars>
  <w:rsids>
    <w:rsidRoot w:val="009973B4"/>
    <w:rsid w:val="000237F6"/>
    <w:rsid w:val="0003373A"/>
    <w:rsid w:val="000400E2"/>
    <w:rsid w:val="00062E46"/>
    <w:rsid w:val="000E6B21"/>
    <w:rsid w:val="001A2D7F"/>
    <w:rsid w:val="001B2B1C"/>
    <w:rsid w:val="002939AD"/>
    <w:rsid w:val="00314AF6"/>
    <w:rsid w:val="00337922"/>
    <w:rsid w:val="00340867"/>
    <w:rsid w:val="00380837"/>
    <w:rsid w:val="003A198A"/>
    <w:rsid w:val="00410914"/>
    <w:rsid w:val="00536930"/>
    <w:rsid w:val="00564E53"/>
    <w:rsid w:val="005D5659"/>
    <w:rsid w:val="00600C20"/>
    <w:rsid w:val="00644FE2"/>
    <w:rsid w:val="0067640C"/>
    <w:rsid w:val="006A10C1"/>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A20B6F"/>
    <w:rsid w:val="01E30C0C"/>
    <w:rsid w:val="01F25A54"/>
    <w:rsid w:val="03B17E9F"/>
    <w:rsid w:val="047A2E43"/>
    <w:rsid w:val="047C23EE"/>
    <w:rsid w:val="04F069D1"/>
    <w:rsid w:val="050D2726"/>
    <w:rsid w:val="06D7205C"/>
    <w:rsid w:val="071976F3"/>
    <w:rsid w:val="08422B0C"/>
    <w:rsid w:val="08797894"/>
    <w:rsid w:val="0A200CA9"/>
    <w:rsid w:val="0A216C7D"/>
    <w:rsid w:val="0A896FE9"/>
    <w:rsid w:val="0AFD3115"/>
    <w:rsid w:val="0D2D4B4A"/>
    <w:rsid w:val="0F3B12A6"/>
    <w:rsid w:val="106C6179"/>
    <w:rsid w:val="108219C2"/>
    <w:rsid w:val="116760ED"/>
    <w:rsid w:val="11CE14E0"/>
    <w:rsid w:val="1204603E"/>
    <w:rsid w:val="13B33BC9"/>
    <w:rsid w:val="13BD2BE4"/>
    <w:rsid w:val="147941C0"/>
    <w:rsid w:val="14E340D5"/>
    <w:rsid w:val="15B870CC"/>
    <w:rsid w:val="16164652"/>
    <w:rsid w:val="16B65069"/>
    <w:rsid w:val="16D974B1"/>
    <w:rsid w:val="178D388A"/>
    <w:rsid w:val="18572570"/>
    <w:rsid w:val="190F099B"/>
    <w:rsid w:val="1AB47395"/>
    <w:rsid w:val="1ADD2EA8"/>
    <w:rsid w:val="1B46487E"/>
    <w:rsid w:val="1B6170A5"/>
    <w:rsid w:val="1B881819"/>
    <w:rsid w:val="1B8C7176"/>
    <w:rsid w:val="1C75625B"/>
    <w:rsid w:val="1C8C17DD"/>
    <w:rsid w:val="1DE90B8B"/>
    <w:rsid w:val="1E056013"/>
    <w:rsid w:val="1E263064"/>
    <w:rsid w:val="1E27007F"/>
    <w:rsid w:val="1E286F45"/>
    <w:rsid w:val="1E3A3D1D"/>
    <w:rsid w:val="1E4246BE"/>
    <w:rsid w:val="1E873FE7"/>
    <w:rsid w:val="1F107A2E"/>
    <w:rsid w:val="1F771329"/>
    <w:rsid w:val="212345D6"/>
    <w:rsid w:val="22F54EA8"/>
    <w:rsid w:val="24F52E53"/>
    <w:rsid w:val="25A60F9D"/>
    <w:rsid w:val="25C6426F"/>
    <w:rsid w:val="25D01723"/>
    <w:rsid w:val="25D43F74"/>
    <w:rsid w:val="25F6279D"/>
    <w:rsid w:val="260E6499"/>
    <w:rsid w:val="26E50717"/>
    <w:rsid w:val="277D79BE"/>
    <w:rsid w:val="28EB77AF"/>
    <w:rsid w:val="29A21A71"/>
    <w:rsid w:val="29E318C1"/>
    <w:rsid w:val="2A766C51"/>
    <w:rsid w:val="2AAD74CC"/>
    <w:rsid w:val="2B2F4819"/>
    <w:rsid w:val="2B5B1396"/>
    <w:rsid w:val="2B9523E8"/>
    <w:rsid w:val="2BE71DC5"/>
    <w:rsid w:val="2C3103C0"/>
    <w:rsid w:val="2EB967C5"/>
    <w:rsid w:val="2F912599"/>
    <w:rsid w:val="318604A8"/>
    <w:rsid w:val="32334EAE"/>
    <w:rsid w:val="332C2F3D"/>
    <w:rsid w:val="347A765D"/>
    <w:rsid w:val="34B42186"/>
    <w:rsid w:val="351F77BF"/>
    <w:rsid w:val="356B5308"/>
    <w:rsid w:val="35933FBA"/>
    <w:rsid w:val="35A8064D"/>
    <w:rsid w:val="361577F0"/>
    <w:rsid w:val="36240FF0"/>
    <w:rsid w:val="36742059"/>
    <w:rsid w:val="36D844B9"/>
    <w:rsid w:val="374716A1"/>
    <w:rsid w:val="388A0E76"/>
    <w:rsid w:val="393C56E6"/>
    <w:rsid w:val="39925D4F"/>
    <w:rsid w:val="3A8E705E"/>
    <w:rsid w:val="3AD4006D"/>
    <w:rsid w:val="3B2F152F"/>
    <w:rsid w:val="3C721706"/>
    <w:rsid w:val="3C8C70EB"/>
    <w:rsid w:val="3CD52507"/>
    <w:rsid w:val="3D4E6C4D"/>
    <w:rsid w:val="3D507775"/>
    <w:rsid w:val="3E4F4E3C"/>
    <w:rsid w:val="3EC252BA"/>
    <w:rsid w:val="3EED6F68"/>
    <w:rsid w:val="3F363088"/>
    <w:rsid w:val="3F655E33"/>
    <w:rsid w:val="3F8A37D7"/>
    <w:rsid w:val="3FEF0729"/>
    <w:rsid w:val="3FF51163"/>
    <w:rsid w:val="40E73C0B"/>
    <w:rsid w:val="418C6EA0"/>
    <w:rsid w:val="41A102B3"/>
    <w:rsid w:val="41D81C71"/>
    <w:rsid w:val="430458CB"/>
    <w:rsid w:val="43C45188"/>
    <w:rsid w:val="43EA1BA4"/>
    <w:rsid w:val="450827B4"/>
    <w:rsid w:val="456613DE"/>
    <w:rsid w:val="45835A41"/>
    <w:rsid w:val="4610399C"/>
    <w:rsid w:val="46676C35"/>
    <w:rsid w:val="49A43C5D"/>
    <w:rsid w:val="4A643F32"/>
    <w:rsid w:val="4AB51850"/>
    <w:rsid w:val="4B1D16C3"/>
    <w:rsid w:val="4B3D5431"/>
    <w:rsid w:val="4BC14352"/>
    <w:rsid w:val="4C7C72A1"/>
    <w:rsid w:val="4C8654D1"/>
    <w:rsid w:val="4DE427FB"/>
    <w:rsid w:val="4E194E12"/>
    <w:rsid w:val="4E377A31"/>
    <w:rsid w:val="4F460E7A"/>
    <w:rsid w:val="4F626372"/>
    <w:rsid w:val="4FAC517C"/>
    <w:rsid w:val="4FFD1A67"/>
    <w:rsid w:val="508939BE"/>
    <w:rsid w:val="510C5AF5"/>
    <w:rsid w:val="511B40AC"/>
    <w:rsid w:val="53D34B71"/>
    <w:rsid w:val="568C3F73"/>
    <w:rsid w:val="56F0460D"/>
    <w:rsid w:val="56F15158"/>
    <w:rsid w:val="57900F32"/>
    <w:rsid w:val="59062011"/>
    <w:rsid w:val="5A1D6551"/>
    <w:rsid w:val="5B99033C"/>
    <w:rsid w:val="5BA21581"/>
    <w:rsid w:val="5BFD0207"/>
    <w:rsid w:val="5C2661F2"/>
    <w:rsid w:val="5CAB44D2"/>
    <w:rsid w:val="5CC22B73"/>
    <w:rsid w:val="5DBA2483"/>
    <w:rsid w:val="5DE163BC"/>
    <w:rsid w:val="5DFE0F97"/>
    <w:rsid w:val="5E292A40"/>
    <w:rsid w:val="5E296AE6"/>
    <w:rsid w:val="5EA12B9A"/>
    <w:rsid w:val="5EC27919"/>
    <w:rsid w:val="5F31209E"/>
    <w:rsid w:val="5F445EE1"/>
    <w:rsid w:val="5F5C13F0"/>
    <w:rsid w:val="609C6059"/>
    <w:rsid w:val="60D8693C"/>
    <w:rsid w:val="61EC1F58"/>
    <w:rsid w:val="620D4FC6"/>
    <w:rsid w:val="6298438A"/>
    <w:rsid w:val="62C55E6E"/>
    <w:rsid w:val="62F24F2F"/>
    <w:rsid w:val="63175BAC"/>
    <w:rsid w:val="634714D0"/>
    <w:rsid w:val="645F2B5D"/>
    <w:rsid w:val="650A78D6"/>
    <w:rsid w:val="663858E4"/>
    <w:rsid w:val="664A3CA3"/>
    <w:rsid w:val="673A3673"/>
    <w:rsid w:val="684903CF"/>
    <w:rsid w:val="693F2356"/>
    <w:rsid w:val="69CD79CF"/>
    <w:rsid w:val="6C1279E0"/>
    <w:rsid w:val="6CAA131E"/>
    <w:rsid w:val="6CEA2EF7"/>
    <w:rsid w:val="6D8D5B2D"/>
    <w:rsid w:val="6D9C5B92"/>
    <w:rsid w:val="6E26299D"/>
    <w:rsid w:val="6F765216"/>
    <w:rsid w:val="70BC0C82"/>
    <w:rsid w:val="70FE0D10"/>
    <w:rsid w:val="7147513F"/>
    <w:rsid w:val="71523BBC"/>
    <w:rsid w:val="721A7BDD"/>
    <w:rsid w:val="7257141B"/>
    <w:rsid w:val="742D63C8"/>
    <w:rsid w:val="747A1632"/>
    <w:rsid w:val="753266BC"/>
    <w:rsid w:val="75623FC3"/>
    <w:rsid w:val="75925E5D"/>
    <w:rsid w:val="765A5DFB"/>
    <w:rsid w:val="76AF40A0"/>
    <w:rsid w:val="77187E8F"/>
    <w:rsid w:val="778D1E8E"/>
    <w:rsid w:val="782F74B9"/>
    <w:rsid w:val="78B95828"/>
    <w:rsid w:val="78CB57AE"/>
    <w:rsid w:val="78E67034"/>
    <w:rsid w:val="790F4ED3"/>
    <w:rsid w:val="79807E6E"/>
    <w:rsid w:val="79CD2983"/>
    <w:rsid w:val="7A634D55"/>
    <w:rsid w:val="7AD6279A"/>
    <w:rsid w:val="7B243ADF"/>
    <w:rsid w:val="7B421755"/>
    <w:rsid w:val="7BDB243B"/>
    <w:rsid w:val="7CC16C5D"/>
    <w:rsid w:val="7E155CD3"/>
    <w:rsid w:val="7E64683F"/>
    <w:rsid w:val="7ED31D30"/>
    <w:rsid w:val="7FB91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rFonts w:eastAsia="华文细黑"/>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200" w:leftChars="200" w:hanging="200" w:hangingChars="2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font5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4253</Words>
  <Characters>4773</Characters>
  <Lines>1</Lines>
  <Paragraphs>1</Paragraphs>
  <TotalTime>27</TotalTime>
  <ScaleCrop>false</ScaleCrop>
  <LinksUpToDate>false</LinksUpToDate>
  <CharactersWithSpaces>4835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王宁敏</cp:lastModifiedBy>
  <dcterms:modified xsi:type="dcterms:W3CDTF">2022-06-23T11:21:50Z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B0E697693BF7419EB901D83C463D8306</vt:lpwstr>
  </property>
</Properties>
</file>