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line="240" w:lineRule="auto"/>
              <w:jc w:val="center"/>
              <w:rPr>
                <w:rFonts w:hint="eastAsia" w:ascii="宋体" w:hAnsi="宋体" w:eastAsia="宋体" w:cs="宋体"/>
                <w:sz w:val="24"/>
                <w:szCs w:val="24"/>
              </w:rPr>
            </w:pPr>
            <w:r>
              <w:rPr>
                <w:rFonts w:hint="eastAsia" w:ascii="宋体" w:hAnsi="宋体" w:eastAsia="宋体" w:cs="宋体"/>
                <w:sz w:val="24"/>
                <w:szCs w:val="24"/>
              </w:rPr>
              <w:t>过程与活动、</w:t>
            </w:r>
          </w:p>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抽样计划</w:t>
            </w:r>
          </w:p>
        </w:tc>
        <w:tc>
          <w:tcPr>
            <w:tcW w:w="960" w:type="dxa"/>
            <w:vMerge w:val="restart"/>
            <w:vAlign w:val="center"/>
          </w:tcPr>
          <w:p>
            <w:pPr>
              <w:spacing w:line="240" w:lineRule="auto"/>
              <w:rPr>
                <w:rFonts w:hint="eastAsia" w:ascii="宋体" w:hAnsi="宋体" w:eastAsia="宋体" w:cs="宋体"/>
                <w:sz w:val="24"/>
                <w:szCs w:val="24"/>
              </w:rPr>
            </w:pPr>
            <w:r>
              <w:rPr>
                <w:rFonts w:hint="eastAsia" w:ascii="宋体" w:hAnsi="宋体" w:eastAsia="宋体" w:cs="宋体"/>
                <w:sz w:val="24"/>
                <w:szCs w:val="24"/>
              </w:rPr>
              <w:t>涉及</w:t>
            </w:r>
          </w:p>
          <w:p>
            <w:pPr>
              <w:spacing w:line="240" w:lineRule="auto"/>
              <w:rPr>
                <w:rFonts w:hint="eastAsia" w:ascii="宋体" w:hAnsi="宋体" w:eastAsia="宋体" w:cs="宋体"/>
                <w:sz w:val="24"/>
                <w:szCs w:val="24"/>
              </w:rPr>
            </w:pPr>
            <w:r>
              <w:rPr>
                <w:rFonts w:hint="eastAsia" w:ascii="宋体" w:hAnsi="宋体" w:eastAsia="宋体" w:cs="宋体"/>
                <w:sz w:val="24"/>
                <w:szCs w:val="24"/>
              </w:rPr>
              <w:t>条款</w:t>
            </w:r>
          </w:p>
        </w:tc>
        <w:tc>
          <w:tcPr>
            <w:tcW w:w="10004" w:type="dxa"/>
            <w:vAlign w:val="center"/>
          </w:tcPr>
          <w:p>
            <w:pPr>
              <w:spacing w:line="240" w:lineRule="auto"/>
              <w:rPr>
                <w:rFonts w:hint="eastAsia" w:ascii="宋体" w:hAnsi="宋体" w:eastAsia="宋体" w:cs="宋体"/>
                <w:sz w:val="24"/>
                <w:szCs w:val="24"/>
              </w:rPr>
            </w:pPr>
            <w:r>
              <w:rPr>
                <w:rFonts w:hint="eastAsia" w:ascii="宋体" w:hAnsi="宋体" w:eastAsia="宋体" w:cs="宋体"/>
                <w:sz w:val="24"/>
                <w:szCs w:val="24"/>
              </w:rPr>
              <w:t>受审核部门：</w:t>
            </w:r>
            <w:r>
              <w:rPr>
                <w:rFonts w:hint="eastAsia" w:ascii="宋体" w:hAnsi="宋体" w:eastAsia="宋体" w:cs="宋体"/>
                <w:sz w:val="24"/>
                <w:szCs w:val="24"/>
                <w:lang w:val="en-US" w:eastAsia="zh-CN"/>
              </w:rPr>
              <w:t>安全环保部；</w:t>
            </w:r>
            <w:r>
              <w:rPr>
                <w:rFonts w:hint="eastAsia" w:ascii="宋体" w:hAnsi="宋体" w:eastAsia="宋体" w:cs="宋体"/>
                <w:sz w:val="24"/>
                <w:szCs w:val="24"/>
              </w:rPr>
              <w:t>主管领导：巩雅丽</w:t>
            </w:r>
            <w:r>
              <w:rPr>
                <w:rFonts w:hint="eastAsia" w:ascii="宋体" w:hAnsi="宋体" w:eastAsia="宋体" w:cs="宋体"/>
                <w:sz w:val="24"/>
                <w:szCs w:val="24"/>
                <w:lang w:eastAsia="zh-CN"/>
              </w:rPr>
              <w:t>；</w:t>
            </w:r>
            <w:r>
              <w:rPr>
                <w:rFonts w:hint="eastAsia" w:ascii="宋体" w:hAnsi="宋体" w:eastAsia="宋体" w:cs="宋体"/>
                <w:sz w:val="24"/>
                <w:szCs w:val="24"/>
              </w:rPr>
              <w:t>陪同人员：</w:t>
            </w:r>
            <w:r>
              <w:rPr>
                <w:rFonts w:hint="eastAsia" w:ascii="宋体" w:hAnsi="宋体" w:eastAsia="宋体" w:cs="宋体"/>
                <w:sz w:val="24"/>
                <w:szCs w:val="24"/>
                <w:lang w:val="en-US" w:eastAsia="zh-CN"/>
              </w:rPr>
              <w:t>巩雅丽</w:t>
            </w:r>
          </w:p>
        </w:tc>
        <w:tc>
          <w:tcPr>
            <w:tcW w:w="1585" w:type="dxa"/>
            <w:vMerge w:val="restart"/>
            <w:vAlign w:val="center"/>
          </w:tcPr>
          <w:p>
            <w:pPr>
              <w:spacing w:line="240" w:lineRule="auto"/>
              <w:rPr>
                <w:rFonts w:hint="eastAsia" w:ascii="宋体" w:hAnsi="宋体" w:eastAsia="宋体" w:cs="宋体"/>
                <w:sz w:val="24"/>
                <w:szCs w:val="24"/>
              </w:rPr>
            </w:pPr>
            <w:r>
              <w:rPr>
                <w:rFonts w:hint="eastAsia" w:ascii="宋体" w:hAnsi="宋体" w:eastAsia="宋体" w:cs="宋体"/>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line="240" w:lineRule="auto"/>
              <w:rPr>
                <w:rFonts w:hint="eastAsia" w:ascii="宋体" w:hAnsi="宋体" w:eastAsia="宋体" w:cs="宋体"/>
                <w:sz w:val="24"/>
                <w:szCs w:val="24"/>
              </w:rPr>
            </w:pPr>
          </w:p>
        </w:tc>
        <w:tc>
          <w:tcPr>
            <w:tcW w:w="960" w:type="dxa"/>
            <w:vMerge w:val="continue"/>
            <w:vAlign w:val="center"/>
          </w:tcPr>
          <w:p>
            <w:pPr>
              <w:spacing w:line="240" w:lineRule="auto"/>
              <w:rPr>
                <w:rFonts w:hint="eastAsia" w:ascii="宋体" w:hAnsi="宋体" w:eastAsia="宋体" w:cs="宋体"/>
                <w:sz w:val="24"/>
                <w:szCs w:val="24"/>
              </w:rPr>
            </w:pPr>
          </w:p>
        </w:tc>
        <w:tc>
          <w:tcPr>
            <w:tcW w:w="10004" w:type="dxa"/>
            <w:vAlign w:val="center"/>
          </w:tcPr>
          <w:p>
            <w:pPr>
              <w:spacing w:before="120" w:line="240" w:lineRule="auto"/>
              <w:rPr>
                <w:rFonts w:hint="eastAsia" w:ascii="宋体" w:hAnsi="宋体" w:eastAsia="宋体" w:cs="宋体"/>
                <w:sz w:val="24"/>
                <w:szCs w:val="24"/>
              </w:rPr>
            </w:pPr>
            <w:r>
              <w:rPr>
                <w:rFonts w:hint="eastAsia" w:ascii="宋体" w:hAnsi="宋体" w:eastAsia="宋体" w:cs="宋体"/>
                <w:sz w:val="24"/>
                <w:szCs w:val="24"/>
              </w:rPr>
              <w:t>审核员：</w:t>
            </w:r>
            <w:r>
              <w:rPr>
                <w:rFonts w:hint="eastAsia" w:ascii="宋体" w:hAnsi="宋体" w:eastAsia="宋体" w:cs="宋体"/>
                <w:sz w:val="24"/>
                <w:szCs w:val="24"/>
                <w:lang w:val="en-US" w:eastAsia="zh-CN"/>
              </w:rPr>
              <w:t>周文；</w:t>
            </w:r>
            <w:r>
              <w:rPr>
                <w:rFonts w:hint="eastAsia" w:ascii="宋体" w:hAnsi="宋体" w:eastAsia="宋体" w:cs="宋体"/>
                <w:sz w:val="24"/>
                <w:szCs w:val="24"/>
              </w:rPr>
              <w:t>审核时间：</w:t>
            </w:r>
            <w:bookmarkStart w:id="0" w:name="审核日期"/>
            <w:r>
              <w:rPr>
                <w:rFonts w:hint="eastAsia" w:ascii="宋体" w:hAnsi="宋体" w:eastAsia="宋体" w:cs="宋体"/>
                <w:sz w:val="24"/>
                <w:szCs w:val="24"/>
              </w:rPr>
              <w:t>2022年06月21</w:t>
            </w:r>
            <w:r>
              <w:rPr>
                <w:rFonts w:hint="eastAsia" w:ascii="宋体" w:hAnsi="宋体" w:eastAsia="宋体" w:cs="宋体"/>
                <w:sz w:val="24"/>
                <w:szCs w:val="24"/>
                <w:lang w:val="en-US" w:eastAsia="zh-CN"/>
              </w:rPr>
              <w:t>-22</w:t>
            </w:r>
            <w:r>
              <w:rPr>
                <w:rFonts w:hint="eastAsia" w:ascii="宋体" w:hAnsi="宋体" w:eastAsia="宋体" w:cs="宋体"/>
                <w:sz w:val="24"/>
                <w:szCs w:val="24"/>
              </w:rPr>
              <w:t>日</w:t>
            </w:r>
            <w:bookmarkEnd w:id="0"/>
          </w:p>
        </w:tc>
        <w:tc>
          <w:tcPr>
            <w:tcW w:w="1585" w:type="dxa"/>
            <w:vMerge w:val="continue"/>
          </w:tcPr>
          <w:p>
            <w:pPr>
              <w:spacing w:line="24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line="240" w:lineRule="auto"/>
              <w:rPr>
                <w:rFonts w:hint="eastAsia" w:ascii="宋体" w:hAnsi="宋体" w:eastAsia="宋体" w:cs="宋体"/>
                <w:sz w:val="24"/>
                <w:szCs w:val="24"/>
              </w:rPr>
            </w:pPr>
          </w:p>
        </w:tc>
        <w:tc>
          <w:tcPr>
            <w:tcW w:w="960" w:type="dxa"/>
            <w:vMerge w:val="continue"/>
            <w:vAlign w:val="center"/>
          </w:tcPr>
          <w:p>
            <w:pPr>
              <w:spacing w:line="240" w:lineRule="auto"/>
              <w:rPr>
                <w:rFonts w:hint="eastAsia" w:ascii="宋体" w:hAnsi="宋体" w:eastAsia="宋体" w:cs="宋体"/>
                <w:sz w:val="24"/>
                <w:szCs w:val="24"/>
              </w:rPr>
            </w:pPr>
          </w:p>
        </w:tc>
        <w:tc>
          <w:tcPr>
            <w:tcW w:w="10004" w:type="dxa"/>
            <w:vAlign w:val="center"/>
          </w:tcPr>
          <w:p>
            <w:pPr>
              <w:spacing w:line="240" w:lineRule="auto"/>
              <w:rPr>
                <w:rFonts w:hint="eastAsia" w:ascii="宋体" w:hAnsi="宋体" w:eastAsia="宋体" w:cs="宋体"/>
                <w:sz w:val="24"/>
                <w:szCs w:val="24"/>
              </w:rPr>
            </w:pPr>
            <w:r>
              <w:rPr>
                <w:rFonts w:hint="eastAsia" w:ascii="宋体" w:hAnsi="宋体" w:eastAsia="宋体" w:cs="宋体"/>
                <w:sz w:val="24"/>
                <w:szCs w:val="24"/>
              </w:rPr>
              <w:t>审核条款：</w:t>
            </w:r>
          </w:p>
          <w:p>
            <w:pPr>
              <w:spacing w:line="240" w:lineRule="auto"/>
              <w:rPr>
                <w:rFonts w:hint="eastAsia" w:ascii="宋体" w:hAnsi="宋体" w:eastAsia="宋体" w:cs="宋体"/>
                <w:sz w:val="24"/>
                <w:szCs w:val="24"/>
                <w:shd w:val="clear" w:color="auto" w:fill="auto"/>
                <w:lang w:val="en-US" w:eastAsia="zh-CN"/>
              </w:rPr>
            </w:pPr>
            <w:r>
              <w:rPr>
                <w:rFonts w:hint="eastAsia" w:ascii="宋体" w:hAnsi="宋体" w:eastAsia="宋体" w:cs="宋体"/>
                <w:sz w:val="24"/>
                <w:szCs w:val="24"/>
                <w:shd w:val="clear" w:color="auto" w:fill="auto"/>
              </w:rPr>
              <w:t>QMS：</w:t>
            </w:r>
            <w:r>
              <w:rPr>
                <w:rFonts w:hint="eastAsia" w:ascii="宋体" w:hAnsi="宋体" w:eastAsia="宋体" w:cs="宋体"/>
                <w:sz w:val="24"/>
                <w:szCs w:val="24"/>
                <w:shd w:val="clear" w:color="auto" w:fill="auto"/>
                <w:lang w:val="en-US" w:eastAsia="zh-CN"/>
              </w:rPr>
              <w:t>5.3、6.2、7.1.4、7.1.6、8.1、8.3、8.5.1、8.5.2、8.5.4、8.5.5、8.5.6、8.6、8.7</w:t>
            </w:r>
          </w:p>
          <w:p>
            <w:pPr>
              <w:spacing w:line="240" w:lineRule="auto"/>
              <w:rPr>
                <w:rFonts w:hint="eastAsia" w:ascii="宋体" w:hAnsi="宋体" w:eastAsia="宋体" w:cs="宋体"/>
                <w:sz w:val="24"/>
                <w:szCs w:val="24"/>
                <w:shd w:val="clear" w:color="auto" w:fill="auto"/>
                <w:lang w:val="en-US" w:eastAsia="zh-CN"/>
              </w:rPr>
            </w:pPr>
            <w:r>
              <w:rPr>
                <w:rFonts w:hint="eastAsia" w:ascii="宋体" w:hAnsi="宋体" w:eastAsia="宋体" w:cs="宋体"/>
                <w:sz w:val="24"/>
                <w:szCs w:val="24"/>
                <w:shd w:val="clear" w:color="auto" w:fill="auto"/>
              </w:rPr>
              <w:t xml:space="preserve">EMS: </w:t>
            </w:r>
            <w:r>
              <w:rPr>
                <w:rFonts w:hint="eastAsia" w:ascii="宋体" w:hAnsi="宋体" w:eastAsia="宋体" w:cs="宋体"/>
                <w:sz w:val="24"/>
                <w:szCs w:val="24"/>
                <w:shd w:val="clear" w:color="auto" w:fill="auto"/>
                <w:lang w:val="en-US" w:eastAsia="zh-CN"/>
              </w:rPr>
              <w:t>5.3、6.1.2、6.1.3、6.1.4、6.2、8.1、8.2、9.1.2</w:t>
            </w:r>
          </w:p>
          <w:p>
            <w:pPr>
              <w:spacing w:line="240" w:lineRule="auto"/>
              <w:rPr>
                <w:rFonts w:hint="eastAsia" w:ascii="宋体" w:hAnsi="宋体" w:eastAsia="宋体" w:cs="宋体"/>
                <w:sz w:val="24"/>
                <w:szCs w:val="24"/>
                <w:shd w:val="clear" w:color="auto" w:fill="auto"/>
                <w:lang w:val="en-US" w:eastAsia="zh-CN"/>
              </w:rPr>
            </w:pPr>
            <w:r>
              <w:rPr>
                <w:rFonts w:hint="eastAsia" w:ascii="宋体" w:hAnsi="宋体" w:eastAsia="宋体" w:cs="宋体"/>
                <w:sz w:val="24"/>
                <w:szCs w:val="24"/>
                <w:shd w:val="clear" w:color="auto" w:fill="auto"/>
              </w:rPr>
              <w:t>OHS:</w:t>
            </w:r>
            <w:r>
              <w:rPr>
                <w:rFonts w:hint="eastAsia" w:ascii="宋体" w:hAnsi="宋体" w:eastAsia="宋体" w:cs="宋体"/>
                <w:sz w:val="24"/>
                <w:szCs w:val="24"/>
                <w:shd w:val="clear" w:color="auto" w:fill="auto"/>
                <w:lang w:val="en-US" w:eastAsia="zh-CN"/>
              </w:rPr>
              <w:t>5.3、6.1.2、6.1.3、6.1.4、6.2、8.1、8.2、9.1.2</w:t>
            </w:r>
          </w:p>
          <w:p>
            <w:pPr>
              <w:pStyle w:val="3"/>
              <w:spacing w:line="240" w:lineRule="auto"/>
              <w:rPr>
                <w:rFonts w:hint="eastAsia" w:ascii="宋体" w:hAnsi="宋体" w:eastAsia="宋体" w:cs="宋体"/>
                <w:sz w:val="24"/>
                <w:szCs w:val="24"/>
              </w:rPr>
            </w:pPr>
            <w:r>
              <w:rPr>
                <w:rFonts w:hint="eastAsia" w:ascii="宋体" w:hAnsi="宋体" w:eastAsia="宋体" w:cs="宋体"/>
                <w:bCs w:val="0"/>
                <w:spacing w:val="0"/>
                <w:kern w:val="2"/>
                <w:sz w:val="24"/>
                <w:szCs w:val="24"/>
                <w:shd w:val="clear" w:color="auto" w:fill="auto"/>
                <w:lang w:val="en-US" w:eastAsia="zh-CN" w:bidi="ar-SA"/>
              </w:rPr>
              <w:t>HSE</w:t>
            </w:r>
            <w:r>
              <w:rPr>
                <w:rFonts w:hint="eastAsia" w:ascii="宋体" w:hAnsi="宋体" w:eastAsia="宋体" w:cs="宋体"/>
                <w:b/>
                <w:bCs/>
                <w:sz w:val="24"/>
                <w:szCs w:val="24"/>
                <w:shd w:val="clear" w:color="auto" w:fill="auto"/>
                <w:lang w:val="en-US" w:eastAsia="zh-CN"/>
              </w:rPr>
              <w:t>:1.4、2.2、2.3、2.4、4.2、4、5.1</w:t>
            </w:r>
          </w:p>
        </w:tc>
        <w:tc>
          <w:tcPr>
            <w:tcW w:w="1585" w:type="dxa"/>
            <w:vMerge w:val="continue"/>
          </w:tcPr>
          <w:p>
            <w:pPr>
              <w:spacing w:line="24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line="240" w:lineRule="auto"/>
              <w:rPr>
                <w:rFonts w:hint="eastAsia" w:ascii="宋体" w:hAnsi="宋体" w:eastAsia="宋体" w:cs="宋体"/>
                <w:sz w:val="24"/>
                <w:szCs w:val="24"/>
              </w:rPr>
            </w:pPr>
            <w:r>
              <w:rPr>
                <w:rFonts w:hint="eastAsia" w:ascii="宋体" w:hAnsi="宋体" w:eastAsia="宋体" w:cs="宋体"/>
                <w:sz w:val="24"/>
                <w:szCs w:val="24"/>
                <w:lang w:val="en-US" w:eastAsia="zh-CN"/>
              </w:rPr>
              <w:t>权责分配</w:t>
            </w:r>
          </w:p>
        </w:tc>
        <w:tc>
          <w:tcPr>
            <w:tcW w:w="960" w:type="dxa"/>
          </w:tcPr>
          <w:p>
            <w:pPr>
              <w:spacing w:line="24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QES5.3</w:t>
            </w:r>
            <w:r>
              <w:rPr>
                <w:rFonts w:hint="eastAsia" w:ascii="宋体" w:hAnsi="宋体" w:cs="宋体"/>
                <w:sz w:val="24"/>
                <w:szCs w:val="24"/>
                <w:lang w:val="en-US" w:eastAsia="zh-CN"/>
              </w:rPr>
              <w:t>/H1.4</w:t>
            </w:r>
          </w:p>
        </w:tc>
        <w:tc>
          <w:tcPr>
            <w:tcW w:w="10004" w:type="dxa"/>
          </w:tcPr>
          <w:p>
            <w:pPr>
              <w:spacing w:line="24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---部门负责人</w:t>
            </w:r>
            <w:r>
              <w:rPr>
                <w:rFonts w:hint="eastAsia" w:ascii="宋体" w:hAnsi="宋体" w:eastAsia="宋体" w:cs="宋体"/>
                <w:sz w:val="24"/>
                <w:szCs w:val="24"/>
              </w:rPr>
              <w:t>巩雅丽</w:t>
            </w:r>
            <w:r>
              <w:rPr>
                <w:rFonts w:hint="eastAsia" w:ascii="宋体" w:hAnsi="宋体" w:eastAsia="宋体" w:cs="宋体"/>
                <w:sz w:val="24"/>
                <w:szCs w:val="24"/>
                <w:lang w:val="en-US" w:eastAsia="zh-CN"/>
              </w:rPr>
              <w:t>介绍,本部门主要负责以下工作内容：</w:t>
            </w:r>
          </w:p>
          <w:p>
            <w:pPr>
              <w:spacing w:line="24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1.负责组织做好收集有关企业运营与服务的国家法律、法规与其他要求文件，建立相关的档案文件，并保持持续跟踪和更新，为开展各项工作做好依法合规的基础工作。</w:t>
            </w:r>
          </w:p>
          <w:p>
            <w:pPr>
              <w:spacing w:line="24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2．负责组织对各相关行业或项目的风险进行辨识，建立相关的风险清单，按照风险大小进行分级和制定相应措施（包括重大危险源），用于更好的服务于客户。</w:t>
            </w:r>
          </w:p>
          <w:p>
            <w:pPr>
              <w:spacing w:line="24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3．负责组织开展专业培训工作，保证施工人员资质和业务能力满足施工现场需要，不断提高施工队伍的技术水平。</w:t>
            </w:r>
          </w:p>
          <w:p>
            <w:p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......等等。</w:t>
            </w:r>
          </w:p>
          <w:p>
            <w:pPr>
              <w:spacing w:line="24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——跟踪核查其“管理手册”</w:t>
            </w:r>
            <w:r>
              <w:rPr>
                <w:rFonts w:hint="eastAsia" w:ascii="宋体" w:hAnsi="宋体" w:eastAsia="宋体" w:cs="宋体"/>
                <w:sz w:val="24"/>
                <w:szCs w:val="24"/>
              </w:rPr>
              <w:t>3.2.6 安全环保部</w:t>
            </w:r>
            <w:r>
              <w:rPr>
                <w:rFonts w:hint="eastAsia" w:ascii="宋体" w:hAnsi="宋体" w:eastAsia="宋体" w:cs="宋体"/>
                <w:sz w:val="24"/>
                <w:szCs w:val="24"/>
                <w:lang w:val="en-US" w:eastAsia="zh-CN"/>
              </w:rPr>
              <w:t>的内容，其</w:t>
            </w:r>
            <w:r>
              <w:rPr>
                <w:rFonts w:hint="eastAsia" w:ascii="宋体" w:hAnsi="宋体" w:eastAsia="宋体" w:cs="宋体"/>
                <w:sz w:val="24"/>
                <w:szCs w:val="24"/>
              </w:rPr>
              <w:t>安全环保部</w:t>
            </w:r>
            <w:r>
              <w:rPr>
                <w:rFonts w:hint="eastAsia" w:ascii="宋体" w:hAnsi="宋体" w:eastAsia="宋体" w:cs="宋体"/>
                <w:sz w:val="24"/>
                <w:szCs w:val="24"/>
                <w:lang w:val="en-US" w:eastAsia="zh-CN"/>
              </w:rPr>
              <w:t>负责人表述与文件规定基本一致。</w:t>
            </w:r>
          </w:p>
          <w:p>
            <w:pPr>
              <w:spacing w:line="24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——岗位、职责和权限明确。</w:t>
            </w:r>
          </w:p>
          <w:p>
            <w:pPr>
              <w:pStyle w:val="2"/>
              <w:spacing w:line="240" w:lineRule="auto"/>
              <w:rPr>
                <w:rFonts w:hint="eastAsia" w:ascii="宋体" w:hAnsi="宋体" w:eastAsia="宋体" w:cs="宋体"/>
                <w:sz w:val="24"/>
                <w:szCs w:val="24"/>
                <w:lang w:val="en-US" w:eastAsia="zh-CN"/>
              </w:rPr>
            </w:pPr>
          </w:p>
          <w:p>
            <w:pPr>
              <w:pStyle w:val="2"/>
              <w:spacing w:line="240" w:lineRule="auto"/>
              <w:rPr>
                <w:rFonts w:hint="eastAsia" w:ascii="宋体" w:hAnsi="宋体" w:eastAsia="宋体" w:cs="宋体"/>
                <w:sz w:val="24"/>
                <w:szCs w:val="24"/>
                <w:lang w:val="en-US" w:eastAsia="zh-CN"/>
              </w:rPr>
            </w:pPr>
          </w:p>
        </w:tc>
        <w:tc>
          <w:tcPr>
            <w:tcW w:w="1585" w:type="dxa"/>
          </w:tcPr>
          <w:p>
            <w:pPr>
              <w:spacing w:line="240" w:lineRule="auto"/>
              <w:rPr>
                <w:rFonts w:hint="eastAsia" w:ascii="宋体" w:hAnsi="宋体" w:eastAsia="宋体" w:cs="宋体"/>
                <w:sz w:val="24"/>
                <w:szCs w:val="24"/>
                <w:lang w:val="en-US" w:eastAsia="zh-CN"/>
              </w:rPr>
            </w:pPr>
            <w:r>
              <w:rPr>
                <w:rFonts w:hint="eastAsia" w:ascii="宋体" w:hAnsi="宋体" w:cs="宋体"/>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pPr>
              <w:spacing w:line="240" w:lineRule="auto"/>
              <w:rPr>
                <w:rFonts w:hint="eastAsia" w:ascii="宋体" w:hAnsi="宋体" w:eastAsia="宋体" w:cs="宋体"/>
                <w:sz w:val="24"/>
                <w:szCs w:val="24"/>
              </w:rPr>
            </w:pPr>
            <w:r>
              <w:rPr>
                <w:rFonts w:hint="eastAsia" w:ascii="宋体" w:hAnsi="宋体" w:eastAsia="宋体" w:cs="宋体"/>
                <w:sz w:val="24"/>
                <w:szCs w:val="24"/>
                <w:lang w:val="en-US" w:eastAsia="zh-CN"/>
              </w:rPr>
              <w:t>目标管理</w:t>
            </w:r>
          </w:p>
        </w:tc>
        <w:tc>
          <w:tcPr>
            <w:tcW w:w="960" w:type="dxa"/>
          </w:tcPr>
          <w:p>
            <w:pPr>
              <w:spacing w:line="24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QES6.2</w:t>
            </w:r>
            <w:r>
              <w:rPr>
                <w:rFonts w:hint="eastAsia" w:ascii="宋体" w:hAnsi="宋体" w:cs="宋体"/>
                <w:sz w:val="24"/>
                <w:szCs w:val="24"/>
                <w:lang w:val="en-US" w:eastAsia="zh-CN"/>
              </w:rPr>
              <w:t>/H2.4</w:t>
            </w:r>
          </w:p>
        </w:tc>
        <w:tc>
          <w:tcPr>
            <w:tcW w:w="10004" w:type="dxa"/>
          </w:tcPr>
          <w:p>
            <w:pPr>
              <w:spacing w:line="24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--策划有《</w:t>
            </w:r>
            <w:r>
              <w:rPr>
                <w:rFonts w:hint="eastAsia" w:ascii="宋体" w:hAnsi="宋体" w:eastAsia="宋体" w:cs="宋体"/>
                <w:sz w:val="24"/>
                <w:szCs w:val="24"/>
              </w:rPr>
              <w:t>管理目标管理程序</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及环境、安全管理方案；对目标的制订准则，考核方法、频率、责任部门等做出了规定；编审批日期齐全。——本部门主控。</w:t>
            </w:r>
          </w:p>
          <w:p>
            <w:p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提供有“管理目标及分解完成情况记录”，内容包括公司的QESH的</w:t>
            </w:r>
            <w:bookmarkStart w:id="1" w:name="OLE_LINK2"/>
            <w:r>
              <w:rPr>
                <w:rFonts w:hint="eastAsia" w:ascii="宋体" w:hAnsi="宋体" w:eastAsia="宋体" w:cs="宋体"/>
                <w:sz w:val="24"/>
                <w:szCs w:val="24"/>
                <w:lang w:val="en-US" w:eastAsia="zh-CN"/>
              </w:rPr>
              <w:t>2022年管理目标、目标分解措施表</w:t>
            </w:r>
            <w:bookmarkEnd w:id="1"/>
            <w:r>
              <w:rPr>
                <w:rFonts w:hint="eastAsia" w:ascii="宋体" w:hAnsi="宋体" w:eastAsia="宋体" w:cs="宋体"/>
                <w:sz w:val="24"/>
                <w:szCs w:val="24"/>
                <w:lang w:val="en-US" w:eastAsia="zh-CN"/>
              </w:rPr>
              <w:t>、</w:t>
            </w:r>
            <w:bookmarkStart w:id="2" w:name="OLE_LINK1"/>
            <w:r>
              <w:rPr>
                <w:rFonts w:hint="eastAsia" w:ascii="宋体" w:hAnsi="宋体" w:eastAsia="宋体" w:cs="宋体"/>
                <w:sz w:val="24"/>
                <w:szCs w:val="24"/>
                <w:lang w:val="en-US" w:eastAsia="zh-CN"/>
              </w:rPr>
              <w:t>目标完成情况表</w:t>
            </w:r>
            <w:bookmarkEnd w:id="2"/>
            <w:r>
              <w:rPr>
                <w:rFonts w:hint="eastAsia" w:ascii="宋体" w:hAnsi="宋体" w:eastAsia="宋体" w:cs="宋体"/>
                <w:sz w:val="24"/>
                <w:szCs w:val="24"/>
                <w:lang w:val="en-US" w:eastAsia="zh-CN"/>
              </w:rPr>
              <w:t>。</w:t>
            </w:r>
          </w:p>
          <w:p>
            <w:pPr>
              <w:pStyle w:val="9"/>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核查“2022年管理目标”及“目标分解措施表”</w:t>
            </w:r>
          </w:p>
          <w:p>
            <w:pPr>
              <w:pStyle w:val="9"/>
              <w:numPr>
                <w:ilvl w:val="0"/>
                <w:numId w:val="1"/>
              </w:num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公司质量、环境、职业健康安全、HSE 管理目标:</w:t>
            </w:r>
          </w:p>
          <w:p>
            <w:pPr>
              <w:pStyle w:val="9"/>
              <w:numPr>
                <w:ilvl w:val="0"/>
                <w:numId w:val="2"/>
              </w:num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顾客满意度95%以上</w:t>
            </w:r>
          </w:p>
          <w:p>
            <w:pPr>
              <w:pStyle w:val="9"/>
              <w:numPr>
                <w:ilvl w:val="0"/>
                <w:numId w:val="0"/>
              </w:num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2.合同履约率100%。</w:t>
            </w:r>
          </w:p>
          <w:p>
            <w:pPr>
              <w:pStyle w:val="9"/>
              <w:numPr>
                <w:ilvl w:val="0"/>
                <w:numId w:val="0"/>
              </w:num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3.杜绝人身伤害和健康损害事件发生;</w:t>
            </w:r>
          </w:p>
          <w:p>
            <w:pPr>
              <w:pStyle w:val="9"/>
              <w:numPr>
                <w:ilvl w:val="0"/>
                <w:numId w:val="0"/>
              </w:num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4.杜绝环境污染事故发生;</w:t>
            </w:r>
          </w:p>
          <w:p>
            <w:pPr>
              <w:pStyle w:val="9"/>
              <w:numPr>
                <w:ilvl w:val="0"/>
                <w:numId w:val="0"/>
              </w:num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5.重视卫生防疫，关心员工健康,职业病发生率为0;</w:t>
            </w:r>
          </w:p>
          <w:p>
            <w:pPr>
              <w:pStyle w:val="9"/>
              <w:numPr>
                <w:ilvl w:val="0"/>
                <w:numId w:val="0"/>
              </w:num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6.员工 HSE 教育面100%。</w:t>
            </w:r>
          </w:p>
          <w:p>
            <w:pPr>
              <w:pStyle w:val="9"/>
              <w:numPr>
                <w:ilvl w:val="0"/>
                <w:numId w:val="0"/>
              </w:numPr>
              <w:spacing w:line="240" w:lineRule="auto"/>
              <w:rPr>
                <w:rFonts w:hint="eastAsia" w:ascii="宋体" w:hAnsi="宋体" w:eastAsia="宋体" w:cs="宋体"/>
                <w:sz w:val="24"/>
                <w:szCs w:val="24"/>
                <w:lang w:val="en-US" w:eastAsia="zh-CN"/>
              </w:rPr>
            </w:pPr>
          </w:p>
          <w:p>
            <w:pPr>
              <w:pStyle w:val="9"/>
              <w:numPr>
                <w:ilvl w:val="0"/>
                <w:numId w:val="0"/>
              </w:num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措施计划</w:t>
            </w:r>
          </w:p>
          <w:p>
            <w:pPr>
              <w:pStyle w:val="9"/>
              <w:numPr>
                <w:ilvl w:val="0"/>
                <w:numId w:val="0"/>
              </w:num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1设定专人定期对归口顾客进行满意度调查和回访工作</w:t>
            </w:r>
          </w:p>
          <w:p>
            <w:pPr>
              <w:pStyle w:val="9"/>
              <w:numPr>
                <w:ilvl w:val="0"/>
                <w:numId w:val="0"/>
              </w:num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2接收顾客咨询\投诉\请求,并及时转达相关责任人进行处理3.跟踪了解情况,并主动向顾客反馈</w:t>
            </w:r>
          </w:p>
          <w:p>
            <w:pPr>
              <w:pStyle w:val="9"/>
              <w:numPr>
                <w:ilvl w:val="0"/>
                <w:numId w:val="0"/>
              </w:num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1定期巡查2设置专人负责协调督促3制定安全责任制度</w:t>
            </w:r>
          </w:p>
          <w:p>
            <w:pPr>
              <w:pStyle w:val="9"/>
              <w:numPr>
                <w:ilvl w:val="0"/>
                <w:numId w:val="0"/>
              </w:num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1按规定定期发放劳保防护用品2.对员工进行定期体检</w:t>
            </w:r>
          </w:p>
          <w:p>
            <w:pPr>
              <w:pStyle w:val="9"/>
              <w:numPr>
                <w:ilvl w:val="0"/>
                <w:numId w:val="0"/>
              </w:num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1安排专人员负责资证管理工作2协调资证更新办理相关事宜3规范人员任职要求,</w:t>
            </w:r>
          </w:p>
          <w:p>
            <w:pPr>
              <w:pStyle w:val="9"/>
              <w:numPr>
                <w:ilvl w:val="0"/>
                <w:numId w:val="0"/>
              </w:num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1完善受控文件清单2严格执行文件控制程序</w:t>
            </w:r>
          </w:p>
          <w:p>
            <w:pPr>
              <w:pStyle w:val="9"/>
              <w:numPr>
                <w:ilvl w:val="0"/>
                <w:numId w:val="3"/>
              </w:num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协调选定合格危废物处理供应商对危废物进场无害处理</w:t>
            </w:r>
          </w:p>
          <w:p>
            <w:pPr>
              <w:pStyle w:val="9"/>
              <w:numPr>
                <w:ilvl w:val="0"/>
                <w:numId w:val="0"/>
              </w:num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1制定公司资金支出计划2制定资金预算方案，确保资金足额到位</w:t>
            </w:r>
          </w:p>
          <w:p>
            <w:pPr>
              <w:pStyle w:val="9"/>
              <w:numPr>
                <w:ilvl w:val="0"/>
                <w:numId w:val="0"/>
              </w:numPr>
              <w:spacing w:line="240" w:lineRule="auto"/>
              <w:rPr>
                <w:rFonts w:hint="eastAsia" w:ascii="宋体" w:hAnsi="宋体" w:eastAsia="宋体" w:cs="宋体"/>
                <w:sz w:val="24"/>
                <w:szCs w:val="24"/>
                <w:lang w:val="en-US" w:eastAsia="zh-CN"/>
              </w:rPr>
            </w:pPr>
          </w:p>
          <w:p>
            <w:pPr>
              <w:pStyle w:val="9"/>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跟踪核查“目标完成情况表”内容显示，截止到2022.6.17.公司及部门目标均已完成。</w:t>
            </w:r>
          </w:p>
          <w:p>
            <w:pPr>
              <w:pStyle w:val="9"/>
              <w:spacing w:line="240" w:lineRule="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692140" cy="3558540"/>
                  <wp:effectExtent l="0" t="0" r="762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692140" cy="3558540"/>
                          </a:xfrm>
                          <a:prstGeom prst="rect">
                            <a:avLst/>
                          </a:prstGeom>
                          <a:noFill/>
                          <a:ln>
                            <a:noFill/>
                          </a:ln>
                        </pic:spPr>
                      </pic:pic>
                    </a:graphicData>
                  </a:graphic>
                </wp:inline>
              </w:drawing>
            </w:r>
          </w:p>
          <w:p>
            <w:pPr>
              <w:pStyle w:val="9"/>
              <w:spacing w:line="240" w:lineRule="auto"/>
              <w:rPr>
                <w:rFonts w:hint="eastAsia" w:ascii="宋体" w:hAnsi="宋体" w:eastAsia="宋体" w:cs="宋体"/>
                <w:sz w:val="24"/>
                <w:szCs w:val="24"/>
                <w:lang w:val="en-US" w:eastAsia="zh-CN"/>
              </w:rPr>
            </w:pPr>
          </w:p>
          <w:p>
            <w:pPr>
              <w:spacing w:line="240" w:lineRule="auto"/>
              <w:jc w:val="left"/>
              <w:rPr>
                <w:rFonts w:hint="eastAsia"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---查“环境、安全目标、指标及管理方案”，2022.2.10.；包括对危固废排放及防止火灾发生；进行管控，策划了目标指标及管理措施，落实到部门、责任人及控制时间。核查如下：</w:t>
            </w:r>
          </w:p>
          <w:p>
            <w:pPr>
              <w:pStyle w:val="9"/>
              <w:numPr>
                <w:ilvl w:val="0"/>
                <w:numId w:val="0"/>
              </w:numPr>
              <w:spacing w:line="240" w:lineRule="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495800" cy="307530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4495800" cy="3075305"/>
                          </a:xfrm>
                          <a:prstGeom prst="rect">
                            <a:avLst/>
                          </a:prstGeom>
                          <a:noFill/>
                          <a:ln>
                            <a:noFill/>
                          </a:ln>
                        </pic:spPr>
                      </pic:pic>
                    </a:graphicData>
                  </a:graphic>
                </wp:inline>
              </w:drawing>
            </w:r>
          </w:p>
          <w:p>
            <w:pPr>
              <w:pStyle w:val="9"/>
              <w:numPr>
                <w:ilvl w:val="0"/>
                <w:numId w:val="0"/>
              </w:num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4792980" cy="3411855"/>
                  <wp:effectExtent l="0" t="0" r="7620" b="190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4792980" cy="3411855"/>
                          </a:xfrm>
                          <a:prstGeom prst="rect">
                            <a:avLst/>
                          </a:prstGeom>
                          <a:noFill/>
                          <a:ln>
                            <a:noFill/>
                          </a:ln>
                        </pic:spPr>
                      </pic:pic>
                    </a:graphicData>
                  </a:graphic>
                </wp:inline>
              </w:drawing>
            </w:r>
          </w:p>
          <w:p>
            <w:pPr>
              <w:pStyle w:val="9"/>
              <w:numPr>
                <w:ilvl w:val="0"/>
                <w:numId w:val="0"/>
              </w:numPr>
              <w:spacing w:line="240" w:lineRule="auto"/>
              <w:rPr>
                <w:rFonts w:hint="eastAsia" w:ascii="宋体" w:hAnsi="宋体" w:eastAsia="宋体" w:cs="宋体"/>
                <w:sz w:val="24"/>
                <w:szCs w:val="24"/>
                <w:lang w:val="en-US" w:eastAsia="zh-CN"/>
              </w:rPr>
            </w:pPr>
          </w:p>
          <w:p>
            <w:p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目标管理过程基本符合要求。</w:t>
            </w:r>
          </w:p>
          <w:p>
            <w:pPr>
              <w:pStyle w:val="9"/>
              <w:numPr>
                <w:ilvl w:val="0"/>
                <w:numId w:val="0"/>
              </w:numPr>
              <w:spacing w:line="240" w:lineRule="auto"/>
              <w:rPr>
                <w:rFonts w:hint="eastAsia" w:ascii="宋体" w:hAnsi="宋体" w:eastAsia="宋体" w:cs="宋体"/>
                <w:sz w:val="24"/>
                <w:szCs w:val="24"/>
                <w:lang w:val="en-US" w:eastAsia="zh-CN"/>
              </w:rPr>
            </w:pPr>
          </w:p>
        </w:tc>
        <w:tc>
          <w:tcPr>
            <w:tcW w:w="1585" w:type="dxa"/>
          </w:tcPr>
          <w:p>
            <w:pPr>
              <w:spacing w:line="240" w:lineRule="auto"/>
              <w:rPr>
                <w:rFonts w:hint="eastAsia" w:ascii="宋体" w:hAnsi="宋体" w:eastAsia="宋体" w:cs="宋体"/>
                <w:sz w:val="24"/>
                <w:szCs w:val="24"/>
                <w:lang w:val="en-US" w:eastAsia="zh-CN"/>
              </w:rPr>
            </w:pPr>
            <w:r>
              <w:rPr>
                <w:rFonts w:hint="eastAsia" w:ascii="宋体" w:hAnsi="宋体" w:cs="宋体"/>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240" w:lineRule="auto"/>
              <w:rPr>
                <w:rFonts w:hint="eastAsia" w:ascii="宋体" w:hAnsi="宋体" w:eastAsia="宋体" w:cs="宋体"/>
                <w:sz w:val="24"/>
                <w:szCs w:val="24"/>
              </w:rPr>
            </w:pPr>
          </w:p>
        </w:tc>
        <w:tc>
          <w:tcPr>
            <w:tcW w:w="960" w:type="dxa"/>
          </w:tcPr>
          <w:p>
            <w:pPr>
              <w:spacing w:line="24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ES6.1.2/6.1.4</w:t>
            </w:r>
            <w:r>
              <w:rPr>
                <w:rFonts w:hint="eastAsia" w:ascii="宋体" w:hAnsi="宋体" w:cs="宋体"/>
                <w:sz w:val="24"/>
                <w:szCs w:val="24"/>
                <w:lang w:val="en-US" w:eastAsia="zh-CN"/>
              </w:rPr>
              <w:t>/H2.2/2.3</w:t>
            </w:r>
          </w:p>
        </w:tc>
        <w:tc>
          <w:tcPr>
            <w:tcW w:w="10004" w:type="dxa"/>
          </w:tcPr>
          <w:p>
            <w:pPr>
              <w:spacing w:line="24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---制订有《环境因素识别与评价控制程序》、《</w:t>
            </w:r>
            <w:r>
              <w:rPr>
                <w:rFonts w:hint="eastAsia" w:ascii="宋体" w:hAnsi="宋体" w:eastAsia="宋体" w:cs="宋体"/>
                <w:sz w:val="24"/>
                <w:szCs w:val="24"/>
              </w:rPr>
              <w:t>危险源辨识与风险评价控制程序</w:t>
            </w:r>
            <w:r>
              <w:rPr>
                <w:rFonts w:hint="eastAsia" w:ascii="宋体" w:hAnsi="宋体" w:eastAsia="宋体" w:cs="宋体"/>
                <w:sz w:val="24"/>
                <w:szCs w:val="24"/>
                <w:lang w:val="en-US" w:eastAsia="zh-CN"/>
              </w:rPr>
              <w:t>》，策划有运行准则，本部门主控。</w:t>
            </w:r>
          </w:p>
          <w:p>
            <w:pPr>
              <w:spacing w:line="24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---查“环境因素调查评价表”</w:t>
            </w:r>
            <w:bookmarkStart w:id="3" w:name="OLE_LINK3"/>
            <w:r>
              <w:rPr>
                <w:rFonts w:hint="eastAsia" w:ascii="宋体" w:hAnsi="宋体" w:eastAsia="宋体" w:cs="宋体"/>
                <w:sz w:val="24"/>
                <w:szCs w:val="24"/>
                <w:lang w:val="en-US" w:eastAsia="zh-CN"/>
              </w:rPr>
              <w:t>2022.2.；按部门、按类型识别公司业务经营管理全过程的环境因素，并进行了打分评价。经识别安全环保部的环境因素共27项；抽查如下：</w:t>
            </w:r>
          </w:p>
          <w:bookmarkEnd w:id="3"/>
          <w:p>
            <w:pPr>
              <w:spacing w:line="240" w:lineRule="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983480" cy="2107565"/>
                  <wp:effectExtent l="0" t="0" r="0"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4983480" cy="2107565"/>
                          </a:xfrm>
                          <a:prstGeom prst="rect">
                            <a:avLst/>
                          </a:prstGeom>
                          <a:noFill/>
                          <a:ln>
                            <a:noFill/>
                          </a:ln>
                        </pic:spPr>
                      </pic:pic>
                    </a:graphicData>
                  </a:graphic>
                </wp:inline>
              </w:drawing>
            </w:r>
          </w:p>
          <w:p>
            <w:pPr>
              <w:pStyle w:val="9"/>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跟踪核查“重要环境因素清单”，经识别的重要环境因素为潜在火灾和灯管及硒鼓的废弃共2项，制订的控制措施：应急预案、管理制度、盈创公司统一回收处理。</w:t>
            </w:r>
          </w:p>
          <w:p>
            <w:pPr>
              <w:pStyle w:val="9"/>
              <w:spacing w:line="240" w:lineRule="auto"/>
              <w:rPr>
                <w:rFonts w:hint="eastAsia" w:ascii="宋体" w:hAnsi="宋体" w:eastAsia="宋体" w:cs="宋体"/>
                <w:sz w:val="24"/>
                <w:szCs w:val="24"/>
                <w:lang w:val="en-US" w:eastAsia="zh-CN"/>
              </w:rPr>
            </w:pPr>
          </w:p>
          <w:p>
            <w:pPr>
              <w:spacing w:line="24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---查“危险源辩识及风险评价表”2022.2.；按部门、按类型识别公司业务经营管理全过程的危险源，并进行了打分评价。经识别安全环保部的危险源共25项；抽查如下：</w:t>
            </w:r>
          </w:p>
          <w:p>
            <w:pPr>
              <w:pStyle w:val="9"/>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6214745" cy="2222500"/>
                  <wp:effectExtent l="0" t="0" r="3175" b="254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6214745" cy="2222500"/>
                          </a:xfrm>
                          <a:prstGeom prst="rect">
                            <a:avLst/>
                          </a:prstGeom>
                          <a:noFill/>
                          <a:ln>
                            <a:noFill/>
                          </a:ln>
                        </pic:spPr>
                      </pic:pic>
                    </a:graphicData>
                  </a:graphic>
                </wp:inline>
              </w:drawing>
            </w:r>
          </w:p>
          <w:p>
            <w:pPr>
              <w:pStyle w:val="9"/>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跟踪核查“重大危险源清单”，</w:t>
            </w:r>
          </w:p>
          <w:p>
            <w:pPr>
              <w:pStyle w:val="9"/>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重大危险源：</w:t>
            </w:r>
          </w:p>
          <w:p>
            <w:pPr>
              <w:pStyle w:val="9"/>
              <w:numPr>
                <w:ilvl w:val="0"/>
                <w:numId w:val="4"/>
              </w:num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新冠状病毒防控不利导致员工感染病毒</w:t>
            </w:r>
          </w:p>
          <w:p>
            <w:pPr>
              <w:pStyle w:val="9"/>
              <w:numPr>
                <w:ilvl w:val="0"/>
                <w:numId w:val="0"/>
              </w:num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控制措施：</w:t>
            </w:r>
          </w:p>
          <w:p>
            <w:pPr>
              <w:spacing w:line="240" w:lineRule="auto"/>
              <w:jc w:val="left"/>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.严格遵守相关疫情管控法规，做好个人防护</w:t>
            </w:r>
          </w:p>
          <w:p>
            <w:pPr>
              <w:pStyle w:val="9"/>
              <w:spacing w:line="240" w:lineRule="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.执行安徽盈创公司疫情防控预案</w:t>
            </w:r>
          </w:p>
          <w:p>
            <w:pPr>
              <w:pStyle w:val="9"/>
              <w:spacing w:line="240" w:lineRule="auto"/>
              <w:rPr>
                <w:rFonts w:hint="eastAsia" w:ascii="宋体" w:hAnsi="宋体" w:eastAsia="宋体" w:cs="宋体"/>
                <w:sz w:val="24"/>
                <w:szCs w:val="24"/>
              </w:rPr>
            </w:pPr>
          </w:p>
          <w:p>
            <w:pPr>
              <w:pStyle w:val="9"/>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2、违规使用电气造成火灾</w:t>
            </w:r>
          </w:p>
          <w:p>
            <w:pPr>
              <w:pStyle w:val="9"/>
              <w:numPr>
                <w:ilvl w:val="0"/>
                <w:numId w:val="0"/>
              </w:num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控制措施：</w:t>
            </w:r>
          </w:p>
          <w:p>
            <w:pPr>
              <w:spacing w:line="240" w:lineRule="auto"/>
              <w:jc w:val="left"/>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.严格遵守用电规范</w:t>
            </w:r>
          </w:p>
          <w:p>
            <w:pPr>
              <w:pStyle w:val="9"/>
              <w:spacing w:line="240" w:lineRule="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.进行火灾紧急预案演练</w:t>
            </w:r>
          </w:p>
          <w:p>
            <w:pPr>
              <w:pStyle w:val="9"/>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管评里对环境因素、危险源的识别、评价及控制措施的有效性进行评价。</w:t>
            </w:r>
          </w:p>
          <w:p>
            <w:pPr>
              <w:pStyle w:val="9"/>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——基本符合。</w:t>
            </w:r>
          </w:p>
        </w:tc>
        <w:tc>
          <w:tcPr>
            <w:tcW w:w="1585" w:type="dxa"/>
          </w:tcPr>
          <w:p>
            <w:pPr>
              <w:spacing w:line="240" w:lineRule="auto"/>
              <w:rPr>
                <w:rFonts w:hint="eastAsia" w:ascii="宋体" w:hAnsi="宋体" w:eastAsia="宋体" w:cs="宋体"/>
                <w:sz w:val="24"/>
                <w:szCs w:val="24"/>
                <w:lang w:val="en-US" w:eastAsia="zh-CN"/>
              </w:rPr>
            </w:pPr>
            <w:r>
              <w:rPr>
                <w:rFonts w:hint="eastAsia" w:ascii="宋体" w:hAnsi="宋体" w:cs="宋体"/>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240" w:lineRule="auto"/>
              <w:rPr>
                <w:rFonts w:hint="eastAsia" w:ascii="宋体" w:hAnsi="宋体" w:eastAsia="宋体" w:cs="宋体"/>
                <w:sz w:val="24"/>
                <w:szCs w:val="24"/>
              </w:rPr>
            </w:pPr>
          </w:p>
        </w:tc>
        <w:tc>
          <w:tcPr>
            <w:tcW w:w="960" w:type="dxa"/>
          </w:tcPr>
          <w:p>
            <w:pPr>
              <w:spacing w:line="24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ES8.1</w:t>
            </w:r>
            <w:r>
              <w:rPr>
                <w:rFonts w:hint="eastAsia" w:ascii="宋体" w:hAnsi="宋体" w:cs="宋体"/>
                <w:sz w:val="24"/>
                <w:szCs w:val="24"/>
                <w:lang w:val="en-US" w:eastAsia="zh-CN"/>
              </w:rPr>
              <w:t>/H4</w:t>
            </w:r>
          </w:p>
        </w:tc>
        <w:tc>
          <w:tcPr>
            <w:tcW w:w="10004" w:type="dxa"/>
          </w:tcPr>
          <w:p>
            <w:p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---策划：《管理手册8.1条款》、《环境与职业健康安全运行控制程序》、</w:t>
            </w:r>
            <w:r>
              <w:rPr>
                <w:rFonts w:hint="eastAsia" w:ascii="宋体" w:hAnsi="宋体" w:eastAsia="宋体" w:cs="宋体"/>
                <w:sz w:val="24"/>
                <w:szCs w:val="24"/>
              </w:rPr>
              <w:t>《采购和外部供方控制程序》</w:t>
            </w:r>
            <w:r>
              <w:rPr>
                <w:rFonts w:hint="eastAsia" w:ascii="宋体" w:hAnsi="宋体" w:eastAsia="宋体" w:cs="宋体"/>
                <w:sz w:val="24"/>
                <w:szCs w:val="24"/>
                <w:lang w:eastAsia="zh-CN"/>
              </w:rPr>
              <w:t>；HSE监督检查管理规定、</w:t>
            </w:r>
            <w:r>
              <w:rPr>
                <w:rFonts w:hint="eastAsia" w:ascii="宋体" w:hAnsi="宋体" w:eastAsia="宋体" w:cs="宋体"/>
                <w:sz w:val="24"/>
                <w:szCs w:val="24"/>
              </w:rPr>
              <w:t>安庆博盛公司安全生产责任制</w:t>
            </w:r>
            <w:r>
              <w:rPr>
                <w:rFonts w:hint="eastAsia" w:ascii="宋体" w:hAnsi="宋体" w:eastAsia="宋体" w:cs="宋体"/>
                <w:sz w:val="24"/>
                <w:szCs w:val="24"/>
                <w:lang w:val="en-US" w:eastAsia="zh-CN"/>
              </w:rPr>
              <w:t>及管理办法</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派遣人员</w:t>
            </w:r>
            <w:r>
              <w:rPr>
                <w:rFonts w:hint="eastAsia" w:ascii="宋体" w:hAnsi="宋体" w:eastAsia="宋体" w:cs="宋体"/>
                <w:sz w:val="24"/>
                <w:szCs w:val="24"/>
                <w:lang w:eastAsia="zh-CN"/>
              </w:rPr>
              <w:t>劳动防护用品管理规定</w:t>
            </w:r>
            <w:r>
              <w:rPr>
                <w:rFonts w:hint="eastAsia" w:ascii="宋体" w:hAnsi="宋体" w:eastAsia="宋体" w:cs="宋体"/>
                <w:sz w:val="24"/>
                <w:szCs w:val="24"/>
                <w:lang w:val="en-US" w:eastAsia="zh-CN"/>
              </w:rPr>
              <w:t>等程序和文件。</w:t>
            </w:r>
          </w:p>
          <w:p>
            <w:pPr>
              <w:pStyle w:val="3"/>
              <w:spacing w:line="240" w:lineRule="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---实施</w:t>
            </w:r>
          </w:p>
          <w:p>
            <w:pPr>
              <w:pStyle w:val="3"/>
              <w:numPr>
                <w:ilvl w:val="0"/>
                <w:numId w:val="5"/>
              </w:numPr>
              <w:spacing w:line="240" w:lineRule="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负责人表述，下班</w:t>
            </w:r>
            <w:r>
              <w:rPr>
                <w:rFonts w:hint="eastAsia" w:ascii="宋体" w:hAnsi="宋体" w:eastAsia="宋体" w:cs="宋体"/>
                <w:b w:val="0"/>
                <w:bCs w:val="0"/>
                <w:color w:val="auto"/>
                <w:sz w:val="24"/>
                <w:szCs w:val="24"/>
              </w:rPr>
              <w:t>关闭电源</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纸张双面打印，废纸、废旧硒鼓、墨盒交由母公司处理。</w:t>
            </w:r>
          </w:p>
          <w:p>
            <w:pPr>
              <w:pStyle w:val="3"/>
              <w:numPr>
                <w:ilvl w:val="0"/>
                <w:numId w:val="5"/>
              </w:numPr>
              <w:spacing w:line="240" w:lineRule="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lang w:val="en-US" w:eastAsia="zh-CN"/>
              </w:rPr>
              <w:t>现场查看：安全标识、宣传教育内容上墙；办公楼每层楼梯口配备一个消防箱，内置2只灭火器，状态良好；走道及办公室干净整洁，无杂物堆放，无明显噪声，无线路胡乱搭接，无</w:t>
            </w:r>
            <w:r>
              <w:rPr>
                <w:rFonts w:hint="eastAsia" w:ascii="宋体" w:hAnsi="宋体" w:eastAsia="宋体" w:cs="宋体"/>
                <w:b w:val="0"/>
                <w:bCs w:val="0"/>
                <w:color w:val="auto"/>
                <w:sz w:val="24"/>
                <w:szCs w:val="24"/>
                <w:highlight w:val="none"/>
                <w:lang w:val="en-US" w:eastAsia="zh-CN"/>
              </w:rPr>
              <w:t>明显安全隐患，办公环境适宜。</w:t>
            </w:r>
          </w:p>
          <w:p>
            <w:pPr>
              <w:numPr>
                <w:ilvl w:val="0"/>
                <w:numId w:val="0"/>
              </w:numPr>
              <w:spacing w:line="24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3、灭火器和消防栓的定期检查：提供有“消防器材检查记录表”，2022年1~5月均有灭火器检查，无异常。</w:t>
            </w:r>
          </w:p>
          <w:p>
            <w:pPr>
              <w:pStyle w:val="9"/>
              <w:numPr>
                <w:ilvl w:val="0"/>
                <w:numId w:val="0"/>
              </w:numPr>
              <w:spacing w:line="24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4、采用管理控制消除危险源和降低职业健康安全风险，包括培训，提供有2022年培训计划及培训记录。</w:t>
            </w:r>
          </w:p>
          <w:p>
            <w:pPr>
              <w:pStyle w:val="9"/>
              <w:numPr>
                <w:ilvl w:val="0"/>
                <w:numId w:val="0"/>
              </w:numPr>
              <w:spacing w:line="24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5、公用工程：</w:t>
            </w:r>
          </w:p>
          <w:p>
            <w:pPr>
              <w:pStyle w:val="9"/>
              <w:numPr>
                <w:ilvl w:val="0"/>
                <w:numId w:val="0"/>
              </w:numPr>
              <w:spacing w:line="24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消防中控室管理——无；</w:t>
            </w:r>
          </w:p>
          <w:p>
            <w:pPr>
              <w:pStyle w:val="9"/>
              <w:numPr>
                <w:ilvl w:val="0"/>
                <w:numId w:val="0"/>
              </w:numPr>
              <w:spacing w:line="24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消防泵房管理——无；</w:t>
            </w:r>
          </w:p>
          <w:p>
            <w:pPr>
              <w:pStyle w:val="3"/>
              <w:numPr>
                <w:ilvl w:val="0"/>
                <w:numId w:val="6"/>
              </w:numPr>
              <w:spacing w:line="240" w:lineRule="auto"/>
              <w:rPr>
                <w:rFonts w:hint="eastAsia" w:ascii="宋体" w:hAnsi="宋体" w:eastAsia="宋体" w:cs="宋体"/>
                <w:bCs/>
                <w:spacing w:val="10"/>
                <w:kern w:val="2"/>
                <w:sz w:val="24"/>
                <w:szCs w:val="24"/>
                <w:highlight w:val="none"/>
                <w:lang w:val="en-US" w:eastAsia="zh-CN" w:bidi="ar-SA"/>
              </w:rPr>
            </w:pPr>
            <w:r>
              <w:rPr>
                <w:rFonts w:hint="eastAsia" w:ascii="宋体" w:hAnsi="宋体" w:eastAsia="宋体" w:cs="宋体"/>
                <w:bCs/>
                <w:spacing w:val="10"/>
                <w:kern w:val="2"/>
                <w:sz w:val="24"/>
                <w:szCs w:val="24"/>
                <w:highlight w:val="none"/>
                <w:lang w:val="en-US" w:eastAsia="zh-CN" w:bidi="ar-SA"/>
              </w:rPr>
              <w:t>提供“工作环境、安全检查表”抽查2022.1.28.如下</w:t>
            </w:r>
          </w:p>
          <w:p>
            <w:pPr>
              <w:pStyle w:val="3"/>
              <w:numPr>
                <w:ilvl w:val="0"/>
                <w:numId w:val="0"/>
              </w:numPr>
              <w:spacing w:line="240" w:lineRule="auto"/>
              <w:rPr>
                <w:rFonts w:hint="eastAsia"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序号</w:t>
            </w:r>
            <w:r>
              <w:rPr>
                <w:rFonts w:hint="eastAsia" w:ascii="宋体" w:hAnsi="宋体" w:eastAsia="宋体" w:cs="宋体"/>
                <w:bCs/>
                <w:spacing w:val="10"/>
                <w:kern w:val="2"/>
                <w:sz w:val="24"/>
                <w:szCs w:val="24"/>
                <w:lang w:val="en-US" w:eastAsia="zh-CN" w:bidi="ar-SA"/>
              </w:rPr>
              <w:tab/>
            </w:r>
            <w:r>
              <w:rPr>
                <w:rFonts w:hint="eastAsia" w:ascii="宋体" w:hAnsi="宋体" w:eastAsia="宋体" w:cs="宋体"/>
                <w:bCs/>
                <w:spacing w:val="10"/>
                <w:kern w:val="2"/>
                <w:sz w:val="24"/>
                <w:szCs w:val="24"/>
                <w:lang w:val="en-US" w:eastAsia="zh-CN" w:bidi="ar-SA"/>
              </w:rPr>
              <w:t>考核内容</w:t>
            </w:r>
            <w:r>
              <w:rPr>
                <w:rFonts w:hint="eastAsia" w:ascii="宋体" w:hAnsi="宋体" w:eastAsia="宋体" w:cs="宋体"/>
                <w:bCs/>
                <w:spacing w:val="10"/>
                <w:kern w:val="2"/>
                <w:sz w:val="24"/>
                <w:szCs w:val="24"/>
                <w:lang w:val="en-US" w:eastAsia="zh-CN" w:bidi="ar-SA"/>
              </w:rPr>
              <w:tab/>
            </w:r>
            <w:r>
              <w:rPr>
                <w:rFonts w:hint="eastAsia" w:ascii="宋体" w:hAnsi="宋体" w:eastAsia="宋体" w:cs="宋体"/>
                <w:bCs/>
                <w:spacing w:val="10"/>
                <w:kern w:val="2"/>
                <w:sz w:val="24"/>
                <w:szCs w:val="24"/>
                <w:lang w:val="en-US" w:eastAsia="zh-CN" w:bidi="ar-SA"/>
              </w:rPr>
              <w:t>检查结果</w:t>
            </w:r>
          </w:p>
          <w:p>
            <w:pPr>
              <w:pStyle w:val="3"/>
              <w:numPr>
                <w:ilvl w:val="0"/>
                <w:numId w:val="0"/>
              </w:numPr>
              <w:spacing w:line="240" w:lineRule="auto"/>
              <w:rPr>
                <w:rFonts w:hint="eastAsia"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1）</w:t>
            </w:r>
            <w:r>
              <w:rPr>
                <w:rFonts w:hint="eastAsia" w:ascii="宋体" w:hAnsi="宋体" w:eastAsia="宋体" w:cs="宋体"/>
                <w:bCs/>
                <w:spacing w:val="10"/>
                <w:kern w:val="2"/>
                <w:sz w:val="24"/>
                <w:szCs w:val="24"/>
                <w:lang w:val="en-US" w:eastAsia="zh-CN" w:bidi="ar-SA"/>
              </w:rPr>
              <w:tab/>
            </w:r>
            <w:r>
              <w:rPr>
                <w:rFonts w:hint="eastAsia" w:ascii="宋体" w:hAnsi="宋体" w:eastAsia="宋体" w:cs="宋体"/>
                <w:bCs/>
                <w:spacing w:val="10"/>
                <w:kern w:val="2"/>
                <w:sz w:val="24"/>
                <w:szCs w:val="24"/>
                <w:lang w:val="en-US" w:eastAsia="zh-CN" w:bidi="ar-SA"/>
              </w:rPr>
              <w:t>电器设备有无乱接线现象、电线老化现象</w:t>
            </w:r>
            <w:r>
              <w:rPr>
                <w:rFonts w:hint="eastAsia" w:ascii="宋体" w:hAnsi="宋体" w:eastAsia="宋体" w:cs="宋体"/>
                <w:bCs/>
                <w:spacing w:val="10"/>
                <w:kern w:val="2"/>
                <w:sz w:val="24"/>
                <w:szCs w:val="24"/>
                <w:lang w:val="en-US" w:eastAsia="zh-CN" w:bidi="ar-SA"/>
              </w:rPr>
              <w:tab/>
            </w:r>
            <w:r>
              <w:rPr>
                <w:rFonts w:hint="eastAsia" w:ascii="宋体" w:hAnsi="宋体" w:eastAsia="宋体" w:cs="宋体"/>
                <w:bCs/>
                <w:spacing w:val="10"/>
                <w:kern w:val="2"/>
                <w:sz w:val="24"/>
                <w:szCs w:val="24"/>
                <w:lang w:val="en-US" w:eastAsia="zh-CN" w:bidi="ar-SA"/>
              </w:rPr>
              <w:t>√</w:t>
            </w:r>
          </w:p>
          <w:p>
            <w:pPr>
              <w:pStyle w:val="3"/>
              <w:numPr>
                <w:ilvl w:val="0"/>
                <w:numId w:val="0"/>
              </w:numPr>
              <w:spacing w:line="240" w:lineRule="auto"/>
              <w:rPr>
                <w:rFonts w:hint="eastAsia"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2）</w:t>
            </w:r>
            <w:r>
              <w:rPr>
                <w:rFonts w:hint="eastAsia" w:ascii="宋体" w:hAnsi="宋体" w:eastAsia="宋体" w:cs="宋体"/>
                <w:bCs/>
                <w:spacing w:val="10"/>
                <w:kern w:val="2"/>
                <w:sz w:val="24"/>
                <w:szCs w:val="24"/>
                <w:lang w:val="en-US" w:eastAsia="zh-CN" w:bidi="ar-SA"/>
              </w:rPr>
              <w:tab/>
            </w:r>
            <w:r>
              <w:rPr>
                <w:rFonts w:hint="eastAsia" w:ascii="宋体" w:hAnsi="宋体" w:eastAsia="宋体" w:cs="宋体"/>
                <w:bCs/>
                <w:spacing w:val="10"/>
                <w:kern w:val="2"/>
                <w:sz w:val="24"/>
                <w:szCs w:val="24"/>
                <w:lang w:val="en-US" w:eastAsia="zh-CN" w:bidi="ar-SA"/>
              </w:rPr>
              <w:t>消防设施配备是否齐全</w:t>
            </w:r>
            <w:r>
              <w:rPr>
                <w:rFonts w:hint="eastAsia" w:ascii="宋体" w:hAnsi="宋体" w:eastAsia="宋体" w:cs="宋体"/>
                <w:bCs/>
                <w:spacing w:val="10"/>
                <w:kern w:val="2"/>
                <w:sz w:val="24"/>
                <w:szCs w:val="24"/>
                <w:lang w:val="en-US" w:eastAsia="zh-CN" w:bidi="ar-SA"/>
              </w:rPr>
              <w:tab/>
            </w:r>
            <w:r>
              <w:rPr>
                <w:rFonts w:hint="eastAsia" w:ascii="宋体" w:hAnsi="宋体" w:eastAsia="宋体" w:cs="宋体"/>
                <w:bCs/>
                <w:spacing w:val="10"/>
                <w:kern w:val="2"/>
                <w:sz w:val="24"/>
                <w:szCs w:val="24"/>
                <w:lang w:val="en-US" w:eastAsia="zh-CN" w:bidi="ar-SA"/>
              </w:rPr>
              <w:t>√</w:t>
            </w:r>
          </w:p>
          <w:p>
            <w:pPr>
              <w:pStyle w:val="3"/>
              <w:numPr>
                <w:ilvl w:val="0"/>
                <w:numId w:val="0"/>
              </w:numPr>
              <w:spacing w:line="240" w:lineRule="auto"/>
              <w:rPr>
                <w:rFonts w:hint="eastAsia"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3）</w:t>
            </w:r>
            <w:r>
              <w:rPr>
                <w:rFonts w:hint="eastAsia" w:ascii="宋体" w:hAnsi="宋体" w:eastAsia="宋体" w:cs="宋体"/>
                <w:bCs/>
                <w:spacing w:val="10"/>
                <w:kern w:val="2"/>
                <w:sz w:val="24"/>
                <w:szCs w:val="24"/>
                <w:lang w:val="en-US" w:eastAsia="zh-CN" w:bidi="ar-SA"/>
              </w:rPr>
              <w:tab/>
            </w:r>
            <w:r>
              <w:rPr>
                <w:rFonts w:hint="eastAsia" w:ascii="宋体" w:hAnsi="宋体" w:eastAsia="宋体" w:cs="宋体"/>
                <w:bCs/>
                <w:spacing w:val="10"/>
                <w:kern w:val="2"/>
                <w:sz w:val="24"/>
                <w:szCs w:val="24"/>
                <w:lang w:val="en-US" w:eastAsia="zh-CN" w:bidi="ar-SA"/>
              </w:rPr>
              <w:t>消防通道是否畅通</w:t>
            </w:r>
            <w:r>
              <w:rPr>
                <w:rFonts w:hint="eastAsia" w:ascii="宋体" w:hAnsi="宋体" w:eastAsia="宋体" w:cs="宋体"/>
                <w:bCs/>
                <w:spacing w:val="10"/>
                <w:kern w:val="2"/>
                <w:sz w:val="24"/>
                <w:szCs w:val="24"/>
                <w:lang w:val="en-US" w:eastAsia="zh-CN" w:bidi="ar-SA"/>
              </w:rPr>
              <w:tab/>
            </w:r>
            <w:r>
              <w:rPr>
                <w:rFonts w:hint="eastAsia" w:ascii="宋体" w:hAnsi="宋体" w:eastAsia="宋体" w:cs="宋体"/>
                <w:bCs/>
                <w:spacing w:val="10"/>
                <w:kern w:val="2"/>
                <w:sz w:val="24"/>
                <w:szCs w:val="24"/>
                <w:lang w:val="en-US" w:eastAsia="zh-CN" w:bidi="ar-SA"/>
              </w:rPr>
              <w:t>√</w:t>
            </w:r>
          </w:p>
          <w:p>
            <w:pPr>
              <w:pStyle w:val="3"/>
              <w:numPr>
                <w:ilvl w:val="0"/>
                <w:numId w:val="0"/>
              </w:numPr>
              <w:spacing w:line="240" w:lineRule="auto"/>
              <w:rPr>
                <w:rFonts w:hint="eastAsia"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4）</w:t>
            </w:r>
            <w:r>
              <w:rPr>
                <w:rFonts w:hint="eastAsia" w:ascii="宋体" w:hAnsi="宋体" w:eastAsia="宋体" w:cs="宋体"/>
                <w:bCs/>
                <w:spacing w:val="10"/>
                <w:kern w:val="2"/>
                <w:sz w:val="24"/>
                <w:szCs w:val="24"/>
                <w:lang w:val="en-US" w:eastAsia="zh-CN" w:bidi="ar-SA"/>
              </w:rPr>
              <w:tab/>
            </w:r>
            <w:r>
              <w:rPr>
                <w:rFonts w:hint="eastAsia" w:ascii="宋体" w:hAnsi="宋体" w:eastAsia="宋体" w:cs="宋体"/>
                <w:bCs/>
                <w:spacing w:val="10"/>
                <w:kern w:val="2"/>
                <w:sz w:val="24"/>
                <w:szCs w:val="24"/>
                <w:lang w:val="en-US" w:eastAsia="zh-CN" w:bidi="ar-SA"/>
              </w:rPr>
              <w:t>节约用纸</w:t>
            </w:r>
            <w:r>
              <w:rPr>
                <w:rFonts w:hint="eastAsia" w:ascii="宋体" w:hAnsi="宋体" w:eastAsia="宋体" w:cs="宋体"/>
                <w:bCs/>
                <w:spacing w:val="10"/>
                <w:kern w:val="2"/>
                <w:sz w:val="24"/>
                <w:szCs w:val="24"/>
                <w:lang w:val="en-US" w:eastAsia="zh-CN" w:bidi="ar-SA"/>
              </w:rPr>
              <w:tab/>
            </w:r>
            <w:r>
              <w:rPr>
                <w:rFonts w:hint="eastAsia" w:ascii="宋体" w:hAnsi="宋体" w:eastAsia="宋体" w:cs="宋体"/>
                <w:bCs/>
                <w:spacing w:val="10"/>
                <w:kern w:val="2"/>
                <w:sz w:val="24"/>
                <w:szCs w:val="24"/>
                <w:lang w:val="en-US" w:eastAsia="zh-CN" w:bidi="ar-SA"/>
              </w:rPr>
              <w:t>√</w:t>
            </w:r>
          </w:p>
          <w:p>
            <w:pPr>
              <w:pStyle w:val="3"/>
              <w:numPr>
                <w:ilvl w:val="0"/>
                <w:numId w:val="0"/>
              </w:numPr>
              <w:spacing w:line="240" w:lineRule="auto"/>
              <w:rPr>
                <w:rFonts w:hint="eastAsia"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5）</w:t>
            </w:r>
            <w:r>
              <w:rPr>
                <w:rFonts w:hint="eastAsia" w:ascii="宋体" w:hAnsi="宋体" w:eastAsia="宋体" w:cs="宋体"/>
                <w:bCs/>
                <w:spacing w:val="10"/>
                <w:kern w:val="2"/>
                <w:sz w:val="24"/>
                <w:szCs w:val="24"/>
                <w:lang w:val="en-US" w:eastAsia="zh-CN" w:bidi="ar-SA"/>
              </w:rPr>
              <w:tab/>
            </w:r>
            <w:r>
              <w:rPr>
                <w:rFonts w:hint="eastAsia" w:ascii="宋体" w:hAnsi="宋体" w:eastAsia="宋体" w:cs="宋体"/>
                <w:bCs/>
                <w:spacing w:val="10"/>
                <w:kern w:val="2"/>
                <w:sz w:val="24"/>
                <w:szCs w:val="24"/>
                <w:lang w:val="en-US" w:eastAsia="zh-CN" w:bidi="ar-SA"/>
              </w:rPr>
              <w:t>废旧电池分类回收保管</w:t>
            </w:r>
            <w:r>
              <w:rPr>
                <w:rFonts w:hint="eastAsia" w:ascii="宋体" w:hAnsi="宋体" w:eastAsia="宋体" w:cs="宋体"/>
                <w:bCs/>
                <w:spacing w:val="10"/>
                <w:kern w:val="2"/>
                <w:sz w:val="24"/>
                <w:szCs w:val="24"/>
                <w:lang w:val="en-US" w:eastAsia="zh-CN" w:bidi="ar-SA"/>
              </w:rPr>
              <w:tab/>
            </w:r>
            <w:r>
              <w:rPr>
                <w:rFonts w:hint="eastAsia" w:ascii="宋体" w:hAnsi="宋体" w:eastAsia="宋体" w:cs="宋体"/>
                <w:bCs/>
                <w:spacing w:val="10"/>
                <w:kern w:val="2"/>
                <w:sz w:val="24"/>
                <w:szCs w:val="24"/>
                <w:lang w:val="en-US" w:eastAsia="zh-CN" w:bidi="ar-SA"/>
              </w:rPr>
              <w:t>√</w:t>
            </w:r>
          </w:p>
          <w:p>
            <w:pPr>
              <w:pStyle w:val="3"/>
              <w:numPr>
                <w:ilvl w:val="0"/>
                <w:numId w:val="0"/>
              </w:numPr>
              <w:spacing w:line="240" w:lineRule="auto"/>
              <w:rPr>
                <w:rFonts w:hint="eastAsia"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......等。</w:t>
            </w:r>
          </w:p>
          <w:p>
            <w:pPr>
              <w:pStyle w:val="3"/>
              <w:numPr>
                <w:ilvl w:val="0"/>
                <w:numId w:val="6"/>
              </w:numPr>
              <w:spacing w:line="240" w:lineRule="auto"/>
              <w:ind w:left="0" w:leftChars="0" w:firstLine="0" w:firstLineChars="0"/>
              <w:rPr>
                <w:rFonts w:hint="eastAsia" w:ascii="宋体" w:hAnsi="宋体" w:eastAsia="宋体" w:cs="宋体"/>
                <w:bCs/>
                <w:spacing w:val="10"/>
                <w:kern w:val="2"/>
                <w:sz w:val="24"/>
                <w:szCs w:val="24"/>
                <w:lang w:val="en-US" w:eastAsia="zh-CN" w:bidi="ar-SA"/>
              </w:rPr>
            </w:pPr>
            <w:r>
              <w:rPr>
                <w:rFonts w:hint="eastAsia" w:ascii="宋体" w:hAnsi="宋体" w:cs="宋体"/>
                <w:bCs/>
                <w:spacing w:val="10"/>
                <w:kern w:val="2"/>
                <w:sz w:val="24"/>
                <w:szCs w:val="24"/>
                <w:lang w:val="en-US" w:eastAsia="zh-CN" w:bidi="ar-SA"/>
              </w:rPr>
              <w:t>出示有“</w:t>
            </w:r>
            <w:r>
              <w:rPr>
                <w:rFonts w:hint="eastAsia" w:ascii="宋体" w:hAnsi="宋体" w:eastAsia="宋体" w:cs="宋体"/>
                <w:bCs/>
                <w:spacing w:val="10"/>
                <w:kern w:val="2"/>
                <w:sz w:val="24"/>
                <w:szCs w:val="24"/>
                <w:lang w:val="en-US" w:eastAsia="zh-CN" w:bidi="ar-SA"/>
              </w:rPr>
              <w:t>信息交流记录表</w:t>
            </w:r>
            <w:r>
              <w:rPr>
                <w:rFonts w:hint="default" w:ascii="宋体" w:hAnsi="宋体" w:cs="宋体"/>
                <w:bCs/>
                <w:spacing w:val="10"/>
                <w:kern w:val="2"/>
                <w:sz w:val="24"/>
                <w:szCs w:val="24"/>
                <w:lang w:val="en-US" w:eastAsia="zh-CN" w:bidi="ar-SA"/>
              </w:rPr>
              <w:t>”</w:t>
            </w:r>
            <w:r>
              <w:rPr>
                <w:rFonts w:hint="eastAsia" w:ascii="宋体" w:hAnsi="宋体" w:cs="宋体"/>
                <w:bCs/>
                <w:spacing w:val="10"/>
                <w:kern w:val="2"/>
                <w:sz w:val="24"/>
                <w:szCs w:val="24"/>
                <w:lang w:val="en-US" w:eastAsia="zh-CN" w:bidi="ar-SA"/>
              </w:rPr>
              <w:t>,内容显示与相关方信息交流顺畅。</w:t>
            </w:r>
          </w:p>
          <w:p>
            <w:pPr>
              <w:pStyle w:val="3"/>
              <w:numPr>
                <w:ilvl w:val="0"/>
                <w:numId w:val="0"/>
              </w:numPr>
              <w:spacing w:line="240" w:lineRule="auto"/>
              <w:ind w:leftChars="0"/>
              <w:rPr>
                <w:rFonts w:hint="eastAsia"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——ES运行控制基本符合</w:t>
            </w:r>
          </w:p>
          <w:p>
            <w:pPr>
              <w:spacing w:line="240" w:lineRule="auto"/>
              <w:rPr>
                <w:rFonts w:hint="eastAsia" w:ascii="宋体" w:hAnsi="宋体" w:eastAsia="宋体" w:cs="宋体"/>
                <w:sz w:val="24"/>
                <w:szCs w:val="24"/>
              </w:rPr>
            </w:pPr>
          </w:p>
        </w:tc>
        <w:tc>
          <w:tcPr>
            <w:tcW w:w="1585" w:type="dxa"/>
          </w:tcPr>
          <w:p>
            <w:pPr>
              <w:spacing w:line="240" w:lineRule="auto"/>
              <w:rPr>
                <w:rFonts w:hint="eastAsia" w:ascii="宋体" w:hAnsi="宋体" w:eastAsia="宋体" w:cs="宋体"/>
                <w:sz w:val="24"/>
                <w:szCs w:val="24"/>
                <w:lang w:val="en-US" w:eastAsia="zh-CN"/>
              </w:rPr>
            </w:pPr>
            <w:r>
              <w:rPr>
                <w:rFonts w:hint="eastAsia" w:ascii="宋体" w:hAnsi="宋体" w:cs="宋体"/>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应急响应</w:t>
            </w:r>
          </w:p>
        </w:tc>
        <w:tc>
          <w:tcPr>
            <w:tcW w:w="960" w:type="dxa"/>
          </w:tcPr>
          <w:p>
            <w:pPr>
              <w:spacing w:line="24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ES8.2</w:t>
            </w:r>
            <w:r>
              <w:rPr>
                <w:rFonts w:hint="eastAsia" w:ascii="宋体" w:hAnsi="宋体" w:cs="宋体"/>
                <w:sz w:val="24"/>
                <w:szCs w:val="24"/>
                <w:lang w:val="en-US" w:eastAsia="zh-CN"/>
              </w:rPr>
              <w:t>/H4</w:t>
            </w:r>
          </w:p>
        </w:tc>
        <w:tc>
          <w:tcPr>
            <w:tcW w:w="10004" w:type="dxa"/>
          </w:tcPr>
          <w:p>
            <w:p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---策划有《应急准备与响应控制程序BS/CX-19-2022》，编审批齐全，符合标准要求和企业管理实际。</w:t>
            </w:r>
          </w:p>
          <w:p>
            <w:p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出示有《2022年应急事故预案演练计划》，编制：巩雅丽，审核：梁挺，批准：江寿根。有：火灾事故应急预案、中暑事故应急预案、滑跌摔伤事故应急预案、锤击伤人事故应急预案。</w:t>
            </w:r>
          </w:p>
          <w:p>
            <w:pPr>
              <w:spacing w:line="24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抽2022.3.18.火灾应急演练记录，有参加人员名单、演练目的、演练过程及效果评价，具体如下：</w:t>
            </w:r>
          </w:p>
          <w:p>
            <w:p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088255" cy="4393565"/>
                  <wp:effectExtent l="0" t="0" r="1905" b="1079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1"/>
                          <a:stretch>
                            <a:fillRect/>
                          </a:stretch>
                        </pic:blipFill>
                        <pic:spPr>
                          <a:xfrm>
                            <a:off x="0" y="0"/>
                            <a:ext cx="5088255" cy="4393565"/>
                          </a:xfrm>
                          <a:prstGeom prst="rect">
                            <a:avLst/>
                          </a:prstGeom>
                          <a:noFill/>
                          <a:ln>
                            <a:noFill/>
                          </a:ln>
                        </pic:spPr>
                      </pic:pic>
                    </a:graphicData>
                  </a:graphic>
                </wp:inline>
              </w:drawing>
            </w:r>
          </w:p>
          <w:p>
            <w:pPr>
              <w:spacing w:line="24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——基本符合</w:t>
            </w:r>
          </w:p>
        </w:tc>
        <w:tc>
          <w:tcPr>
            <w:tcW w:w="1585" w:type="dxa"/>
          </w:tcPr>
          <w:p>
            <w:pPr>
              <w:spacing w:line="240" w:lineRule="auto"/>
              <w:rPr>
                <w:rFonts w:hint="eastAsia" w:ascii="宋体" w:hAnsi="宋体" w:eastAsia="宋体" w:cs="宋体"/>
                <w:sz w:val="24"/>
                <w:szCs w:val="24"/>
                <w:lang w:val="en-US" w:eastAsia="zh-CN"/>
              </w:rPr>
            </w:pPr>
            <w:r>
              <w:rPr>
                <w:rFonts w:hint="eastAsia" w:ascii="宋体" w:hAnsi="宋体" w:cs="宋体"/>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合规义务及合规性评价</w:t>
            </w:r>
          </w:p>
        </w:tc>
        <w:tc>
          <w:tcPr>
            <w:tcW w:w="960" w:type="dxa"/>
          </w:tcPr>
          <w:p>
            <w:pPr>
              <w:spacing w:line="24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ES6.1.3/9.1.2</w:t>
            </w:r>
            <w:r>
              <w:rPr>
                <w:rFonts w:hint="eastAsia" w:ascii="宋体" w:hAnsi="宋体" w:cs="宋体"/>
                <w:sz w:val="24"/>
                <w:szCs w:val="24"/>
                <w:lang w:val="en-US" w:eastAsia="zh-CN"/>
              </w:rPr>
              <w:t>/H2.3/5.2</w:t>
            </w:r>
          </w:p>
        </w:tc>
        <w:tc>
          <w:tcPr>
            <w:tcW w:w="10004" w:type="dxa"/>
          </w:tcPr>
          <w:p>
            <w:p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策划：《合规义务控制程序》。</w:t>
            </w:r>
          </w:p>
          <w:p>
            <w:pPr>
              <w:spacing w:line="24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出示“适用法律法规和规章识别目录清单”更新日期：2022.2.5；共识别法律法规79项：抽查如下：</w:t>
            </w:r>
          </w:p>
          <w:tbl>
            <w:tblPr>
              <w:tblStyle w:val="6"/>
              <w:tblW w:w="931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34"/>
              <w:gridCol w:w="2919"/>
              <w:gridCol w:w="1355"/>
              <w:gridCol w:w="1355"/>
              <w:gridCol w:w="13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2334" w:type="dxa"/>
                  <w:tcBorders>
                    <w:top w:val="single" w:color="auto" w:sz="4" w:space="0"/>
                  </w:tcBorders>
                  <w:noWrap w:val="0"/>
                  <w:vAlign w:val="center"/>
                </w:tcPr>
                <w:p>
                  <w:p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中华人民共和国宪法</w:t>
                  </w:r>
                </w:p>
              </w:tc>
              <w:tc>
                <w:tcPr>
                  <w:tcW w:w="2919" w:type="dxa"/>
                  <w:tcBorders>
                    <w:top w:val="single" w:color="auto" w:sz="4" w:space="0"/>
                  </w:tcBorders>
                  <w:noWrap w:val="0"/>
                  <w:vAlign w:val="center"/>
                </w:tcPr>
                <w:p>
                  <w:p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十三届全国人民代表大会第一次会议</w:t>
                  </w:r>
                </w:p>
              </w:tc>
              <w:tc>
                <w:tcPr>
                  <w:tcW w:w="1355" w:type="dxa"/>
                  <w:tcBorders>
                    <w:top w:val="single" w:color="auto" w:sz="4" w:space="0"/>
                  </w:tcBorders>
                  <w:noWrap w:val="0"/>
                  <w:vAlign w:val="center"/>
                </w:tcPr>
                <w:p>
                  <w:p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2018年03月11日</w:t>
                  </w:r>
                </w:p>
              </w:tc>
              <w:tc>
                <w:tcPr>
                  <w:tcW w:w="1355" w:type="dxa"/>
                  <w:tcBorders>
                    <w:top w:val="single" w:color="auto" w:sz="4" w:space="0"/>
                  </w:tcBorders>
                  <w:noWrap w:val="0"/>
                  <w:vAlign w:val="center"/>
                </w:tcPr>
                <w:p>
                  <w:pPr>
                    <w:spacing w:line="24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全部适用</w:t>
                  </w:r>
                </w:p>
              </w:tc>
              <w:tc>
                <w:tcPr>
                  <w:tcW w:w="1355" w:type="dxa"/>
                  <w:tcBorders>
                    <w:top w:val="single" w:color="auto" w:sz="4" w:space="0"/>
                  </w:tcBorders>
                  <w:noWrap w:val="0"/>
                  <w:vAlign w:val="center"/>
                </w:tcPr>
                <w:p>
                  <w:p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2334" w:type="dxa"/>
                  <w:tcBorders>
                    <w:top w:val="single" w:color="auto" w:sz="4" w:space="0"/>
                  </w:tcBorders>
                  <w:noWrap w:val="0"/>
                  <w:vAlign w:val="center"/>
                </w:tcPr>
                <w:p>
                  <w:p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中华人民共和国民法典</w:t>
                  </w:r>
                </w:p>
              </w:tc>
              <w:tc>
                <w:tcPr>
                  <w:tcW w:w="2919" w:type="dxa"/>
                  <w:tcBorders>
                    <w:top w:val="single" w:color="auto" w:sz="4" w:space="0"/>
                  </w:tcBorders>
                  <w:noWrap w:val="0"/>
                  <w:vAlign w:val="center"/>
                </w:tcPr>
                <w:p>
                  <w:p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十三届全国人大三次会议</w:t>
                  </w:r>
                </w:p>
              </w:tc>
              <w:tc>
                <w:tcPr>
                  <w:tcW w:w="1355" w:type="dxa"/>
                  <w:tcBorders>
                    <w:top w:val="single" w:color="auto" w:sz="4" w:space="0"/>
                  </w:tcBorders>
                  <w:noWrap w:val="0"/>
                  <w:vAlign w:val="center"/>
                </w:tcPr>
                <w:p>
                  <w:p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2021年01月01日</w:t>
                  </w:r>
                </w:p>
              </w:tc>
              <w:tc>
                <w:tcPr>
                  <w:tcW w:w="1355" w:type="dxa"/>
                  <w:tcBorders>
                    <w:top w:val="single" w:color="auto" w:sz="4" w:space="0"/>
                  </w:tcBorders>
                  <w:noWrap w:val="0"/>
                  <w:vAlign w:val="center"/>
                </w:tcPr>
                <w:p>
                  <w:p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全部适用</w:t>
                  </w:r>
                </w:p>
              </w:tc>
              <w:tc>
                <w:tcPr>
                  <w:tcW w:w="1355" w:type="dxa"/>
                  <w:tcBorders>
                    <w:top w:val="single" w:color="auto" w:sz="4" w:space="0"/>
                  </w:tcBorders>
                  <w:noWrap w:val="0"/>
                  <w:vAlign w:val="center"/>
                </w:tcPr>
                <w:p>
                  <w:p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9" w:hRule="atLeast"/>
              </w:trPr>
              <w:tc>
                <w:tcPr>
                  <w:tcW w:w="2334" w:type="dxa"/>
                  <w:tcBorders>
                    <w:top w:val="single" w:color="auto" w:sz="4" w:space="0"/>
                  </w:tcBorders>
                  <w:noWrap w:val="0"/>
                  <w:vAlign w:val="center"/>
                </w:tcPr>
                <w:p>
                  <w:p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中华人民共和国安全生产法(修订)</w:t>
                  </w:r>
                </w:p>
              </w:tc>
              <w:tc>
                <w:tcPr>
                  <w:tcW w:w="2919" w:type="dxa"/>
                  <w:tcBorders>
                    <w:top w:val="single" w:color="auto" w:sz="4" w:space="0"/>
                  </w:tcBorders>
                  <w:noWrap w:val="0"/>
                  <w:vAlign w:val="top"/>
                </w:tcPr>
                <w:p>
                  <w:p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十三届全国人民代表大会常务委员会第二十九次会议</w:t>
                  </w:r>
                </w:p>
              </w:tc>
              <w:tc>
                <w:tcPr>
                  <w:tcW w:w="1355" w:type="dxa"/>
                  <w:tcBorders>
                    <w:top w:val="single" w:color="auto" w:sz="4" w:space="0"/>
                  </w:tcBorders>
                  <w:noWrap w:val="0"/>
                  <w:vAlign w:val="center"/>
                </w:tcPr>
                <w:p>
                  <w:p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2021年09月01日</w:t>
                  </w:r>
                </w:p>
              </w:tc>
              <w:tc>
                <w:tcPr>
                  <w:tcW w:w="1355" w:type="dxa"/>
                  <w:tcBorders>
                    <w:top w:val="single" w:color="auto" w:sz="4" w:space="0"/>
                  </w:tcBorders>
                  <w:noWrap w:val="0"/>
                  <w:vAlign w:val="center"/>
                </w:tcPr>
                <w:p>
                  <w:p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全部适用</w:t>
                  </w:r>
                </w:p>
              </w:tc>
              <w:tc>
                <w:tcPr>
                  <w:tcW w:w="1355" w:type="dxa"/>
                  <w:tcBorders>
                    <w:top w:val="single" w:color="auto" w:sz="4" w:space="0"/>
                  </w:tcBorders>
                  <w:noWrap w:val="0"/>
                  <w:vAlign w:val="center"/>
                </w:tcPr>
                <w:p>
                  <w:p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9" w:hRule="atLeast"/>
              </w:trPr>
              <w:tc>
                <w:tcPr>
                  <w:tcW w:w="2334" w:type="dxa"/>
                  <w:noWrap w:val="0"/>
                  <w:vAlign w:val="center"/>
                </w:tcPr>
                <w:p>
                  <w:p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中华人民共和国消防法(修订)</w:t>
                  </w:r>
                </w:p>
              </w:tc>
              <w:tc>
                <w:tcPr>
                  <w:tcW w:w="2919" w:type="dxa"/>
                  <w:noWrap w:val="0"/>
                  <w:vAlign w:val="top"/>
                </w:tcPr>
                <w:p>
                  <w:p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第十三届全国人民代表大会常务委员会第十次会议</w:t>
                  </w:r>
                </w:p>
              </w:tc>
              <w:tc>
                <w:tcPr>
                  <w:tcW w:w="1355" w:type="dxa"/>
                  <w:noWrap w:val="0"/>
                  <w:vAlign w:val="center"/>
                </w:tcPr>
                <w:p>
                  <w:p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2019年04月23日</w:t>
                  </w:r>
                </w:p>
              </w:tc>
              <w:tc>
                <w:tcPr>
                  <w:tcW w:w="1355" w:type="dxa"/>
                  <w:noWrap w:val="0"/>
                  <w:vAlign w:val="center"/>
                </w:tcPr>
                <w:p>
                  <w:p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全部适用</w:t>
                  </w:r>
                </w:p>
              </w:tc>
              <w:tc>
                <w:tcPr>
                  <w:tcW w:w="1355" w:type="dxa"/>
                  <w:noWrap w:val="0"/>
                  <w:vAlign w:val="center"/>
                </w:tcPr>
                <w:p>
                  <w:p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6" w:hRule="atLeast"/>
              </w:trPr>
              <w:tc>
                <w:tcPr>
                  <w:tcW w:w="2334" w:type="dxa"/>
                  <w:noWrap w:val="0"/>
                  <w:vAlign w:val="center"/>
                </w:tcPr>
                <w:p>
                  <w:p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中华人民共和国劳动法</w:t>
                  </w:r>
                </w:p>
              </w:tc>
              <w:tc>
                <w:tcPr>
                  <w:tcW w:w="2919" w:type="dxa"/>
                  <w:noWrap w:val="0"/>
                  <w:vAlign w:val="top"/>
                </w:tcPr>
                <w:p>
                  <w:p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十三届全国人民代表大会常务委员会第七次会议</w:t>
                  </w:r>
                </w:p>
              </w:tc>
              <w:tc>
                <w:tcPr>
                  <w:tcW w:w="1355" w:type="dxa"/>
                  <w:noWrap w:val="0"/>
                  <w:vAlign w:val="center"/>
                </w:tcPr>
                <w:p>
                  <w:p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2018年12月29日</w:t>
                  </w:r>
                </w:p>
              </w:tc>
              <w:tc>
                <w:tcPr>
                  <w:tcW w:w="1355" w:type="dxa"/>
                  <w:noWrap w:val="0"/>
                  <w:vAlign w:val="center"/>
                </w:tcPr>
                <w:p>
                  <w:p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全部适用</w:t>
                  </w:r>
                </w:p>
              </w:tc>
              <w:tc>
                <w:tcPr>
                  <w:tcW w:w="1355" w:type="dxa"/>
                  <w:noWrap w:val="0"/>
                  <w:vAlign w:val="center"/>
                </w:tcPr>
                <w:p>
                  <w:p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符合</w:t>
                  </w:r>
                </w:p>
              </w:tc>
            </w:tr>
          </w:tbl>
          <w:p>
            <w:pPr>
              <w:spacing w:line="240" w:lineRule="auto"/>
              <w:rPr>
                <w:rFonts w:hint="default" w:ascii="宋体" w:hAnsi="宋体" w:eastAsia="宋体" w:cs="宋体"/>
                <w:sz w:val="24"/>
                <w:szCs w:val="24"/>
                <w:lang w:val="en-US" w:eastAsia="zh-CN"/>
              </w:rPr>
            </w:pPr>
          </w:p>
          <w:p>
            <w:pPr>
              <w:pStyle w:val="9"/>
              <w:rPr>
                <w:rFonts w:hint="default" w:ascii="宋体" w:hAnsi="宋体" w:eastAsia="宋体" w:cs="宋体"/>
                <w:sz w:val="24"/>
                <w:szCs w:val="24"/>
                <w:lang w:val="en-US" w:eastAsia="zh-CN"/>
              </w:rPr>
            </w:pPr>
            <w:r>
              <w:rPr>
                <w:rFonts w:hint="eastAsia" w:ascii="宋体" w:hAnsi="宋体" w:cs="宋体"/>
                <w:sz w:val="24"/>
                <w:szCs w:val="24"/>
                <w:lang w:val="en-US" w:eastAsia="zh-CN"/>
              </w:rPr>
              <w:t>出示有2022年度“法律法规及其他要求合规性评价报告”编审批齐全。</w:t>
            </w:r>
          </w:p>
          <w:p>
            <w:pPr>
              <w:pStyle w:val="9"/>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三、评价范围</w:t>
            </w:r>
          </w:p>
          <w:p>
            <w:pPr>
              <w:pStyle w:val="9"/>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1．报告涉及的公司生产经营管理活动尤其是质量管理、环境管理、职业健康安全管理、HSE管理等活动是否符合适用的法律法规和其他要求，以及满足这些要求的证据是否充分。</w:t>
            </w:r>
          </w:p>
          <w:p>
            <w:pPr>
              <w:pStyle w:val="9"/>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2．本次评价的具体对象为公司管理活动中适用的法律法规和其他要求是否得到识别，并建立获取这些要求的渠道。</w:t>
            </w:r>
          </w:p>
          <w:p>
            <w:pPr>
              <w:pStyle w:val="9"/>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四、 评价过程和方法</w:t>
            </w:r>
          </w:p>
          <w:p>
            <w:pPr>
              <w:pStyle w:val="9"/>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评价时间为2022年2月10日----2月20日。</w:t>
            </w:r>
          </w:p>
          <w:p>
            <w:pPr>
              <w:pStyle w:val="9"/>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五、评价结论</w:t>
            </w:r>
          </w:p>
          <w:p>
            <w:pPr>
              <w:pStyle w:val="9"/>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公司经识别适用的法律法规及其他要求共79项，经评价，公司在质量、环境、职业健康安全、HSE管理等各方面开展的管理活动符合适用的法律法规和其他合规性要求。</w:t>
            </w:r>
          </w:p>
          <w:p>
            <w:pPr>
              <w:pStyle w:val="9"/>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通过开展合规性评价活动，切实做到学法用法相结合，用制度防范法律风险，用机制控制法律风险，用责任降低法律风险，用体系规避法律风险，进一步提升了规范化管理水平，推动了安全标准化体系的建立和完善。</w:t>
            </w:r>
          </w:p>
          <w:p>
            <w:pPr>
              <w:pStyle w:val="9"/>
              <w:rPr>
                <w:rFonts w:hint="default" w:ascii="宋体" w:hAnsi="宋体" w:eastAsia="宋体" w:cs="宋体"/>
                <w:sz w:val="24"/>
                <w:szCs w:val="24"/>
                <w:lang w:val="en-US" w:eastAsia="zh-CN"/>
              </w:rPr>
            </w:pPr>
          </w:p>
          <w:p>
            <w:pPr>
              <w:pStyle w:val="9"/>
              <w:rPr>
                <w:rFonts w:hint="default" w:ascii="宋体" w:hAnsi="宋体" w:eastAsia="宋体" w:cs="宋体"/>
                <w:color w:val="FF0000"/>
                <w:sz w:val="24"/>
                <w:szCs w:val="24"/>
                <w:lang w:val="en-US" w:eastAsia="zh-CN"/>
              </w:rPr>
            </w:pPr>
            <w:r>
              <w:rPr>
                <w:rFonts w:hint="eastAsia" w:ascii="宋体" w:hAnsi="宋体" w:cs="宋体"/>
                <w:color w:val="FF0000"/>
                <w:sz w:val="24"/>
                <w:szCs w:val="24"/>
                <w:lang w:val="en-US" w:eastAsia="zh-CN"/>
              </w:rPr>
              <w:t>——不符合：查《适用法律法规和规章识别目录清单》，未能将“中华人民共和国环境保护法”进行识别与收集。</w:t>
            </w:r>
          </w:p>
          <w:p>
            <w:pPr>
              <w:pStyle w:val="9"/>
              <w:rPr>
                <w:rFonts w:hint="default" w:ascii="宋体" w:hAnsi="宋体" w:eastAsia="宋体" w:cs="宋体"/>
                <w:sz w:val="24"/>
                <w:szCs w:val="24"/>
                <w:lang w:val="en-US" w:eastAsia="zh-CN"/>
              </w:rPr>
            </w:pPr>
          </w:p>
        </w:tc>
        <w:tc>
          <w:tcPr>
            <w:tcW w:w="1585" w:type="dxa"/>
          </w:tcPr>
          <w:p>
            <w:pPr>
              <w:spacing w:line="240" w:lineRule="auto"/>
              <w:rPr>
                <w:rFonts w:hint="eastAsia"/>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default" w:ascii="宋体" w:hAnsi="宋体" w:eastAsia="宋体" w:cs="宋体"/>
                <w:sz w:val="24"/>
                <w:szCs w:val="24"/>
                <w:lang w:val="en-US" w:eastAsia="zh-CN"/>
              </w:rPr>
            </w:pPr>
            <w:r>
              <w:rPr>
                <w:rFonts w:hint="eastAsia" w:ascii="宋体" w:hAnsi="宋体" w:cs="宋体"/>
                <w:color w:val="FF0000"/>
                <w:sz w:val="24"/>
                <w:szCs w:val="24"/>
                <w:lang w:val="en-US" w:eastAsia="zh-CN"/>
              </w:rPr>
              <w:t>N1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过程运行环境</w:t>
            </w:r>
          </w:p>
        </w:tc>
        <w:tc>
          <w:tcPr>
            <w:tcW w:w="960" w:type="dxa"/>
          </w:tcPr>
          <w:p>
            <w:pPr>
              <w:spacing w:line="24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Q7.1.4</w:t>
            </w:r>
            <w:r>
              <w:rPr>
                <w:rFonts w:hint="eastAsia" w:ascii="宋体" w:hAnsi="宋体" w:cs="宋体"/>
                <w:sz w:val="24"/>
                <w:szCs w:val="24"/>
                <w:lang w:val="en-US" w:eastAsia="zh-CN"/>
              </w:rPr>
              <w:t>/H4.2</w:t>
            </w:r>
          </w:p>
        </w:tc>
        <w:tc>
          <w:tcPr>
            <w:tcW w:w="10004" w:type="dxa"/>
          </w:tcPr>
          <w:p>
            <w:pPr>
              <w:spacing w:line="240" w:lineRule="auto"/>
              <w:rPr>
                <w:rFonts w:hint="default" w:ascii="宋体" w:hAnsi="宋体" w:eastAsia="宋体" w:cs="宋体"/>
                <w:sz w:val="24"/>
                <w:szCs w:val="24"/>
                <w:lang w:val="en-US" w:eastAsia="zh-CN"/>
              </w:rPr>
            </w:pPr>
            <w:r>
              <w:rPr>
                <w:rFonts w:hint="eastAsia" w:ascii="宋体" w:hAnsi="宋体" w:cs="宋体"/>
                <w:sz w:val="24"/>
                <w:szCs w:val="24"/>
                <w:lang w:val="en-US" w:eastAsia="zh-CN"/>
              </w:rPr>
              <w:t>公司办公场地宽敞，办公设备齐全，无异味、超标噪声排放，工作环境适宜。</w:t>
            </w:r>
          </w:p>
        </w:tc>
        <w:tc>
          <w:tcPr>
            <w:tcW w:w="1585" w:type="dxa"/>
          </w:tcPr>
          <w:p>
            <w:pPr>
              <w:spacing w:line="240" w:lineRule="auto"/>
              <w:rPr>
                <w:rFonts w:hint="eastAsia" w:ascii="宋体" w:hAnsi="宋体" w:eastAsia="宋体" w:cs="宋体"/>
                <w:sz w:val="24"/>
                <w:szCs w:val="24"/>
                <w:lang w:val="en-US" w:eastAsia="zh-CN"/>
              </w:rPr>
            </w:pPr>
            <w:r>
              <w:rPr>
                <w:rFonts w:hint="eastAsia" w:ascii="宋体" w:hAnsi="宋体" w:cs="宋体"/>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组织的知识</w:t>
            </w:r>
          </w:p>
        </w:tc>
        <w:tc>
          <w:tcPr>
            <w:tcW w:w="960" w:type="dxa"/>
          </w:tcPr>
          <w:p>
            <w:p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Q7.1.6</w:t>
            </w:r>
          </w:p>
        </w:tc>
        <w:tc>
          <w:tcPr>
            <w:tcW w:w="10004" w:type="dxa"/>
          </w:tcPr>
          <w:p>
            <w:pPr>
              <w:spacing w:line="240" w:lineRule="auto"/>
              <w:rPr>
                <w:rFonts w:hint="eastAsia" w:ascii="宋体" w:hAnsi="宋体" w:cs="宋体"/>
                <w:sz w:val="24"/>
                <w:szCs w:val="24"/>
                <w:lang w:val="en-US" w:eastAsia="zh-CN"/>
              </w:rPr>
            </w:pPr>
            <w:r>
              <w:rPr>
                <w:rFonts w:hint="eastAsia" w:ascii="宋体" w:hAnsi="宋体" w:cs="宋体"/>
                <w:sz w:val="24"/>
                <w:szCs w:val="24"/>
                <w:lang w:val="en-US" w:eastAsia="zh-CN"/>
              </w:rPr>
              <w:t>策划有《知识管理控制程序》，提供有“组织知识分类表”及“知识分析评价确认表”。</w:t>
            </w:r>
          </w:p>
          <w:p>
            <w:pPr>
              <w:spacing w:line="240" w:lineRule="auto"/>
              <w:rPr>
                <w:rFonts w:hint="eastAsia" w:ascii="宋体" w:hAnsi="宋体" w:cs="宋体"/>
                <w:sz w:val="24"/>
                <w:szCs w:val="24"/>
                <w:lang w:val="en-US" w:eastAsia="zh-CN"/>
              </w:rPr>
            </w:pPr>
            <w:r>
              <w:rPr>
                <w:rFonts w:hint="eastAsia" w:ascii="宋体" w:hAnsi="宋体" w:cs="宋体"/>
                <w:sz w:val="24"/>
                <w:szCs w:val="24"/>
                <w:lang w:val="en-US" w:eastAsia="zh-CN"/>
              </w:rPr>
              <w:t>抽查“知识分析评价确认表”；</w:t>
            </w:r>
          </w:p>
          <w:tbl>
            <w:tblPr>
              <w:tblStyle w:val="6"/>
              <w:tblW w:w="95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0"/>
              <w:gridCol w:w="586"/>
              <w:gridCol w:w="904"/>
              <w:gridCol w:w="1774"/>
              <w:gridCol w:w="1205"/>
              <w:gridCol w:w="1048"/>
              <w:gridCol w:w="960"/>
              <w:gridCol w:w="1646"/>
              <w:gridCol w:w="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520" w:type="dxa"/>
                  <w:vMerge w:val="restart"/>
                  <w:vAlign w:val="center"/>
                </w:tcPr>
                <w:p>
                  <w:pPr>
                    <w:spacing w:line="240" w:lineRule="auto"/>
                    <w:rPr>
                      <w:rFonts w:hint="eastAsia" w:ascii="宋体" w:hAnsi="宋体" w:cs="宋体"/>
                      <w:sz w:val="24"/>
                      <w:szCs w:val="24"/>
                      <w:lang w:val="en-US" w:eastAsia="zh-CN"/>
                    </w:rPr>
                  </w:pPr>
                  <w:r>
                    <w:rPr>
                      <w:rFonts w:hint="eastAsia" w:ascii="宋体" w:hAnsi="宋体" w:cs="宋体"/>
                      <w:sz w:val="24"/>
                      <w:szCs w:val="24"/>
                      <w:lang w:val="en-US" w:eastAsia="zh-CN"/>
                    </w:rPr>
                    <w:t>内部知识</w:t>
                  </w:r>
                </w:p>
              </w:tc>
              <w:tc>
                <w:tcPr>
                  <w:tcW w:w="586" w:type="dxa"/>
                  <w:vMerge w:val="restart"/>
                  <w:vAlign w:val="center"/>
                </w:tcPr>
                <w:p>
                  <w:pPr>
                    <w:spacing w:line="240" w:lineRule="auto"/>
                    <w:rPr>
                      <w:rFonts w:hint="eastAsia" w:ascii="宋体" w:hAnsi="宋体" w:cs="宋体"/>
                      <w:sz w:val="24"/>
                      <w:szCs w:val="24"/>
                      <w:lang w:val="en-US" w:eastAsia="zh-CN"/>
                    </w:rPr>
                  </w:pPr>
                  <w:r>
                    <w:rPr>
                      <w:rFonts w:hint="eastAsia" w:ascii="宋体" w:hAnsi="宋体" w:cs="宋体"/>
                      <w:sz w:val="24"/>
                      <w:szCs w:val="24"/>
                      <w:lang w:val="en-US" w:eastAsia="zh-CN"/>
                    </w:rPr>
                    <w:t>内部成功经验或失败教训</w:t>
                  </w:r>
                </w:p>
              </w:tc>
              <w:tc>
                <w:tcPr>
                  <w:tcW w:w="904" w:type="dxa"/>
                  <w:vMerge w:val="restart"/>
                  <w:vAlign w:val="center"/>
                </w:tcPr>
                <w:p>
                  <w:pPr>
                    <w:spacing w:line="240" w:lineRule="auto"/>
                    <w:rPr>
                      <w:rFonts w:hint="eastAsia" w:ascii="宋体" w:hAnsi="宋体" w:cs="宋体"/>
                      <w:sz w:val="24"/>
                      <w:szCs w:val="24"/>
                      <w:lang w:val="en-US" w:eastAsia="zh-CN"/>
                    </w:rPr>
                  </w:pPr>
                  <w:r>
                    <w:rPr>
                      <w:rFonts w:hint="eastAsia" w:ascii="宋体" w:hAnsi="宋体" w:cs="宋体"/>
                      <w:sz w:val="24"/>
                      <w:szCs w:val="24"/>
                      <w:lang w:val="en-US" w:eastAsia="zh-CN"/>
                    </w:rPr>
                    <w:t>客户投诉资料、品质异常单</w:t>
                  </w:r>
                </w:p>
              </w:tc>
              <w:tc>
                <w:tcPr>
                  <w:tcW w:w="1774" w:type="dxa"/>
                  <w:vAlign w:val="center"/>
                </w:tcPr>
                <w:p>
                  <w:pPr>
                    <w:spacing w:line="240" w:lineRule="auto"/>
                    <w:rPr>
                      <w:rFonts w:hint="eastAsia" w:ascii="宋体" w:hAnsi="宋体" w:cs="宋体"/>
                      <w:sz w:val="24"/>
                      <w:szCs w:val="24"/>
                      <w:lang w:val="en-US" w:eastAsia="zh-CN"/>
                    </w:rPr>
                  </w:pPr>
                  <w:r>
                    <w:rPr>
                      <w:rFonts w:hint="eastAsia" w:ascii="宋体" w:hAnsi="宋体" w:cs="宋体"/>
                      <w:sz w:val="24"/>
                      <w:szCs w:val="24"/>
                      <w:lang w:val="en-US" w:eastAsia="zh-CN"/>
                    </w:rPr>
                    <w:t>服务流程的改进、产品质量的发现</w:t>
                  </w:r>
                </w:p>
              </w:tc>
              <w:tc>
                <w:tcPr>
                  <w:tcW w:w="1205" w:type="dxa"/>
                  <w:vAlign w:val="center"/>
                </w:tcPr>
                <w:p>
                  <w:pPr>
                    <w:spacing w:line="240" w:lineRule="auto"/>
                    <w:rPr>
                      <w:rFonts w:hint="eastAsia" w:ascii="宋体" w:hAnsi="宋体" w:cs="宋体"/>
                      <w:sz w:val="24"/>
                      <w:szCs w:val="24"/>
                      <w:lang w:val="en-US" w:eastAsia="zh-CN"/>
                    </w:rPr>
                  </w:pPr>
                  <w:r>
                    <w:rPr>
                      <w:rFonts w:hint="eastAsia" w:ascii="宋体" w:hAnsi="宋体" w:cs="宋体"/>
                      <w:sz w:val="24"/>
                      <w:szCs w:val="24"/>
                      <w:lang w:val="en-US" w:eastAsia="zh-CN"/>
                    </w:rPr>
                    <w:t>常见的不合格服务、常见不合格产品的发现</w:t>
                  </w:r>
                </w:p>
              </w:tc>
              <w:tc>
                <w:tcPr>
                  <w:tcW w:w="1048" w:type="dxa"/>
                  <w:vAlign w:val="center"/>
                </w:tcPr>
                <w:p>
                  <w:pPr>
                    <w:spacing w:line="240" w:lineRule="auto"/>
                    <w:rPr>
                      <w:rFonts w:hint="eastAsia" w:ascii="宋体" w:hAnsi="宋体" w:cs="宋体"/>
                      <w:sz w:val="24"/>
                      <w:szCs w:val="24"/>
                      <w:lang w:val="en-US" w:eastAsia="zh-CN"/>
                    </w:rPr>
                  </w:pPr>
                  <w:r>
                    <w:rPr>
                      <w:rFonts w:hint="eastAsia" w:ascii="宋体" w:hAnsi="宋体" w:cs="宋体"/>
                      <w:sz w:val="24"/>
                      <w:szCs w:val="24"/>
                      <w:lang w:val="en-US" w:eastAsia="zh-CN"/>
                    </w:rPr>
                    <w:t>流程改进、品质异常处理</w:t>
                  </w:r>
                </w:p>
              </w:tc>
              <w:tc>
                <w:tcPr>
                  <w:tcW w:w="960" w:type="dxa"/>
                  <w:vAlign w:val="center"/>
                </w:tcPr>
                <w:p>
                  <w:pPr>
                    <w:spacing w:line="240" w:lineRule="auto"/>
                    <w:rPr>
                      <w:rFonts w:hint="eastAsia" w:ascii="宋体" w:hAnsi="宋体" w:cs="宋体"/>
                      <w:sz w:val="24"/>
                      <w:szCs w:val="24"/>
                      <w:lang w:val="en-US" w:eastAsia="zh-CN"/>
                    </w:rPr>
                  </w:pPr>
                  <w:r>
                    <w:rPr>
                      <w:rFonts w:hint="eastAsia" w:ascii="宋体" w:hAnsi="宋体" w:cs="宋体"/>
                      <w:sz w:val="24"/>
                      <w:szCs w:val="24"/>
                      <w:lang w:val="en-US" w:eastAsia="zh-CN"/>
                    </w:rPr>
                    <w:t>目前适用</w:t>
                  </w:r>
                </w:p>
              </w:tc>
              <w:tc>
                <w:tcPr>
                  <w:tcW w:w="1646" w:type="dxa"/>
                  <w:vAlign w:val="center"/>
                </w:tcPr>
                <w:p>
                  <w:pPr>
                    <w:spacing w:line="240" w:lineRule="auto"/>
                    <w:rPr>
                      <w:rFonts w:hint="eastAsia" w:ascii="宋体" w:hAnsi="宋体" w:cs="宋体"/>
                      <w:sz w:val="24"/>
                      <w:szCs w:val="24"/>
                      <w:lang w:val="en-US" w:eastAsia="zh-CN"/>
                    </w:rPr>
                  </w:pPr>
                  <w:r>
                    <w:rPr>
                      <w:rFonts w:hint="eastAsia" w:ascii="宋体" w:hAnsi="宋体" w:cs="宋体"/>
                      <w:sz w:val="24"/>
                      <w:szCs w:val="24"/>
                      <w:lang w:val="en-US" w:eastAsia="zh-CN"/>
                    </w:rPr>
                    <w:t>转化为销售流程的改进及实施</w:t>
                  </w:r>
                </w:p>
              </w:tc>
              <w:tc>
                <w:tcPr>
                  <w:tcW w:w="932" w:type="dxa"/>
                  <w:vAlign w:val="center"/>
                </w:tcPr>
                <w:p>
                  <w:pPr>
                    <w:spacing w:line="240" w:lineRule="auto"/>
                    <w:rPr>
                      <w:rFonts w:hint="eastAsia" w:ascii="宋体" w:hAnsi="宋体" w:cs="宋体"/>
                      <w:sz w:val="24"/>
                      <w:szCs w:val="24"/>
                      <w:lang w:val="en-US" w:eastAsia="zh-CN"/>
                    </w:rPr>
                  </w:pPr>
                  <w:r>
                    <w:rPr>
                      <w:rFonts w:hint="eastAsia" w:ascii="宋体" w:hAnsi="宋体" w:cs="宋体"/>
                      <w:sz w:val="24"/>
                      <w:szCs w:val="24"/>
                      <w:lang w:val="en-US" w:eastAsia="zh-CN"/>
                    </w:rPr>
                    <w:t>合同管理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9" w:hRule="atLeast"/>
                <w:jc w:val="center"/>
              </w:trPr>
              <w:tc>
                <w:tcPr>
                  <w:tcW w:w="520" w:type="dxa"/>
                  <w:vMerge w:val="continue"/>
                  <w:vAlign w:val="center"/>
                </w:tcPr>
                <w:p>
                  <w:pPr>
                    <w:spacing w:line="240" w:lineRule="auto"/>
                    <w:rPr>
                      <w:rFonts w:hint="eastAsia" w:ascii="宋体" w:hAnsi="宋体" w:cs="宋体"/>
                      <w:sz w:val="24"/>
                      <w:szCs w:val="24"/>
                      <w:lang w:val="en-US" w:eastAsia="zh-CN"/>
                    </w:rPr>
                  </w:pPr>
                </w:p>
              </w:tc>
              <w:tc>
                <w:tcPr>
                  <w:tcW w:w="586" w:type="dxa"/>
                  <w:vMerge w:val="continue"/>
                  <w:vAlign w:val="center"/>
                </w:tcPr>
                <w:p>
                  <w:pPr>
                    <w:spacing w:line="240" w:lineRule="auto"/>
                    <w:rPr>
                      <w:rFonts w:hint="eastAsia" w:ascii="宋体" w:hAnsi="宋体" w:cs="宋体"/>
                      <w:sz w:val="24"/>
                      <w:szCs w:val="24"/>
                      <w:lang w:val="en-US" w:eastAsia="zh-CN"/>
                    </w:rPr>
                  </w:pPr>
                </w:p>
              </w:tc>
              <w:tc>
                <w:tcPr>
                  <w:tcW w:w="904" w:type="dxa"/>
                  <w:vMerge w:val="continue"/>
                  <w:vAlign w:val="center"/>
                </w:tcPr>
                <w:p>
                  <w:pPr>
                    <w:spacing w:line="240" w:lineRule="auto"/>
                    <w:rPr>
                      <w:rFonts w:hint="eastAsia" w:ascii="宋体" w:hAnsi="宋体" w:cs="宋体"/>
                      <w:sz w:val="24"/>
                      <w:szCs w:val="24"/>
                      <w:lang w:val="en-US" w:eastAsia="zh-CN"/>
                    </w:rPr>
                  </w:pPr>
                </w:p>
              </w:tc>
              <w:tc>
                <w:tcPr>
                  <w:tcW w:w="1774" w:type="dxa"/>
                  <w:vAlign w:val="center"/>
                </w:tcPr>
                <w:p>
                  <w:pPr>
                    <w:spacing w:line="240" w:lineRule="auto"/>
                    <w:rPr>
                      <w:rFonts w:hint="eastAsia" w:ascii="宋体" w:hAnsi="宋体" w:cs="宋体"/>
                      <w:sz w:val="24"/>
                      <w:szCs w:val="24"/>
                      <w:lang w:val="en-US" w:eastAsia="zh-CN"/>
                    </w:rPr>
                  </w:pPr>
                  <w:r>
                    <w:rPr>
                      <w:rFonts w:hint="eastAsia" w:ascii="宋体" w:hAnsi="宋体" w:cs="宋体"/>
                      <w:sz w:val="24"/>
                      <w:szCs w:val="24"/>
                      <w:lang w:val="en-US" w:eastAsia="zh-CN"/>
                    </w:rPr>
                    <w:t>企业经营管理知识</w:t>
                  </w:r>
                </w:p>
              </w:tc>
              <w:tc>
                <w:tcPr>
                  <w:tcW w:w="1205" w:type="dxa"/>
                  <w:vAlign w:val="center"/>
                </w:tcPr>
                <w:p>
                  <w:pPr>
                    <w:spacing w:line="240" w:lineRule="auto"/>
                    <w:rPr>
                      <w:rFonts w:hint="eastAsia" w:ascii="宋体" w:hAnsi="宋体" w:cs="宋体"/>
                      <w:sz w:val="24"/>
                      <w:szCs w:val="24"/>
                      <w:lang w:val="en-US" w:eastAsia="zh-CN"/>
                    </w:rPr>
                  </w:pPr>
                  <w:r>
                    <w:rPr>
                      <w:rFonts w:hint="eastAsia" w:ascii="宋体" w:hAnsi="宋体" w:cs="宋体"/>
                      <w:sz w:val="24"/>
                      <w:szCs w:val="24"/>
                      <w:lang w:val="en-US" w:eastAsia="zh-CN"/>
                    </w:rPr>
                    <w:t>职责权限分配技巧、绩效考核、目标设定方法、流程优化知识等</w:t>
                  </w:r>
                </w:p>
              </w:tc>
              <w:tc>
                <w:tcPr>
                  <w:tcW w:w="1048" w:type="dxa"/>
                  <w:vAlign w:val="center"/>
                </w:tcPr>
                <w:p>
                  <w:pPr>
                    <w:spacing w:line="240" w:lineRule="auto"/>
                    <w:rPr>
                      <w:rFonts w:hint="eastAsia" w:ascii="宋体" w:hAnsi="宋体" w:cs="宋体"/>
                      <w:sz w:val="24"/>
                      <w:szCs w:val="24"/>
                      <w:lang w:val="en-US" w:eastAsia="zh-CN"/>
                    </w:rPr>
                  </w:pPr>
                  <w:r>
                    <w:rPr>
                      <w:rFonts w:hint="eastAsia" w:ascii="宋体" w:hAnsi="宋体" w:cs="宋体"/>
                      <w:sz w:val="24"/>
                      <w:szCs w:val="24"/>
                      <w:lang w:val="en-US" w:eastAsia="zh-CN"/>
                    </w:rPr>
                    <w:t>公司内部经营管理</w:t>
                  </w:r>
                </w:p>
              </w:tc>
              <w:tc>
                <w:tcPr>
                  <w:tcW w:w="960" w:type="dxa"/>
                  <w:vAlign w:val="center"/>
                </w:tcPr>
                <w:p>
                  <w:pPr>
                    <w:spacing w:line="240" w:lineRule="auto"/>
                    <w:rPr>
                      <w:rFonts w:hint="eastAsia" w:ascii="宋体" w:hAnsi="宋体" w:cs="宋体"/>
                      <w:sz w:val="24"/>
                      <w:szCs w:val="24"/>
                      <w:lang w:val="en-US" w:eastAsia="zh-CN"/>
                    </w:rPr>
                  </w:pPr>
                  <w:r>
                    <w:rPr>
                      <w:rFonts w:hint="eastAsia" w:ascii="宋体" w:hAnsi="宋体" w:cs="宋体"/>
                      <w:sz w:val="24"/>
                      <w:szCs w:val="24"/>
                      <w:lang w:val="en-US" w:eastAsia="zh-CN"/>
                    </w:rPr>
                    <w:t>目前适用</w:t>
                  </w:r>
                </w:p>
              </w:tc>
              <w:tc>
                <w:tcPr>
                  <w:tcW w:w="1646" w:type="dxa"/>
                  <w:vAlign w:val="center"/>
                </w:tcPr>
                <w:p>
                  <w:pPr>
                    <w:spacing w:line="240" w:lineRule="auto"/>
                    <w:rPr>
                      <w:rFonts w:hint="eastAsia" w:ascii="宋体" w:hAnsi="宋体" w:cs="宋体"/>
                      <w:sz w:val="24"/>
                      <w:szCs w:val="24"/>
                      <w:lang w:val="en-US" w:eastAsia="zh-CN"/>
                    </w:rPr>
                  </w:pPr>
                  <w:r>
                    <w:rPr>
                      <w:rFonts w:hint="eastAsia" w:ascii="宋体" w:hAnsi="宋体" w:cs="宋体"/>
                      <w:sz w:val="24"/>
                      <w:szCs w:val="24"/>
                      <w:lang w:val="en-US" w:eastAsia="zh-CN"/>
                    </w:rPr>
                    <w:t>转化为目标分配表、绩效考核表等</w:t>
                  </w:r>
                </w:p>
              </w:tc>
              <w:tc>
                <w:tcPr>
                  <w:tcW w:w="932" w:type="dxa"/>
                  <w:vAlign w:val="center"/>
                </w:tcPr>
                <w:p>
                  <w:pPr>
                    <w:spacing w:line="240" w:lineRule="auto"/>
                    <w:rPr>
                      <w:rFonts w:hint="eastAsia" w:ascii="宋体" w:hAnsi="宋体" w:cs="宋体"/>
                      <w:sz w:val="24"/>
                      <w:szCs w:val="24"/>
                      <w:lang w:val="en-US" w:eastAsia="zh-CN"/>
                    </w:rPr>
                  </w:pPr>
                  <w:r>
                    <w:rPr>
                      <w:rFonts w:hint="eastAsia" w:ascii="宋体" w:hAnsi="宋体" w:cs="宋体"/>
                      <w:sz w:val="24"/>
                      <w:szCs w:val="24"/>
                      <w:lang w:val="en-US" w:eastAsia="zh-CN"/>
                    </w:rPr>
                    <w:t>公司领导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1" w:hRule="atLeast"/>
                <w:jc w:val="center"/>
              </w:trPr>
              <w:tc>
                <w:tcPr>
                  <w:tcW w:w="520" w:type="dxa"/>
                  <w:vMerge w:val="restart"/>
                  <w:tcBorders>
                    <w:top w:val="nil"/>
                  </w:tcBorders>
                  <w:vAlign w:val="center"/>
                </w:tcPr>
                <w:p>
                  <w:pPr>
                    <w:spacing w:line="240" w:lineRule="auto"/>
                    <w:rPr>
                      <w:rFonts w:hint="eastAsia" w:ascii="宋体" w:hAnsi="宋体" w:cs="宋体"/>
                      <w:sz w:val="24"/>
                      <w:szCs w:val="24"/>
                      <w:lang w:val="en-US" w:eastAsia="zh-CN"/>
                    </w:rPr>
                  </w:pPr>
                  <w:r>
                    <w:rPr>
                      <w:rFonts w:hint="eastAsia" w:ascii="宋体" w:hAnsi="宋体" w:cs="宋体"/>
                      <w:sz w:val="24"/>
                      <w:szCs w:val="24"/>
                      <w:lang w:val="en-US" w:eastAsia="zh-CN"/>
                    </w:rPr>
                    <w:t>内部知识</w:t>
                  </w:r>
                </w:p>
              </w:tc>
              <w:tc>
                <w:tcPr>
                  <w:tcW w:w="586" w:type="dxa"/>
                  <w:vMerge w:val="restart"/>
                  <w:vAlign w:val="center"/>
                </w:tcPr>
                <w:p>
                  <w:pPr>
                    <w:spacing w:line="240" w:lineRule="auto"/>
                    <w:rPr>
                      <w:rFonts w:hint="eastAsia" w:ascii="宋体" w:hAnsi="宋体" w:cs="宋体"/>
                      <w:sz w:val="24"/>
                      <w:szCs w:val="24"/>
                      <w:lang w:val="en-US" w:eastAsia="zh-CN"/>
                    </w:rPr>
                  </w:pPr>
                  <w:r>
                    <w:rPr>
                      <w:rFonts w:hint="eastAsia" w:ascii="宋体" w:hAnsi="宋体" w:cs="宋体"/>
                      <w:sz w:val="24"/>
                      <w:szCs w:val="24"/>
                      <w:lang w:val="en-US" w:eastAsia="zh-CN"/>
                    </w:rPr>
                    <w:t>参考类</w:t>
                  </w:r>
                </w:p>
              </w:tc>
              <w:tc>
                <w:tcPr>
                  <w:tcW w:w="904" w:type="dxa"/>
                  <w:vAlign w:val="center"/>
                </w:tcPr>
                <w:p>
                  <w:pPr>
                    <w:spacing w:line="240" w:lineRule="auto"/>
                    <w:rPr>
                      <w:rFonts w:hint="eastAsia" w:ascii="宋体" w:hAnsi="宋体" w:cs="宋体"/>
                      <w:sz w:val="24"/>
                      <w:szCs w:val="24"/>
                      <w:lang w:val="en-US" w:eastAsia="zh-CN"/>
                    </w:rPr>
                  </w:pPr>
                  <w:r>
                    <w:rPr>
                      <w:rFonts w:hint="eastAsia" w:ascii="宋体" w:hAnsi="宋体" w:cs="宋体"/>
                      <w:sz w:val="24"/>
                      <w:szCs w:val="24"/>
                      <w:lang w:val="en-US" w:eastAsia="zh-CN"/>
                    </w:rPr>
                    <w:t>优秀的管理方法</w:t>
                  </w:r>
                </w:p>
              </w:tc>
              <w:tc>
                <w:tcPr>
                  <w:tcW w:w="1774" w:type="dxa"/>
                  <w:vAlign w:val="center"/>
                </w:tcPr>
                <w:p>
                  <w:pPr>
                    <w:spacing w:line="240" w:lineRule="auto"/>
                    <w:rPr>
                      <w:rFonts w:hint="eastAsia" w:ascii="宋体" w:hAnsi="宋体" w:cs="宋体"/>
                      <w:sz w:val="24"/>
                      <w:szCs w:val="24"/>
                      <w:lang w:val="en-US" w:eastAsia="zh-CN"/>
                    </w:rPr>
                  </w:pPr>
                  <w:r>
                    <w:rPr>
                      <w:rFonts w:hint="eastAsia" w:ascii="宋体" w:hAnsi="宋体" w:cs="宋体"/>
                      <w:sz w:val="24"/>
                      <w:szCs w:val="24"/>
                      <w:lang w:val="en-US" w:eastAsia="zh-CN"/>
                    </w:rPr>
                    <w:t>培训</w:t>
                  </w:r>
                </w:p>
              </w:tc>
              <w:tc>
                <w:tcPr>
                  <w:tcW w:w="1205" w:type="dxa"/>
                  <w:vAlign w:val="center"/>
                </w:tcPr>
                <w:p>
                  <w:pPr>
                    <w:spacing w:line="240" w:lineRule="auto"/>
                    <w:rPr>
                      <w:rFonts w:hint="eastAsia" w:ascii="宋体" w:hAnsi="宋体" w:cs="宋体"/>
                      <w:sz w:val="24"/>
                      <w:szCs w:val="24"/>
                      <w:lang w:val="en-US" w:eastAsia="zh-CN"/>
                    </w:rPr>
                  </w:pPr>
                  <w:r>
                    <w:rPr>
                      <w:rFonts w:hint="eastAsia" w:ascii="宋体" w:hAnsi="宋体" w:cs="宋体"/>
                      <w:sz w:val="24"/>
                      <w:szCs w:val="24"/>
                      <w:lang w:val="en-US" w:eastAsia="zh-CN"/>
                    </w:rPr>
                    <w:t>提高管理减少耗费</w:t>
                  </w:r>
                </w:p>
              </w:tc>
              <w:tc>
                <w:tcPr>
                  <w:tcW w:w="1048" w:type="dxa"/>
                  <w:vAlign w:val="center"/>
                </w:tcPr>
                <w:p>
                  <w:pPr>
                    <w:spacing w:line="240" w:lineRule="auto"/>
                    <w:rPr>
                      <w:rFonts w:hint="eastAsia" w:ascii="宋体" w:hAnsi="宋体" w:cs="宋体"/>
                      <w:sz w:val="24"/>
                      <w:szCs w:val="24"/>
                      <w:lang w:val="en-US" w:eastAsia="zh-CN"/>
                    </w:rPr>
                  </w:pPr>
                  <w:r>
                    <w:rPr>
                      <w:rFonts w:hint="eastAsia" w:ascii="宋体" w:hAnsi="宋体" w:cs="宋体"/>
                      <w:sz w:val="24"/>
                      <w:szCs w:val="24"/>
                      <w:lang w:val="en-US" w:eastAsia="zh-CN"/>
                    </w:rPr>
                    <w:t>公司内部经营管理</w:t>
                  </w:r>
                </w:p>
              </w:tc>
              <w:tc>
                <w:tcPr>
                  <w:tcW w:w="960" w:type="dxa"/>
                  <w:vAlign w:val="center"/>
                </w:tcPr>
                <w:p>
                  <w:pPr>
                    <w:spacing w:line="240" w:lineRule="auto"/>
                    <w:rPr>
                      <w:rFonts w:hint="eastAsia" w:ascii="宋体" w:hAnsi="宋体" w:cs="宋体"/>
                      <w:sz w:val="24"/>
                      <w:szCs w:val="24"/>
                      <w:lang w:val="en-US" w:eastAsia="zh-CN"/>
                    </w:rPr>
                  </w:pPr>
                  <w:r>
                    <w:rPr>
                      <w:rFonts w:hint="eastAsia" w:ascii="宋体" w:hAnsi="宋体" w:cs="宋体"/>
                      <w:sz w:val="24"/>
                      <w:szCs w:val="24"/>
                      <w:lang w:val="en-US" w:eastAsia="zh-CN"/>
                    </w:rPr>
                    <w:t>适用</w:t>
                  </w:r>
                </w:p>
              </w:tc>
              <w:tc>
                <w:tcPr>
                  <w:tcW w:w="1646" w:type="dxa"/>
                  <w:vAlign w:val="center"/>
                </w:tcPr>
                <w:p>
                  <w:pPr>
                    <w:spacing w:line="240" w:lineRule="auto"/>
                    <w:rPr>
                      <w:rFonts w:hint="eastAsia" w:ascii="宋体" w:hAnsi="宋体" w:cs="宋体"/>
                      <w:sz w:val="24"/>
                      <w:szCs w:val="24"/>
                      <w:lang w:val="en-US" w:eastAsia="zh-CN"/>
                    </w:rPr>
                  </w:pPr>
                  <w:r>
                    <w:rPr>
                      <w:rFonts w:hint="eastAsia" w:ascii="宋体" w:hAnsi="宋体" w:cs="宋体"/>
                      <w:sz w:val="24"/>
                      <w:szCs w:val="24"/>
                      <w:lang w:val="en-US" w:eastAsia="zh-CN"/>
                    </w:rPr>
                    <w:t>形成文件化的信息、内部培训、内审等</w:t>
                  </w:r>
                </w:p>
              </w:tc>
              <w:tc>
                <w:tcPr>
                  <w:tcW w:w="932" w:type="dxa"/>
                  <w:vAlign w:val="center"/>
                </w:tcPr>
                <w:p>
                  <w:pPr>
                    <w:spacing w:line="240" w:lineRule="auto"/>
                    <w:rPr>
                      <w:rFonts w:hint="eastAsia" w:ascii="宋体" w:hAnsi="宋体" w:cs="宋体"/>
                      <w:sz w:val="24"/>
                      <w:szCs w:val="24"/>
                      <w:lang w:val="en-US" w:eastAsia="zh-CN"/>
                    </w:rPr>
                  </w:pPr>
                  <w:r>
                    <w:rPr>
                      <w:rFonts w:hint="eastAsia" w:ascii="宋体" w:hAnsi="宋体" w:cs="宋体"/>
                      <w:sz w:val="24"/>
                      <w:szCs w:val="24"/>
                      <w:lang w:val="en-US" w:eastAsia="zh-CN"/>
                    </w:rPr>
                    <w:t>安全管理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520" w:type="dxa"/>
                  <w:vMerge w:val="continue"/>
                  <w:vAlign w:val="center"/>
                </w:tcPr>
                <w:p>
                  <w:pPr>
                    <w:spacing w:line="240" w:lineRule="auto"/>
                    <w:rPr>
                      <w:rFonts w:hint="eastAsia" w:ascii="宋体" w:hAnsi="宋体" w:cs="宋体"/>
                      <w:sz w:val="24"/>
                      <w:szCs w:val="24"/>
                      <w:lang w:val="en-US" w:eastAsia="zh-CN"/>
                    </w:rPr>
                  </w:pPr>
                </w:p>
              </w:tc>
              <w:tc>
                <w:tcPr>
                  <w:tcW w:w="586" w:type="dxa"/>
                  <w:vMerge w:val="continue"/>
                  <w:vAlign w:val="center"/>
                </w:tcPr>
                <w:p>
                  <w:pPr>
                    <w:spacing w:line="240" w:lineRule="auto"/>
                    <w:rPr>
                      <w:rFonts w:hint="eastAsia" w:ascii="宋体" w:hAnsi="宋体" w:cs="宋体"/>
                      <w:sz w:val="24"/>
                      <w:szCs w:val="24"/>
                      <w:lang w:val="en-US" w:eastAsia="zh-CN"/>
                    </w:rPr>
                  </w:pPr>
                </w:p>
              </w:tc>
              <w:tc>
                <w:tcPr>
                  <w:tcW w:w="904" w:type="dxa"/>
                  <w:vAlign w:val="center"/>
                </w:tcPr>
                <w:p>
                  <w:pPr>
                    <w:spacing w:line="240" w:lineRule="auto"/>
                    <w:rPr>
                      <w:rFonts w:hint="eastAsia" w:ascii="宋体" w:hAnsi="宋体" w:cs="宋体"/>
                      <w:sz w:val="24"/>
                      <w:szCs w:val="24"/>
                      <w:lang w:val="en-US" w:eastAsia="zh-CN"/>
                    </w:rPr>
                  </w:pPr>
                  <w:r>
                    <w:rPr>
                      <w:rFonts w:hint="eastAsia" w:ascii="宋体" w:hAnsi="宋体" w:cs="宋体"/>
                      <w:sz w:val="24"/>
                      <w:szCs w:val="24"/>
                      <w:lang w:val="en-US" w:eastAsia="zh-CN"/>
                    </w:rPr>
                    <w:t>工作经验总结</w:t>
                  </w:r>
                </w:p>
              </w:tc>
              <w:tc>
                <w:tcPr>
                  <w:tcW w:w="1774" w:type="dxa"/>
                  <w:vAlign w:val="center"/>
                </w:tcPr>
                <w:p>
                  <w:pPr>
                    <w:spacing w:line="240" w:lineRule="auto"/>
                    <w:rPr>
                      <w:rFonts w:hint="eastAsia" w:ascii="宋体" w:hAnsi="宋体" w:cs="宋体"/>
                      <w:sz w:val="24"/>
                      <w:szCs w:val="24"/>
                      <w:lang w:val="en-US" w:eastAsia="zh-CN"/>
                    </w:rPr>
                  </w:pPr>
                  <w:r>
                    <w:rPr>
                      <w:rFonts w:hint="eastAsia" w:ascii="宋体" w:hAnsi="宋体" w:cs="宋体"/>
                      <w:sz w:val="24"/>
                      <w:szCs w:val="24"/>
                      <w:lang w:val="en-US" w:eastAsia="zh-CN"/>
                    </w:rPr>
                    <w:t>岗位工作技能与经验</w:t>
                  </w:r>
                </w:p>
              </w:tc>
              <w:tc>
                <w:tcPr>
                  <w:tcW w:w="1205" w:type="dxa"/>
                  <w:vAlign w:val="center"/>
                </w:tcPr>
                <w:p>
                  <w:pPr>
                    <w:spacing w:line="240" w:lineRule="auto"/>
                    <w:rPr>
                      <w:rFonts w:hint="eastAsia" w:ascii="宋体" w:hAnsi="宋体" w:cs="宋体"/>
                      <w:sz w:val="24"/>
                      <w:szCs w:val="24"/>
                      <w:lang w:val="en-US" w:eastAsia="zh-CN"/>
                    </w:rPr>
                  </w:pPr>
                  <w:r>
                    <w:rPr>
                      <w:rFonts w:hint="eastAsia" w:ascii="宋体" w:hAnsi="宋体" w:cs="宋体"/>
                      <w:sz w:val="24"/>
                      <w:szCs w:val="24"/>
                      <w:lang w:val="en-US" w:eastAsia="zh-CN"/>
                    </w:rPr>
                    <w:t>积累提高</w:t>
                  </w:r>
                </w:p>
              </w:tc>
              <w:tc>
                <w:tcPr>
                  <w:tcW w:w="1048" w:type="dxa"/>
                  <w:vAlign w:val="center"/>
                </w:tcPr>
                <w:p>
                  <w:pPr>
                    <w:spacing w:line="240" w:lineRule="auto"/>
                    <w:rPr>
                      <w:rFonts w:hint="eastAsia" w:ascii="宋体" w:hAnsi="宋体" w:cs="宋体"/>
                      <w:sz w:val="24"/>
                      <w:szCs w:val="24"/>
                      <w:lang w:val="en-US" w:eastAsia="zh-CN"/>
                    </w:rPr>
                  </w:pPr>
                  <w:r>
                    <w:rPr>
                      <w:rFonts w:hint="eastAsia" w:ascii="宋体" w:hAnsi="宋体" w:cs="宋体"/>
                      <w:sz w:val="24"/>
                      <w:szCs w:val="24"/>
                      <w:lang w:val="en-US" w:eastAsia="zh-CN"/>
                    </w:rPr>
                    <w:t>部门工作，岗位指导</w:t>
                  </w:r>
                </w:p>
              </w:tc>
              <w:tc>
                <w:tcPr>
                  <w:tcW w:w="960" w:type="dxa"/>
                  <w:vAlign w:val="center"/>
                </w:tcPr>
                <w:p>
                  <w:pPr>
                    <w:spacing w:line="240" w:lineRule="auto"/>
                    <w:rPr>
                      <w:rFonts w:hint="eastAsia" w:ascii="宋体" w:hAnsi="宋体" w:cs="宋体"/>
                      <w:sz w:val="24"/>
                      <w:szCs w:val="24"/>
                      <w:lang w:val="en-US" w:eastAsia="zh-CN"/>
                    </w:rPr>
                  </w:pPr>
                  <w:r>
                    <w:rPr>
                      <w:rFonts w:hint="eastAsia" w:ascii="宋体" w:hAnsi="宋体" w:cs="宋体"/>
                      <w:sz w:val="24"/>
                      <w:szCs w:val="24"/>
                      <w:lang w:val="en-US" w:eastAsia="zh-CN"/>
                    </w:rPr>
                    <w:t>适用</w:t>
                  </w:r>
                </w:p>
              </w:tc>
              <w:tc>
                <w:tcPr>
                  <w:tcW w:w="1646" w:type="dxa"/>
                  <w:vAlign w:val="center"/>
                </w:tcPr>
                <w:p>
                  <w:pPr>
                    <w:spacing w:line="240" w:lineRule="auto"/>
                    <w:rPr>
                      <w:rFonts w:hint="eastAsia" w:ascii="宋体" w:hAnsi="宋体" w:cs="宋体"/>
                      <w:sz w:val="24"/>
                      <w:szCs w:val="24"/>
                      <w:lang w:val="en-US" w:eastAsia="zh-CN"/>
                    </w:rPr>
                  </w:pPr>
                  <w:r>
                    <w:rPr>
                      <w:rFonts w:hint="eastAsia" w:ascii="宋体" w:hAnsi="宋体" w:cs="宋体"/>
                      <w:sz w:val="24"/>
                      <w:szCs w:val="24"/>
                      <w:lang w:val="en-US" w:eastAsia="zh-CN"/>
                    </w:rPr>
                    <w:t>QC小组会、报告</w:t>
                  </w:r>
                </w:p>
              </w:tc>
              <w:tc>
                <w:tcPr>
                  <w:tcW w:w="932" w:type="dxa"/>
                  <w:vAlign w:val="center"/>
                </w:tcPr>
                <w:p>
                  <w:pPr>
                    <w:spacing w:line="240" w:lineRule="auto"/>
                    <w:rPr>
                      <w:rFonts w:hint="eastAsia" w:ascii="宋体" w:hAnsi="宋体" w:cs="宋体"/>
                      <w:sz w:val="24"/>
                      <w:szCs w:val="24"/>
                      <w:lang w:val="en-US" w:eastAsia="zh-CN"/>
                    </w:rPr>
                  </w:pPr>
                  <w:r>
                    <w:rPr>
                      <w:rFonts w:hint="eastAsia" w:ascii="宋体" w:hAnsi="宋体" w:cs="宋体"/>
                      <w:sz w:val="24"/>
                      <w:szCs w:val="24"/>
                      <w:lang w:val="en-US" w:eastAsia="zh-CN"/>
                    </w:rPr>
                    <w:t>计划统计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2" w:hRule="atLeast"/>
                <w:jc w:val="center"/>
              </w:trPr>
              <w:tc>
                <w:tcPr>
                  <w:tcW w:w="520" w:type="dxa"/>
                  <w:vMerge w:val="continue"/>
                  <w:vAlign w:val="center"/>
                </w:tcPr>
                <w:p>
                  <w:pPr>
                    <w:spacing w:line="240" w:lineRule="auto"/>
                    <w:rPr>
                      <w:rFonts w:hint="eastAsia" w:ascii="宋体" w:hAnsi="宋体" w:cs="宋体"/>
                      <w:sz w:val="24"/>
                      <w:szCs w:val="24"/>
                      <w:lang w:val="en-US" w:eastAsia="zh-CN"/>
                    </w:rPr>
                  </w:pPr>
                </w:p>
              </w:tc>
              <w:tc>
                <w:tcPr>
                  <w:tcW w:w="586" w:type="dxa"/>
                  <w:vMerge w:val="continue"/>
                  <w:vAlign w:val="center"/>
                </w:tcPr>
                <w:p>
                  <w:pPr>
                    <w:spacing w:line="240" w:lineRule="auto"/>
                    <w:rPr>
                      <w:rFonts w:hint="eastAsia" w:ascii="宋体" w:hAnsi="宋体" w:cs="宋体"/>
                      <w:sz w:val="24"/>
                      <w:szCs w:val="24"/>
                      <w:lang w:val="en-US" w:eastAsia="zh-CN"/>
                    </w:rPr>
                  </w:pPr>
                </w:p>
              </w:tc>
              <w:tc>
                <w:tcPr>
                  <w:tcW w:w="904" w:type="dxa"/>
                  <w:vAlign w:val="center"/>
                </w:tcPr>
                <w:p>
                  <w:pPr>
                    <w:spacing w:line="240" w:lineRule="auto"/>
                    <w:rPr>
                      <w:rFonts w:hint="eastAsia" w:ascii="宋体" w:hAnsi="宋体" w:cs="宋体"/>
                      <w:sz w:val="24"/>
                      <w:szCs w:val="24"/>
                      <w:lang w:val="en-US" w:eastAsia="zh-CN"/>
                    </w:rPr>
                  </w:pPr>
                  <w:r>
                    <w:rPr>
                      <w:rFonts w:hint="eastAsia" w:ascii="宋体" w:hAnsi="宋体" w:cs="宋体"/>
                      <w:sz w:val="24"/>
                      <w:szCs w:val="24"/>
                      <w:lang w:val="en-US" w:eastAsia="zh-CN"/>
                    </w:rPr>
                    <w:t>部门管理经验</w:t>
                  </w:r>
                </w:p>
              </w:tc>
              <w:tc>
                <w:tcPr>
                  <w:tcW w:w="1774" w:type="dxa"/>
                  <w:vAlign w:val="center"/>
                </w:tcPr>
                <w:p>
                  <w:pPr>
                    <w:spacing w:line="240" w:lineRule="auto"/>
                    <w:rPr>
                      <w:rFonts w:hint="eastAsia" w:ascii="宋体" w:hAnsi="宋体" w:cs="宋体"/>
                      <w:sz w:val="24"/>
                      <w:szCs w:val="24"/>
                      <w:lang w:val="en-US" w:eastAsia="zh-CN"/>
                    </w:rPr>
                  </w:pPr>
                  <w:r>
                    <w:rPr>
                      <w:rFonts w:hint="eastAsia" w:ascii="宋体" w:hAnsi="宋体" w:cs="宋体"/>
                      <w:sz w:val="24"/>
                      <w:szCs w:val="24"/>
                      <w:lang w:val="en-US" w:eastAsia="zh-CN"/>
                    </w:rPr>
                    <w:t>总结</w:t>
                  </w:r>
                </w:p>
              </w:tc>
              <w:tc>
                <w:tcPr>
                  <w:tcW w:w="1205" w:type="dxa"/>
                  <w:vAlign w:val="center"/>
                </w:tcPr>
                <w:p>
                  <w:pPr>
                    <w:spacing w:line="240" w:lineRule="auto"/>
                    <w:rPr>
                      <w:rFonts w:hint="eastAsia" w:ascii="宋体" w:hAnsi="宋体" w:cs="宋体"/>
                      <w:sz w:val="24"/>
                      <w:szCs w:val="24"/>
                      <w:lang w:val="en-US" w:eastAsia="zh-CN"/>
                    </w:rPr>
                  </w:pPr>
                  <w:r>
                    <w:rPr>
                      <w:rFonts w:hint="eastAsia" w:ascii="宋体" w:hAnsi="宋体" w:cs="宋体"/>
                      <w:sz w:val="24"/>
                      <w:szCs w:val="24"/>
                      <w:lang w:val="en-US" w:eastAsia="zh-CN"/>
                    </w:rPr>
                    <w:t>积累提高</w:t>
                  </w:r>
                </w:p>
              </w:tc>
              <w:tc>
                <w:tcPr>
                  <w:tcW w:w="1048" w:type="dxa"/>
                  <w:vAlign w:val="center"/>
                </w:tcPr>
                <w:p>
                  <w:pPr>
                    <w:spacing w:line="240" w:lineRule="auto"/>
                    <w:rPr>
                      <w:rFonts w:hint="eastAsia" w:ascii="宋体" w:hAnsi="宋体" w:cs="宋体"/>
                      <w:sz w:val="24"/>
                      <w:szCs w:val="24"/>
                      <w:lang w:val="en-US" w:eastAsia="zh-CN"/>
                    </w:rPr>
                  </w:pPr>
                  <w:r>
                    <w:rPr>
                      <w:rFonts w:hint="eastAsia" w:ascii="宋体" w:hAnsi="宋体" w:cs="宋体"/>
                      <w:sz w:val="24"/>
                      <w:szCs w:val="24"/>
                      <w:lang w:val="en-US" w:eastAsia="zh-CN"/>
                    </w:rPr>
                    <w:t>部门工作，岗位指导</w:t>
                  </w:r>
                </w:p>
              </w:tc>
              <w:tc>
                <w:tcPr>
                  <w:tcW w:w="960" w:type="dxa"/>
                  <w:vAlign w:val="center"/>
                </w:tcPr>
                <w:p>
                  <w:pPr>
                    <w:spacing w:line="240" w:lineRule="auto"/>
                    <w:rPr>
                      <w:rFonts w:hint="eastAsia" w:ascii="宋体" w:hAnsi="宋体" w:cs="宋体"/>
                      <w:sz w:val="24"/>
                      <w:szCs w:val="24"/>
                      <w:lang w:val="en-US" w:eastAsia="zh-CN"/>
                    </w:rPr>
                  </w:pPr>
                  <w:r>
                    <w:rPr>
                      <w:rFonts w:hint="eastAsia" w:ascii="宋体" w:hAnsi="宋体" w:cs="宋体"/>
                      <w:sz w:val="24"/>
                      <w:szCs w:val="24"/>
                      <w:lang w:val="en-US" w:eastAsia="zh-CN"/>
                    </w:rPr>
                    <w:t>适用</w:t>
                  </w:r>
                </w:p>
              </w:tc>
              <w:tc>
                <w:tcPr>
                  <w:tcW w:w="1646" w:type="dxa"/>
                  <w:vAlign w:val="center"/>
                </w:tcPr>
                <w:p>
                  <w:pPr>
                    <w:spacing w:line="240" w:lineRule="auto"/>
                    <w:rPr>
                      <w:rFonts w:hint="eastAsia" w:ascii="宋体" w:hAnsi="宋体" w:cs="宋体"/>
                      <w:sz w:val="24"/>
                      <w:szCs w:val="24"/>
                      <w:lang w:val="en-US" w:eastAsia="zh-CN"/>
                    </w:rPr>
                  </w:pPr>
                  <w:r>
                    <w:rPr>
                      <w:rFonts w:hint="eastAsia" w:ascii="宋体" w:hAnsi="宋体" w:cs="宋体"/>
                      <w:sz w:val="24"/>
                      <w:szCs w:val="24"/>
                      <w:lang w:val="en-US" w:eastAsia="zh-CN"/>
                    </w:rPr>
                    <w:t>会议、座谈、报告</w:t>
                  </w:r>
                </w:p>
              </w:tc>
              <w:tc>
                <w:tcPr>
                  <w:tcW w:w="932" w:type="dxa"/>
                  <w:vAlign w:val="center"/>
                </w:tcPr>
                <w:p>
                  <w:pPr>
                    <w:spacing w:line="240" w:lineRule="auto"/>
                    <w:rPr>
                      <w:rFonts w:hint="eastAsia" w:ascii="宋体" w:hAnsi="宋体" w:cs="宋体"/>
                      <w:sz w:val="24"/>
                      <w:szCs w:val="24"/>
                      <w:lang w:val="en-US" w:eastAsia="zh-CN"/>
                    </w:rPr>
                  </w:pPr>
                  <w:r>
                    <w:rPr>
                      <w:rFonts w:hint="eastAsia" w:ascii="宋体" w:hAnsi="宋体" w:cs="宋体"/>
                      <w:sz w:val="24"/>
                      <w:szCs w:val="24"/>
                      <w:lang w:val="en-US" w:eastAsia="zh-CN"/>
                    </w:rPr>
                    <w:t>计划统计</w:t>
                  </w:r>
                </w:p>
              </w:tc>
            </w:tr>
          </w:tbl>
          <w:p>
            <w:pPr>
              <w:spacing w:line="240" w:lineRule="auto"/>
              <w:rPr>
                <w:rFonts w:hint="default" w:ascii="宋体" w:hAnsi="宋体" w:cs="宋体"/>
                <w:sz w:val="24"/>
                <w:szCs w:val="24"/>
                <w:lang w:val="en-US" w:eastAsia="zh-CN"/>
              </w:rPr>
            </w:pPr>
          </w:p>
          <w:p>
            <w:pPr>
              <w:spacing w:line="240" w:lineRule="auto"/>
              <w:rPr>
                <w:rFonts w:hint="default" w:ascii="宋体" w:hAnsi="宋体" w:cs="宋体"/>
                <w:sz w:val="24"/>
                <w:szCs w:val="24"/>
                <w:lang w:val="en-US" w:eastAsia="zh-CN"/>
              </w:rPr>
            </w:pPr>
          </w:p>
          <w:p>
            <w:pPr>
              <w:pStyle w:val="9"/>
              <w:rPr>
                <w:rFonts w:hint="default"/>
                <w:lang w:val="en-US" w:eastAsia="zh-CN"/>
              </w:rPr>
            </w:pPr>
            <w:r>
              <w:rPr>
                <w:rFonts w:hint="eastAsia"/>
                <w:lang w:val="en-US" w:eastAsia="zh-CN"/>
              </w:rPr>
              <w:t>——基本符合</w:t>
            </w:r>
          </w:p>
        </w:tc>
        <w:tc>
          <w:tcPr>
            <w:tcW w:w="1585" w:type="dxa"/>
          </w:tcPr>
          <w:p>
            <w:pPr>
              <w:spacing w:line="240" w:lineRule="auto"/>
              <w:rPr>
                <w:rFonts w:hint="eastAsia" w:ascii="宋体" w:hAnsi="宋体" w:eastAsia="宋体" w:cs="宋体"/>
                <w:sz w:val="24"/>
                <w:szCs w:val="24"/>
                <w:lang w:val="en-US" w:eastAsia="zh-CN"/>
              </w:rPr>
            </w:pPr>
            <w:r>
              <w:rPr>
                <w:rFonts w:hint="eastAsia" w:ascii="宋体" w:hAnsi="宋体" w:cs="宋体"/>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0" w:hRule="atLeast"/>
        </w:trPr>
        <w:tc>
          <w:tcPr>
            <w:tcW w:w="2160" w:type="dxa"/>
          </w:tcPr>
          <w:p>
            <w:p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产品实现策划过程</w:t>
            </w:r>
          </w:p>
        </w:tc>
        <w:tc>
          <w:tcPr>
            <w:tcW w:w="960" w:type="dxa"/>
          </w:tcPr>
          <w:p>
            <w:pPr>
              <w:spacing w:line="24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Q8.1</w:t>
            </w:r>
            <w:r>
              <w:rPr>
                <w:rFonts w:hint="eastAsia" w:ascii="宋体" w:hAnsi="宋体" w:cs="宋体"/>
                <w:sz w:val="24"/>
                <w:szCs w:val="24"/>
                <w:lang w:val="en-US" w:eastAsia="zh-CN"/>
              </w:rPr>
              <w:t>/H4</w:t>
            </w:r>
          </w:p>
        </w:tc>
        <w:tc>
          <w:tcPr>
            <w:tcW w:w="10004" w:type="dxa"/>
          </w:tcPr>
          <w:p>
            <w:pPr>
              <w:numPr>
                <w:ilvl w:val="0"/>
                <w:numId w:val="7"/>
              </w:num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服务的名称：劳务派遣服务。</w:t>
            </w:r>
          </w:p>
          <w:p>
            <w:pPr>
              <w:pStyle w:val="9"/>
              <w:numPr>
                <w:ilvl w:val="0"/>
                <w:numId w:val="7"/>
              </w:num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顾客</w:t>
            </w:r>
            <w:r>
              <w:rPr>
                <w:rFonts w:hint="eastAsia" w:ascii="宋体" w:hAnsi="宋体" w:eastAsia="宋体" w:cs="宋体"/>
                <w:sz w:val="24"/>
                <w:szCs w:val="24"/>
              </w:rPr>
              <w:t>的</w:t>
            </w:r>
            <w:r>
              <w:rPr>
                <w:rFonts w:hint="eastAsia" w:ascii="宋体" w:hAnsi="宋体" w:eastAsia="宋体" w:cs="宋体"/>
                <w:sz w:val="24"/>
                <w:szCs w:val="24"/>
                <w:lang w:val="en-US" w:eastAsia="zh-CN"/>
              </w:rPr>
              <w:t>合同</w:t>
            </w:r>
            <w:r>
              <w:rPr>
                <w:rFonts w:hint="eastAsia" w:ascii="宋体" w:hAnsi="宋体" w:eastAsia="宋体" w:cs="宋体"/>
                <w:sz w:val="24"/>
                <w:szCs w:val="24"/>
              </w:rPr>
              <w:t>要求</w:t>
            </w:r>
            <w:r>
              <w:rPr>
                <w:rFonts w:hint="eastAsia" w:ascii="宋体" w:hAnsi="宋体" w:eastAsia="宋体" w:cs="宋体"/>
                <w:sz w:val="24"/>
                <w:szCs w:val="24"/>
                <w:lang w:eastAsia="zh-CN"/>
              </w:rPr>
              <w:t>：</w:t>
            </w:r>
            <w:r>
              <w:rPr>
                <w:rFonts w:hint="eastAsia" w:ascii="宋体" w:hAnsi="宋体" w:eastAsia="宋体" w:cs="宋体"/>
                <w:sz w:val="24"/>
                <w:szCs w:val="24"/>
              </w:rPr>
              <w:t>依据客户要求确定</w:t>
            </w:r>
            <w:r>
              <w:rPr>
                <w:rFonts w:hint="eastAsia" w:ascii="宋体" w:hAnsi="宋体" w:eastAsia="宋体" w:cs="宋体"/>
                <w:sz w:val="24"/>
                <w:szCs w:val="24"/>
                <w:lang w:val="en-US" w:eastAsia="zh-CN"/>
              </w:rPr>
              <w:t>劳务派遣人员的数量、劳务的类型、甲乙双方的权利义务等。服务的法规及标准要求：</w:t>
            </w:r>
            <w:r>
              <w:rPr>
                <w:rFonts w:hint="eastAsia" w:ascii="宋体" w:hAnsi="宋体" w:eastAsia="宋体" w:cs="宋体"/>
                <w:sz w:val="24"/>
                <w:szCs w:val="24"/>
              </w:rPr>
              <w:t>《劳动法》</w:t>
            </w:r>
            <w:r>
              <w:rPr>
                <w:rFonts w:hint="eastAsia" w:ascii="宋体" w:hAnsi="宋体" w:eastAsia="宋体" w:cs="宋体"/>
                <w:sz w:val="24"/>
                <w:szCs w:val="24"/>
                <w:lang w:eastAsia="zh-CN"/>
              </w:rPr>
              <w:t>、</w:t>
            </w:r>
            <w:r>
              <w:rPr>
                <w:rFonts w:hint="eastAsia" w:ascii="宋体" w:hAnsi="宋体" w:eastAsia="宋体" w:cs="宋体"/>
                <w:i w:val="0"/>
                <w:iCs w:val="0"/>
                <w:caps w:val="0"/>
                <w:color w:val="222222"/>
                <w:spacing w:val="0"/>
                <w:sz w:val="24"/>
                <w:szCs w:val="24"/>
              </w:rPr>
              <w:t>《中华人民共和国劳动合同法》</w:t>
            </w:r>
            <w:r>
              <w:rPr>
                <w:rFonts w:hint="eastAsia" w:ascii="宋体" w:hAnsi="宋体" w:eastAsia="宋体" w:cs="宋体"/>
                <w:i w:val="0"/>
                <w:iCs w:val="0"/>
                <w:caps w:val="0"/>
                <w:color w:val="222222"/>
                <w:spacing w:val="0"/>
                <w:sz w:val="24"/>
                <w:szCs w:val="24"/>
                <w:lang w:eastAsia="zh-CN"/>
              </w:rPr>
              <w:t>、《中华人民共和国劳动合同法实施条例》、《劳务派遣暂行规定》</w:t>
            </w:r>
            <w:r>
              <w:rPr>
                <w:rFonts w:hint="eastAsia" w:ascii="宋体" w:hAnsi="宋体" w:eastAsia="宋体" w:cs="宋体"/>
                <w:i w:val="0"/>
                <w:iCs w:val="0"/>
                <w:caps w:val="0"/>
                <w:color w:val="222222"/>
                <w:spacing w:val="0"/>
                <w:sz w:val="24"/>
                <w:szCs w:val="24"/>
                <w:lang w:val="en-US" w:eastAsia="zh-CN"/>
              </w:rPr>
              <w:t>等。</w:t>
            </w:r>
          </w:p>
          <w:p>
            <w:pPr>
              <w:pStyle w:val="9"/>
              <w:numPr>
                <w:ilvl w:val="0"/>
                <w:numId w:val="7"/>
              </w:numPr>
              <w:spacing w:line="240" w:lineRule="auto"/>
              <w:rPr>
                <w:rFonts w:hint="eastAsia" w:ascii="宋体" w:hAnsi="宋体" w:eastAsia="宋体" w:cs="宋体"/>
                <w:sz w:val="24"/>
                <w:szCs w:val="24"/>
                <w:lang w:val="en-US" w:eastAsia="zh-CN"/>
              </w:rPr>
            </w:pPr>
            <w:r>
              <w:rPr>
                <w:rFonts w:hint="eastAsia" w:ascii="宋体" w:hAnsi="宋体" w:eastAsia="宋体" w:cs="宋体"/>
                <w:i w:val="0"/>
                <w:iCs w:val="0"/>
                <w:caps w:val="0"/>
                <w:color w:val="222222"/>
                <w:spacing w:val="0"/>
                <w:sz w:val="24"/>
                <w:szCs w:val="24"/>
                <w:highlight w:val="none"/>
                <w:lang w:val="en-US" w:eastAsia="zh-CN"/>
              </w:rPr>
              <w:t>策划</w:t>
            </w:r>
            <w:r>
              <w:rPr>
                <w:rFonts w:hint="eastAsia" w:ascii="宋体" w:hAnsi="宋体" w:eastAsia="宋体" w:cs="宋体"/>
                <w:sz w:val="24"/>
                <w:szCs w:val="24"/>
                <w:lang w:val="en-US" w:eastAsia="zh-CN"/>
              </w:rPr>
              <w:t>劳务派遣服务</w:t>
            </w:r>
            <w:r>
              <w:rPr>
                <w:rFonts w:hint="eastAsia" w:ascii="宋体" w:hAnsi="宋体" w:eastAsia="宋体" w:cs="宋体"/>
                <w:i w:val="0"/>
                <w:iCs w:val="0"/>
                <w:caps w:val="0"/>
                <w:color w:val="222222"/>
                <w:spacing w:val="0"/>
                <w:sz w:val="24"/>
                <w:szCs w:val="24"/>
                <w:highlight w:val="none"/>
                <w:lang w:val="en-US" w:eastAsia="zh-CN"/>
              </w:rPr>
              <w:t>的过程：</w:t>
            </w:r>
            <w:r>
              <w:rPr>
                <w:rFonts w:hint="eastAsia" w:ascii="宋体" w:hAnsi="宋体" w:eastAsia="宋体" w:cs="宋体"/>
                <w:sz w:val="24"/>
                <w:szCs w:val="24"/>
                <w:lang w:val="en-US" w:eastAsia="zh-CN"/>
              </w:rPr>
              <w:t>签订劳务派遣协议-需求计划-按计划招聘职工-面试-体检-培训-签订合同-外派</w:t>
            </w:r>
          </w:p>
          <w:p>
            <w:pPr>
              <w:pStyle w:val="9"/>
              <w:numPr>
                <w:ilvl w:val="0"/>
                <w:numId w:val="7"/>
              </w:num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highlight w:val="none"/>
              </w:rPr>
              <w:t>过程</w:t>
            </w:r>
            <w:r>
              <w:rPr>
                <w:rFonts w:hint="eastAsia" w:ascii="宋体" w:hAnsi="宋体" w:eastAsia="宋体" w:cs="宋体"/>
                <w:sz w:val="24"/>
                <w:szCs w:val="24"/>
                <w:highlight w:val="none"/>
                <w:lang w:val="en-US" w:eastAsia="zh-CN"/>
              </w:rPr>
              <w:t>准则：</w:t>
            </w:r>
            <w:r>
              <w:rPr>
                <w:rFonts w:hint="eastAsia" w:ascii="宋体" w:hAnsi="宋体" w:eastAsia="宋体" w:cs="宋体"/>
                <w:spacing w:val="14"/>
                <w:sz w:val="24"/>
                <w:szCs w:val="24"/>
              </w:rPr>
              <w:t>劳务分包及派遣服务提供控制程序</w:t>
            </w:r>
            <w:r>
              <w:rPr>
                <w:rFonts w:hint="eastAsia" w:ascii="宋体" w:hAnsi="宋体" w:eastAsia="宋体" w:cs="宋体"/>
                <w:spacing w:val="14"/>
                <w:sz w:val="24"/>
                <w:szCs w:val="24"/>
                <w:lang w:eastAsia="zh-CN"/>
              </w:rPr>
              <w:t>、劳务派遣管理制度、</w:t>
            </w:r>
            <w:r>
              <w:rPr>
                <w:rFonts w:hint="eastAsia" w:ascii="宋体" w:hAnsi="宋体" w:eastAsia="宋体" w:cs="宋体"/>
                <w:sz w:val="24"/>
                <w:szCs w:val="24"/>
                <w:lang w:val="en-US" w:eastAsia="zh-CN"/>
              </w:rPr>
              <w:t>劳务派遣服务规范</w:t>
            </w:r>
            <w:r>
              <w:rPr>
                <w:rFonts w:hint="eastAsia" w:ascii="宋体" w:hAnsi="宋体" w:eastAsia="宋体" w:cs="宋体"/>
                <w:spacing w:val="14"/>
                <w:sz w:val="24"/>
                <w:szCs w:val="24"/>
                <w:lang w:eastAsia="zh-CN"/>
              </w:rPr>
              <w:t>。</w:t>
            </w:r>
          </w:p>
          <w:p>
            <w:pPr>
              <w:pStyle w:val="9"/>
              <w:numPr>
                <w:ilvl w:val="0"/>
                <w:numId w:val="7"/>
              </w:numPr>
              <w:spacing w:line="24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vertAlign w:val="baseline"/>
                <w:lang w:val="en-US" w:eastAsia="zh-CN"/>
              </w:rPr>
              <w:t>采购接受标准：</w:t>
            </w:r>
            <w:r>
              <w:rPr>
                <w:rFonts w:hint="eastAsia" w:ascii="宋体" w:hAnsi="宋体" w:eastAsia="宋体" w:cs="宋体"/>
                <w:sz w:val="24"/>
                <w:szCs w:val="24"/>
                <w:lang w:val="en-US" w:eastAsia="zh-CN"/>
              </w:rPr>
              <w:t>“安庆博盛石化工程有限公司招聘管理办法”。</w:t>
            </w:r>
          </w:p>
          <w:p>
            <w:pPr>
              <w:pStyle w:val="9"/>
              <w:numPr>
                <w:ilvl w:val="0"/>
                <w:numId w:val="7"/>
              </w:numPr>
              <w:spacing w:line="24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vertAlign w:val="baseline"/>
                <w:lang w:val="en-US" w:eastAsia="zh-CN"/>
              </w:rPr>
              <w:t>过程产品放行标准：没有半成品。</w:t>
            </w:r>
          </w:p>
          <w:p>
            <w:pPr>
              <w:pStyle w:val="9"/>
              <w:numPr>
                <w:ilvl w:val="0"/>
                <w:numId w:val="7"/>
              </w:numPr>
              <w:spacing w:line="24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vertAlign w:val="baseline"/>
                <w:lang w:val="en-US" w:eastAsia="zh-CN"/>
              </w:rPr>
              <w:t>成品执行标准：</w:t>
            </w:r>
            <w:bookmarkStart w:id="4" w:name="OLE_LINK6"/>
            <w:r>
              <w:rPr>
                <w:rFonts w:hint="eastAsia" w:ascii="宋体" w:hAnsi="宋体" w:eastAsia="宋体" w:cs="宋体"/>
                <w:sz w:val="24"/>
                <w:szCs w:val="24"/>
                <w:highlight w:val="none"/>
                <w:lang w:val="en-US" w:eastAsia="zh-CN"/>
              </w:rPr>
              <w:t>劳务派遣服务规范</w:t>
            </w:r>
            <w:bookmarkEnd w:id="4"/>
          </w:p>
          <w:p>
            <w:pPr>
              <w:pStyle w:val="9"/>
              <w:numPr>
                <w:ilvl w:val="0"/>
                <w:numId w:val="7"/>
              </w:numPr>
              <w:spacing w:line="24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设施设备</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配置有3层的办公楼，共**平方；配备有电脑、打印机、空调、办公桌椅、文件柜、培训室等；</w:t>
            </w:r>
          </w:p>
          <w:p>
            <w:pPr>
              <w:pStyle w:val="9"/>
              <w:numPr>
                <w:ilvl w:val="0"/>
                <w:numId w:val="7"/>
              </w:numPr>
              <w:spacing w:line="24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人员：管理人员持证上岗（包括安全生产主要负责人、安全生产专职人员）、策划有培训计划。</w:t>
            </w:r>
          </w:p>
          <w:p>
            <w:pPr>
              <w:pStyle w:val="9"/>
              <w:numPr>
                <w:ilvl w:val="0"/>
                <w:numId w:val="7"/>
              </w:numPr>
              <w:spacing w:line="24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识别的外包过程：暂无。如以后增加了外包过程按</w:t>
            </w:r>
            <w:r>
              <w:rPr>
                <w:rFonts w:hint="eastAsia" w:ascii="宋体" w:hAnsi="宋体" w:eastAsia="宋体" w:cs="宋体"/>
                <w:spacing w:val="14"/>
                <w:sz w:val="24"/>
                <w:szCs w:val="24"/>
                <w:highlight w:val="none"/>
              </w:rPr>
              <w:t>采购和外部供方控制程序</w:t>
            </w:r>
            <w:r>
              <w:rPr>
                <w:rFonts w:hint="eastAsia" w:ascii="宋体" w:hAnsi="宋体" w:eastAsia="宋体" w:cs="宋体"/>
                <w:spacing w:val="14"/>
                <w:sz w:val="24"/>
                <w:szCs w:val="24"/>
                <w:highlight w:val="none"/>
                <w:lang w:val="en-US" w:eastAsia="zh-CN"/>
              </w:rPr>
              <w:t>进行控制。</w:t>
            </w:r>
          </w:p>
          <w:p>
            <w:pPr>
              <w:pStyle w:val="9"/>
              <w:numPr>
                <w:ilvl w:val="0"/>
                <w:numId w:val="7"/>
              </w:numPr>
              <w:spacing w:line="24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实施的证据：</w:t>
            </w:r>
          </w:p>
          <w:p>
            <w:pPr>
              <w:pStyle w:val="9"/>
              <w:numPr>
                <w:ilvl w:val="0"/>
                <w:numId w:val="0"/>
              </w:numPr>
              <w:spacing w:line="24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服务要求的确定：劳动派遣协议</w:t>
            </w:r>
          </w:p>
          <w:p>
            <w:pPr>
              <w:pStyle w:val="9"/>
              <w:numPr>
                <w:ilvl w:val="0"/>
                <w:numId w:val="0"/>
              </w:numPr>
              <w:spacing w:line="24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过程已经按策划进行</w:t>
            </w:r>
            <w:r>
              <w:rPr>
                <w:rFonts w:hint="eastAsia" w:ascii="宋体" w:hAnsi="宋体" w:eastAsia="宋体" w:cs="宋体"/>
                <w:sz w:val="24"/>
                <w:szCs w:val="24"/>
                <w:highlight w:val="none"/>
                <w:lang w:val="en-US" w:eastAsia="zh-CN"/>
              </w:rPr>
              <w:t>证据：劳务派遣任务单、</w:t>
            </w:r>
            <w:r>
              <w:rPr>
                <w:rFonts w:hint="eastAsia" w:ascii="宋体" w:hAnsi="宋体" w:eastAsia="宋体" w:cs="宋体"/>
                <w:sz w:val="24"/>
                <w:szCs w:val="24"/>
                <w:lang w:val="en-US" w:eastAsia="zh-CN"/>
              </w:rPr>
              <w:t>博盛公司人才招聘求职登记表</w:t>
            </w:r>
            <w:r>
              <w:rPr>
                <w:rFonts w:hint="eastAsia" w:ascii="宋体" w:hAnsi="宋体" w:eastAsia="宋体" w:cs="宋体"/>
                <w:sz w:val="24"/>
                <w:szCs w:val="24"/>
                <w:highlight w:val="none"/>
                <w:lang w:val="en-US" w:eastAsia="zh-CN"/>
              </w:rPr>
              <w:t>、派遣工合同、体检报告、培训记录、派遣人员台账——具体见8.5.1条款；</w:t>
            </w:r>
          </w:p>
          <w:p>
            <w:pPr>
              <w:pStyle w:val="9"/>
              <w:numPr>
                <w:ilvl w:val="0"/>
                <w:numId w:val="0"/>
              </w:numPr>
              <w:spacing w:line="24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采购检验记录：博盛公司人才招聘求职登记表——具体见8.6条款；</w:t>
            </w:r>
          </w:p>
          <w:p>
            <w:pPr>
              <w:pStyle w:val="9"/>
              <w:numPr>
                <w:ilvl w:val="0"/>
                <w:numId w:val="0"/>
              </w:numPr>
              <w:spacing w:line="24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过程检验记录：体检报告、培训合格记录等——具体见8.6条款；</w:t>
            </w:r>
          </w:p>
          <w:p>
            <w:pPr>
              <w:pStyle w:val="9"/>
              <w:numPr>
                <w:ilvl w:val="0"/>
                <w:numId w:val="0"/>
              </w:numPr>
              <w:spacing w:line="24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成品检验记录：签订劳动合同、办理社保手续。——具体见8.6条款；</w:t>
            </w:r>
          </w:p>
          <w:p>
            <w:pPr>
              <w:pStyle w:val="9"/>
              <w:numPr>
                <w:ilvl w:val="0"/>
                <w:numId w:val="0"/>
              </w:numPr>
              <w:spacing w:line="24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售后记录：派遣工甲方服务过程检查记录。——具体见8.5.5条款；</w:t>
            </w:r>
          </w:p>
          <w:p>
            <w:pPr>
              <w:pStyle w:val="9"/>
              <w:numPr>
                <w:ilvl w:val="0"/>
                <w:numId w:val="0"/>
              </w:numPr>
              <w:spacing w:line="24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策划的变更</w:t>
            </w:r>
            <w:r>
              <w:rPr>
                <w:rFonts w:hint="eastAsia" w:ascii="宋体" w:hAnsi="宋体" w:eastAsia="宋体" w:cs="宋体"/>
                <w:sz w:val="24"/>
                <w:szCs w:val="24"/>
                <w:highlight w:val="none"/>
                <w:lang w:val="en-US" w:eastAsia="zh-CN"/>
              </w:rPr>
              <w:t>的控制：</w:t>
            </w:r>
            <w:r>
              <w:rPr>
                <w:rFonts w:hint="eastAsia" w:ascii="宋体" w:hAnsi="宋体" w:eastAsia="宋体" w:cs="宋体"/>
                <w:sz w:val="24"/>
                <w:szCs w:val="24"/>
                <w:highlight w:val="none"/>
              </w:rPr>
              <w:t>策划的输出适合于组织的运行，暂无变更。</w:t>
            </w:r>
          </w:p>
          <w:p>
            <w:pPr>
              <w:pStyle w:val="9"/>
              <w:numPr>
                <w:ilvl w:val="0"/>
                <w:numId w:val="0"/>
              </w:numPr>
              <w:spacing w:line="240" w:lineRule="auto"/>
              <w:rPr>
                <w:rFonts w:hint="eastAsia" w:ascii="宋体" w:hAnsi="宋体" w:eastAsia="宋体" w:cs="宋体"/>
                <w:sz w:val="24"/>
                <w:szCs w:val="24"/>
                <w:highlight w:val="yellow"/>
                <w:lang w:val="en-US" w:eastAsia="zh-CN"/>
              </w:rPr>
            </w:pPr>
          </w:p>
        </w:tc>
        <w:tc>
          <w:tcPr>
            <w:tcW w:w="1585" w:type="dxa"/>
          </w:tcPr>
          <w:p>
            <w:pPr>
              <w:spacing w:line="24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设计开发过程</w:t>
            </w:r>
          </w:p>
        </w:tc>
        <w:tc>
          <w:tcPr>
            <w:tcW w:w="960" w:type="dxa"/>
          </w:tcPr>
          <w:p>
            <w:pPr>
              <w:spacing w:line="24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Q8.3</w:t>
            </w:r>
            <w:r>
              <w:rPr>
                <w:rFonts w:hint="eastAsia" w:ascii="宋体" w:hAnsi="宋体" w:cs="宋体"/>
                <w:sz w:val="24"/>
                <w:szCs w:val="24"/>
                <w:lang w:val="en-US" w:eastAsia="zh-CN"/>
              </w:rPr>
              <w:t>/H4.1</w:t>
            </w:r>
          </w:p>
        </w:tc>
        <w:tc>
          <w:tcPr>
            <w:tcW w:w="10004" w:type="dxa"/>
          </w:tcPr>
          <w:p>
            <w:pPr>
              <w:spacing w:line="240" w:lineRule="auto"/>
              <w:rPr>
                <w:rFonts w:hint="default" w:ascii="宋体" w:hAnsi="宋体" w:eastAsia="宋体" w:cs="宋体"/>
                <w:sz w:val="24"/>
                <w:szCs w:val="24"/>
                <w:lang w:val="en-US" w:eastAsia="zh-CN"/>
              </w:rPr>
            </w:pPr>
            <w:r>
              <w:rPr>
                <w:rFonts w:hint="eastAsia" w:ascii="宋体" w:hAnsi="宋体" w:cs="宋体"/>
                <w:sz w:val="24"/>
                <w:szCs w:val="24"/>
                <w:lang w:val="en-US" w:eastAsia="zh-CN"/>
              </w:rPr>
              <w:t>公司按客户要求组织劳务派遣活动，不涉及</w:t>
            </w:r>
            <w:r>
              <w:rPr>
                <w:rFonts w:hint="eastAsia" w:ascii="宋体" w:hAnsi="宋体" w:eastAsia="宋体" w:cs="宋体"/>
                <w:sz w:val="24"/>
                <w:szCs w:val="24"/>
                <w:lang w:val="en-US" w:eastAsia="zh-CN"/>
              </w:rPr>
              <w:t>设计开发过程</w:t>
            </w:r>
            <w:r>
              <w:rPr>
                <w:rFonts w:hint="eastAsia" w:ascii="宋体" w:hAnsi="宋体" w:cs="宋体"/>
                <w:sz w:val="24"/>
                <w:szCs w:val="24"/>
                <w:lang w:val="en-US" w:eastAsia="zh-CN"/>
              </w:rPr>
              <w:t>。</w:t>
            </w:r>
          </w:p>
        </w:tc>
        <w:tc>
          <w:tcPr>
            <w:tcW w:w="1585" w:type="dxa"/>
          </w:tcPr>
          <w:p>
            <w:pPr>
              <w:spacing w:line="240" w:lineRule="auto"/>
              <w:rPr>
                <w:rFonts w:hint="eastAsia" w:ascii="宋体" w:hAnsi="宋体" w:eastAsia="宋体" w:cs="宋体"/>
                <w:sz w:val="24"/>
                <w:szCs w:val="24"/>
                <w:lang w:val="en-US" w:eastAsia="zh-CN"/>
              </w:rPr>
            </w:pPr>
            <w:r>
              <w:rPr>
                <w:rFonts w:hint="eastAsia" w:ascii="宋体" w:hAnsi="宋体" w:cs="宋体"/>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服务提供的控制</w:t>
            </w:r>
          </w:p>
        </w:tc>
        <w:tc>
          <w:tcPr>
            <w:tcW w:w="960" w:type="dxa"/>
          </w:tcPr>
          <w:p>
            <w:pPr>
              <w:spacing w:line="24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Q8.5.1</w:t>
            </w:r>
            <w:r>
              <w:rPr>
                <w:rFonts w:hint="eastAsia" w:ascii="宋体" w:hAnsi="宋体" w:cs="宋体"/>
                <w:sz w:val="24"/>
                <w:szCs w:val="24"/>
                <w:lang w:val="en-US" w:eastAsia="zh-CN"/>
              </w:rPr>
              <w:t>/H4</w:t>
            </w:r>
          </w:p>
        </w:tc>
        <w:tc>
          <w:tcPr>
            <w:tcW w:w="10004" w:type="dxa"/>
          </w:tcPr>
          <w:p>
            <w:pPr>
              <w:pStyle w:val="9"/>
              <w:numPr>
                <w:ilvl w:val="0"/>
                <w:numId w:val="8"/>
              </w:numPr>
              <w:spacing w:line="24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提供有同唯一客户，安庆盈创石化检修安装公司的劳务派遣协议，约定了派遣工种、数量、权利义务等。</w:t>
            </w:r>
          </w:p>
          <w:p>
            <w:pPr>
              <w:pStyle w:val="9"/>
              <w:numPr>
                <w:ilvl w:val="0"/>
                <w:numId w:val="8"/>
              </w:numPr>
              <w:spacing w:line="24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核查出示有</w:t>
            </w:r>
            <w:r>
              <w:rPr>
                <w:rFonts w:hint="eastAsia" w:ascii="宋体" w:hAnsi="宋体" w:eastAsia="宋体" w:cs="宋体"/>
                <w:spacing w:val="14"/>
                <w:sz w:val="24"/>
                <w:szCs w:val="24"/>
              </w:rPr>
              <w:t>劳务分包及派遣服务提供控制程序</w:t>
            </w:r>
            <w:r>
              <w:rPr>
                <w:rFonts w:hint="eastAsia" w:ascii="宋体" w:hAnsi="宋体" w:eastAsia="宋体" w:cs="宋体"/>
                <w:spacing w:val="14"/>
                <w:sz w:val="24"/>
                <w:szCs w:val="24"/>
                <w:lang w:eastAsia="zh-CN"/>
              </w:rPr>
              <w:t>、</w:t>
            </w:r>
            <w:r>
              <w:rPr>
                <w:rFonts w:hint="eastAsia" w:ascii="宋体" w:hAnsi="宋体" w:eastAsia="宋体" w:cs="宋体"/>
                <w:spacing w:val="14"/>
                <w:sz w:val="24"/>
                <w:szCs w:val="24"/>
                <w:lang w:val="en-US" w:eastAsia="zh-CN"/>
              </w:rPr>
              <w:t>劳</w:t>
            </w:r>
            <w:r>
              <w:rPr>
                <w:rFonts w:hint="eastAsia" w:ascii="宋体" w:hAnsi="宋体" w:eastAsia="宋体" w:cs="宋体"/>
                <w:sz w:val="24"/>
                <w:szCs w:val="24"/>
                <w:lang w:val="en-US" w:eastAsia="zh-CN"/>
              </w:rPr>
              <w:t>务派遣服务规范</w:t>
            </w:r>
            <w:r>
              <w:rPr>
                <w:rFonts w:hint="eastAsia" w:ascii="宋体" w:hAnsi="宋体" w:eastAsia="宋体" w:cs="宋体"/>
                <w:spacing w:val="14"/>
                <w:sz w:val="24"/>
                <w:szCs w:val="24"/>
                <w:lang w:eastAsia="zh-CN"/>
              </w:rPr>
              <w:t>、</w:t>
            </w:r>
            <w:r>
              <w:rPr>
                <w:rFonts w:hint="eastAsia" w:ascii="宋体" w:hAnsi="宋体" w:eastAsia="宋体" w:cs="宋体"/>
                <w:sz w:val="24"/>
                <w:szCs w:val="24"/>
                <w:highlight w:val="none"/>
                <w:lang w:val="en-US" w:eastAsia="zh-CN"/>
              </w:rPr>
              <w:t>招聘管理办法等操作程序及管理规定。</w:t>
            </w:r>
          </w:p>
          <w:p>
            <w:pPr>
              <w:pStyle w:val="9"/>
              <w:numPr>
                <w:ilvl w:val="0"/>
                <w:numId w:val="8"/>
              </w:numPr>
              <w:spacing w:line="24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核查有6位管理人员，持有有效期内安全生产主要负责人、安全生产专职人员证书，均接受过劳务派遣相关培训、行业经验丰富。</w:t>
            </w:r>
          </w:p>
          <w:p>
            <w:pPr>
              <w:pStyle w:val="9"/>
              <w:numPr>
                <w:ilvl w:val="0"/>
                <w:numId w:val="8"/>
              </w:numPr>
              <w:spacing w:line="24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核查配置有6间办公室、一间会议室；配备有办公桌椅、文件柜、空调、打印机、投影仪等办公设备。</w:t>
            </w:r>
          </w:p>
          <w:p>
            <w:pPr>
              <w:pStyle w:val="9"/>
              <w:numPr>
                <w:ilvl w:val="0"/>
                <w:numId w:val="8"/>
              </w:numPr>
              <w:spacing w:line="240" w:lineRule="auto"/>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劳务派遣服务</w:t>
            </w:r>
            <w:r>
              <w:rPr>
                <w:rFonts w:hint="eastAsia" w:ascii="宋体" w:hAnsi="宋体" w:eastAsia="宋体" w:cs="宋体"/>
                <w:i w:val="0"/>
                <w:iCs w:val="0"/>
                <w:caps w:val="0"/>
                <w:color w:val="222222"/>
                <w:spacing w:val="0"/>
                <w:sz w:val="24"/>
                <w:szCs w:val="24"/>
                <w:highlight w:val="none"/>
                <w:lang w:val="en-US" w:eastAsia="zh-CN"/>
              </w:rPr>
              <w:t>的流程：</w:t>
            </w:r>
            <w:r>
              <w:rPr>
                <w:rFonts w:hint="eastAsia" w:ascii="宋体" w:hAnsi="宋体" w:eastAsia="宋体" w:cs="宋体"/>
                <w:sz w:val="24"/>
                <w:szCs w:val="24"/>
                <w:lang w:val="en-US" w:eastAsia="zh-CN"/>
              </w:rPr>
              <w:t>签订劳务派遣协议-需求计划-按计划招聘职工-面试-体检-培训-签订合同-外派</w:t>
            </w:r>
          </w:p>
          <w:p>
            <w:pPr>
              <w:pStyle w:val="9"/>
              <w:numPr>
                <w:ilvl w:val="0"/>
                <w:numId w:val="0"/>
              </w:numPr>
              <w:spacing w:line="240" w:lineRule="auto"/>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查过程控制证据：</w:t>
            </w:r>
          </w:p>
          <w:p>
            <w:p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工序1</w:t>
            </w:r>
          </w:p>
          <w:p>
            <w:pPr>
              <w:pStyle w:val="9"/>
              <w:numPr>
                <w:ilvl w:val="0"/>
                <w:numId w:val="0"/>
              </w:numPr>
              <w:spacing w:line="24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提供有劳务派遣协议，合同约定内容明确，甲乙双方签章、日期齐全。</w:t>
            </w:r>
          </w:p>
          <w:p>
            <w:p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工序2</w:t>
            </w:r>
          </w:p>
          <w:p>
            <w:pPr>
              <w:pStyle w:val="9"/>
              <w:numPr>
                <w:ilvl w:val="0"/>
                <w:numId w:val="0"/>
              </w:numPr>
              <w:spacing w:line="24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提供有</w:t>
            </w:r>
            <w:bookmarkStart w:id="5" w:name="OLE_LINK5"/>
            <w:r>
              <w:rPr>
                <w:rFonts w:hint="eastAsia" w:ascii="宋体" w:hAnsi="宋体" w:eastAsia="宋体" w:cs="宋体"/>
                <w:sz w:val="24"/>
                <w:szCs w:val="24"/>
                <w:highlight w:val="none"/>
                <w:lang w:val="en-US" w:eastAsia="zh-CN"/>
              </w:rPr>
              <w:t>劳务派遣任务单</w:t>
            </w:r>
            <w:bookmarkEnd w:id="5"/>
            <w:r>
              <w:rPr>
                <w:rFonts w:hint="eastAsia" w:ascii="宋体" w:hAnsi="宋体" w:eastAsia="宋体" w:cs="宋体"/>
                <w:sz w:val="24"/>
                <w:szCs w:val="24"/>
                <w:highlight w:val="none"/>
                <w:lang w:val="en-US" w:eastAsia="zh-CN"/>
              </w:rPr>
              <w:t>，内容包含甲方需求的工作岗位及人数要求，抽查：</w:t>
            </w:r>
          </w:p>
          <w:p>
            <w:pPr>
              <w:pStyle w:val="9"/>
              <w:numPr>
                <w:ilvl w:val="0"/>
                <w:numId w:val="0"/>
              </w:numPr>
              <w:spacing w:line="240" w:lineRule="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3304540" cy="2353310"/>
                  <wp:effectExtent l="0" t="0" r="2540" b="889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2"/>
                          <a:stretch>
                            <a:fillRect/>
                          </a:stretch>
                        </pic:blipFill>
                        <pic:spPr>
                          <a:xfrm>
                            <a:off x="0" y="0"/>
                            <a:ext cx="3304540" cy="2353310"/>
                          </a:xfrm>
                          <a:prstGeom prst="rect">
                            <a:avLst/>
                          </a:prstGeom>
                          <a:noFill/>
                          <a:ln>
                            <a:noFill/>
                          </a:ln>
                        </pic:spPr>
                      </pic:pic>
                    </a:graphicData>
                  </a:graphic>
                </wp:inline>
              </w:drawing>
            </w:r>
          </w:p>
          <w:p>
            <w:pPr>
              <w:pStyle w:val="9"/>
              <w:numPr>
                <w:ilvl w:val="0"/>
                <w:numId w:val="0"/>
              </w:numPr>
              <w:spacing w:line="240" w:lineRule="auto"/>
              <w:rPr>
                <w:rFonts w:hint="eastAsia" w:ascii="宋体" w:hAnsi="宋体" w:eastAsia="宋体" w:cs="宋体"/>
                <w:sz w:val="24"/>
                <w:szCs w:val="24"/>
              </w:rPr>
            </w:pPr>
          </w:p>
          <w:p>
            <w:p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工序3-5</w:t>
            </w:r>
          </w:p>
          <w:p>
            <w:pPr>
              <w:pStyle w:val="9"/>
              <w:numPr>
                <w:ilvl w:val="0"/>
                <w:numId w:val="0"/>
              </w:num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提供有博盛公司人才招聘求职登记表、体检报告及安全教育考试合格证据，符合公司策划的“安庆博盛石化工程有限公司招聘管理办法”的要求。</w:t>
            </w:r>
          </w:p>
          <w:p>
            <w:pPr>
              <w:pStyle w:val="9"/>
              <w:numPr>
                <w:ilvl w:val="0"/>
                <w:numId w:val="0"/>
              </w:num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的要求。</w:t>
            </w:r>
          </w:p>
          <w:p>
            <w:pPr>
              <w:pStyle w:val="9"/>
              <w:numPr>
                <w:ilvl w:val="0"/>
                <w:numId w:val="0"/>
              </w:numPr>
              <w:spacing w:line="240" w:lineRule="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986405" cy="3699510"/>
                  <wp:effectExtent l="0" t="0" r="635" b="381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3"/>
                          <a:stretch>
                            <a:fillRect/>
                          </a:stretch>
                        </pic:blipFill>
                        <pic:spPr>
                          <a:xfrm>
                            <a:off x="0" y="0"/>
                            <a:ext cx="2986405" cy="3699510"/>
                          </a:xfrm>
                          <a:prstGeom prst="rect">
                            <a:avLst/>
                          </a:prstGeom>
                          <a:noFill/>
                          <a:ln>
                            <a:noFill/>
                          </a:ln>
                        </pic:spPr>
                      </pic:pic>
                    </a:graphicData>
                  </a:graphic>
                </wp:inline>
              </w:drawing>
            </w:r>
            <w:r>
              <w:rPr>
                <w:rFonts w:hint="eastAsia" w:ascii="宋体" w:hAnsi="宋体" w:eastAsia="宋体" w:cs="宋体"/>
                <w:sz w:val="24"/>
                <w:szCs w:val="24"/>
              </w:rPr>
              <w:drawing>
                <wp:inline distT="0" distB="0" distL="114300" distR="114300">
                  <wp:extent cx="2977515" cy="3629025"/>
                  <wp:effectExtent l="0" t="0" r="9525" b="1333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4"/>
                          <a:stretch>
                            <a:fillRect/>
                          </a:stretch>
                        </pic:blipFill>
                        <pic:spPr>
                          <a:xfrm>
                            <a:off x="0" y="0"/>
                            <a:ext cx="2977515" cy="3629025"/>
                          </a:xfrm>
                          <a:prstGeom prst="rect">
                            <a:avLst/>
                          </a:prstGeom>
                          <a:noFill/>
                          <a:ln>
                            <a:noFill/>
                          </a:ln>
                        </pic:spPr>
                      </pic:pic>
                    </a:graphicData>
                  </a:graphic>
                </wp:inline>
              </w:drawing>
            </w:r>
          </w:p>
          <w:p>
            <w:pPr>
              <w:spacing w:line="240" w:lineRule="auto"/>
              <w:rPr>
                <w:rFonts w:hint="eastAsia" w:ascii="宋体" w:hAnsi="宋体" w:eastAsia="宋体" w:cs="宋体"/>
                <w:sz w:val="24"/>
                <w:szCs w:val="24"/>
                <w:lang w:val="en-US" w:eastAsia="zh-CN"/>
              </w:rPr>
            </w:pPr>
            <w:bookmarkStart w:id="6" w:name="OLE_LINK4"/>
            <w:r>
              <w:rPr>
                <w:rFonts w:hint="eastAsia" w:ascii="宋体" w:hAnsi="宋体" w:eastAsia="宋体" w:cs="宋体"/>
                <w:sz w:val="24"/>
                <w:szCs w:val="24"/>
                <w:lang w:val="en-US" w:eastAsia="zh-CN"/>
              </w:rPr>
              <w:t>工序6-7</w:t>
            </w:r>
            <w:bookmarkEnd w:id="6"/>
            <w:r>
              <w:rPr>
                <w:rFonts w:hint="eastAsia" w:ascii="宋体" w:hAnsi="宋体" w:eastAsia="宋体" w:cs="宋体"/>
                <w:sz w:val="24"/>
                <w:szCs w:val="24"/>
                <w:lang w:val="en-US" w:eastAsia="zh-CN"/>
              </w:rPr>
              <w:t>，提供有同派遣工签订的劳动合同及社保缴纳记录，抽查刘旺、刘石、陈成的劳动合同，合同约定时间为3年，满足“劳动合同法”及“劳动派遣暂行规定”的要求。</w:t>
            </w:r>
          </w:p>
          <w:p>
            <w:pPr>
              <w:pStyle w:val="9"/>
              <w:numPr>
                <w:ilvl w:val="0"/>
                <w:numId w:val="0"/>
              </w:numPr>
              <w:spacing w:line="240" w:lineRule="auto"/>
              <w:rPr>
                <w:rFonts w:hint="eastAsia" w:ascii="宋体" w:hAnsi="宋体" w:eastAsia="宋体" w:cs="宋体"/>
                <w:sz w:val="24"/>
                <w:szCs w:val="24"/>
              </w:rPr>
            </w:pPr>
          </w:p>
          <w:p>
            <w:pPr>
              <w:pStyle w:val="9"/>
              <w:numPr>
                <w:ilvl w:val="0"/>
                <w:numId w:val="0"/>
              </w:numPr>
              <w:spacing w:line="240" w:lineRule="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3051175" cy="2333625"/>
                  <wp:effectExtent l="0" t="0" r="12065" b="1333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5"/>
                          <a:stretch>
                            <a:fillRect/>
                          </a:stretch>
                        </pic:blipFill>
                        <pic:spPr>
                          <a:xfrm>
                            <a:off x="0" y="0"/>
                            <a:ext cx="3051175" cy="2333625"/>
                          </a:xfrm>
                          <a:prstGeom prst="rect">
                            <a:avLst/>
                          </a:prstGeom>
                          <a:noFill/>
                          <a:ln>
                            <a:noFill/>
                          </a:ln>
                        </pic:spPr>
                      </pic:pic>
                    </a:graphicData>
                  </a:graphic>
                </wp:inline>
              </w:drawing>
            </w:r>
            <w:r>
              <w:rPr>
                <w:rFonts w:hint="eastAsia" w:ascii="宋体" w:hAnsi="宋体" w:eastAsia="宋体" w:cs="宋体"/>
                <w:sz w:val="24"/>
                <w:szCs w:val="24"/>
              </w:rPr>
              <w:drawing>
                <wp:inline distT="0" distB="0" distL="114300" distR="114300">
                  <wp:extent cx="3058160" cy="2308860"/>
                  <wp:effectExtent l="0" t="0" r="5080" b="762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6"/>
                          <a:stretch>
                            <a:fillRect/>
                          </a:stretch>
                        </pic:blipFill>
                        <pic:spPr>
                          <a:xfrm>
                            <a:off x="0" y="0"/>
                            <a:ext cx="3058160" cy="2308860"/>
                          </a:xfrm>
                          <a:prstGeom prst="rect">
                            <a:avLst/>
                          </a:prstGeom>
                          <a:noFill/>
                          <a:ln>
                            <a:noFill/>
                          </a:ln>
                        </pic:spPr>
                      </pic:pic>
                    </a:graphicData>
                  </a:graphic>
                </wp:inline>
              </w:drawing>
            </w:r>
            <w:r>
              <w:drawing>
                <wp:inline distT="0" distB="0" distL="114300" distR="114300">
                  <wp:extent cx="3128010" cy="2046605"/>
                  <wp:effectExtent l="0" t="0" r="11430" b="1079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17"/>
                          <a:stretch>
                            <a:fillRect/>
                          </a:stretch>
                        </pic:blipFill>
                        <pic:spPr>
                          <a:xfrm>
                            <a:off x="0" y="0"/>
                            <a:ext cx="3128010" cy="2046605"/>
                          </a:xfrm>
                          <a:prstGeom prst="rect">
                            <a:avLst/>
                          </a:prstGeom>
                          <a:noFill/>
                          <a:ln>
                            <a:noFill/>
                          </a:ln>
                        </pic:spPr>
                      </pic:pic>
                    </a:graphicData>
                  </a:graphic>
                </wp:inline>
              </w:drawing>
            </w:r>
          </w:p>
          <w:p>
            <w:pPr>
              <w:pStyle w:val="9"/>
              <w:numPr>
                <w:ilvl w:val="0"/>
                <w:numId w:val="0"/>
              </w:numPr>
              <w:spacing w:line="240" w:lineRule="auto"/>
              <w:rPr>
                <w:rFonts w:hint="eastAsia" w:ascii="宋体" w:hAnsi="宋体" w:eastAsia="宋体" w:cs="宋体"/>
                <w:sz w:val="24"/>
                <w:szCs w:val="24"/>
              </w:rPr>
            </w:pPr>
          </w:p>
          <w:p>
            <w:pPr>
              <w:pStyle w:val="9"/>
              <w:numPr>
                <w:ilvl w:val="0"/>
                <w:numId w:val="0"/>
              </w:num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工序8</w:t>
            </w:r>
          </w:p>
          <w:p>
            <w:pPr>
              <w:pStyle w:val="9"/>
              <w:numPr>
                <w:ilvl w:val="0"/>
                <w:numId w:val="0"/>
              </w:num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提供有“劳务派遣人员台账”</w:t>
            </w:r>
          </w:p>
          <w:p>
            <w:pPr>
              <w:pStyle w:val="9"/>
              <w:numPr>
                <w:ilvl w:val="0"/>
                <w:numId w:val="0"/>
              </w:numPr>
              <w:spacing w:line="240" w:lineRule="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179320" cy="2514600"/>
                  <wp:effectExtent l="0" t="0" r="0" b="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8"/>
                          <a:stretch>
                            <a:fillRect/>
                          </a:stretch>
                        </pic:blipFill>
                        <pic:spPr>
                          <a:xfrm>
                            <a:off x="0" y="0"/>
                            <a:ext cx="2179320" cy="2514600"/>
                          </a:xfrm>
                          <a:prstGeom prst="rect">
                            <a:avLst/>
                          </a:prstGeom>
                          <a:noFill/>
                          <a:ln>
                            <a:noFill/>
                          </a:ln>
                        </pic:spPr>
                      </pic:pic>
                    </a:graphicData>
                  </a:graphic>
                </wp:inline>
              </w:drawing>
            </w:r>
          </w:p>
          <w:p>
            <w:pPr>
              <w:pStyle w:val="9"/>
              <w:numPr>
                <w:ilvl w:val="0"/>
                <w:numId w:val="0"/>
              </w:numPr>
              <w:spacing w:line="240" w:lineRule="auto"/>
              <w:rPr>
                <w:rFonts w:hint="eastAsia" w:ascii="宋体" w:hAnsi="宋体" w:eastAsia="宋体" w:cs="宋体"/>
                <w:sz w:val="24"/>
                <w:szCs w:val="24"/>
                <w:lang w:val="en-US" w:eastAsia="zh-CN"/>
              </w:rPr>
            </w:pPr>
          </w:p>
          <w:p>
            <w:pPr>
              <w:pStyle w:val="9"/>
              <w:numPr>
                <w:ilvl w:val="0"/>
                <w:numId w:val="0"/>
              </w:numPr>
              <w:spacing w:line="240" w:lineRule="auto"/>
              <w:rPr>
                <w:rFonts w:hint="default" w:ascii="宋体" w:hAnsi="宋体" w:eastAsia="宋体" w:cs="宋体"/>
                <w:sz w:val="24"/>
                <w:szCs w:val="24"/>
                <w:lang w:val="en-US" w:eastAsia="zh-CN"/>
              </w:rPr>
            </w:pPr>
            <w:r>
              <w:rPr>
                <w:rFonts w:hint="eastAsia" w:ascii="宋体" w:hAnsi="宋体" w:eastAsia="宋体" w:cs="宋体"/>
                <w:color w:val="FF0000"/>
                <w:sz w:val="24"/>
                <w:szCs w:val="24"/>
                <w:lang w:val="en-US" w:eastAsia="zh-CN"/>
              </w:rPr>
              <w:t>——</w:t>
            </w:r>
            <w:r>
              <w:rPr>
                <w:rFonts w:hint="eastAsia" w:ascii="宋体" w:hAnsi="宋体" w:cs="宋体"/>
                <w:color w:val="FF0000"/>
                <w:sz w:val="24"/>
                <w:szCs w:val="24"/>
                <w:lang w:val="en-US" w:eastAsia="zh-CN"/>
              </w:rPr>
              <w:t>不符合：查《特殊过程能力确认表》，其中“3.设备能力确认”中缺少对办公室设施、电化设备系统进行确认，并且2021年也未能进行再确认。</w:t>
            </w:r>
          </w:p>
        </w:tc>
        <w:tc>
          <w:tcPr>
            <w:tcW w:w="1585" w:type="dxa"/>
          </w:tcPr>
          <w:p>
            <w:pPr>
              <w:spacing w:line="240" w:lineRule="auto"/>
              <w:rPr>
                <w:rFonts w:hint="eastAsia"/>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default" w:ascii="宋体" w:hAnsi="宋体" w:eastAsia="宋体" w:cs="宋体"/>
                <w:sz w:val="24"/>
                <w:szCs w:val="24"/>
                <w:lang w:val="en-US" w:eastAsia="zh-CN"/>
              </w:rPr>
            </w:pPr>
            <w:r>
              <w:rPr>
                <w:rFonts w:hint="eastAsia" w:ascii="宋体" w:hAnsi="宋体" w:cs="宋体"/>
                <w:color w:val="FF0000"/>
                <w:sz w:val="24"/>
                <w:szCs w:val="24"/>
                <w:lang w:val="en-US" w:eastAsia="zh-CN"/>
              </w:rPr>
              <w:t>N2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标识和可追朔性</w:t>
            </w:r>
          </w:p>
        </w:tc>
        <w:tc>
          <w:tcPr>
            <w:tcW w:w="960" w:type="dxa"/>
          </w:tcPr>
          <w:p>
            <w:pPr>
              <w:spacing w:line="24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Q8.5.2</w:t>
            </w:r>
            <w:r>
              <w:rPr>
                <w:rFonts w:hint="eastAsia" w:ascii="宋体" w:hAnsi="宋体" w:cs="宋体"/>
                <w:sz w:val="24"/>
                <w:szCs w:val="24"/>
                <w:lang w:val="en-US" w:eastAsia="zh-CN"/>
              </w:rPr>
              <w:t>/H4</w:t>
            </w:r>
          </w:p>
        </w:tc>
        <w:tc>
          <w:tcPr>
            <w:tcW w:w="10004" w:type="dxa"/>
          </w:tcPr>
          <w:p>
            <w:pPr>
              <w:spacing w:line="24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公司通过</w:t>
            </w:r>
            <w:r>
              <w:rPr>
                <w:rFonts w:hint="eastAsia" w:ascii="宋体" w:hAnsi="宋体" w:eastAsia="宋体" w:cs="宋体"/>
                <w:sz w:val="24"/>
                <w:szCs w:val="24"/>
                <w:highlight w:val="none"/>
                <w:lang w:val="en-US" w:eastAsia="zh-CN"/>
              </w:rPr>
              <w:t>劳务派遣任务单、招聘记录、劳动合同等记录和文件做为标识，可追溯。</w:t>
            </w:r>
          </w:p>
        </w:tc>
        <w:tc>
          <w:tcPr>
            <w:tcW w:w="1585" w:type="dxa"/>
          </w:tcPr>
          <w:p>
            <w:pPr>
              <w:spacing w:line="240" w:lineRule="auto"/>
              <w:rPr>
                <w:rFonts w:hint="eastAsia" w:ascii="宋体" w:hAnsi="宋体" w:eastAsia="宋体" w:cs="宋体"/>
                <w:sz w:val="24"/>
                <w:szCs w:val="24"/>
                <w:lang w:val="en-US" w:eastAsia="zh-CN"/>
              </w:rPr>
            </w:pPr>
            <w:r>
              <w:rPr>
                <w:rFonts w:hint="eastAsia" w:ascii="宋体" w:hAnsi="宋体" w:cs="宋体"/>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防护</w:t>
            </w:r>
          </w:p>
        </w:tc>
        <w:tc>
          <w:tcPr>
            <w:tcW w:w="960" w:type="dxa"/>
          </w:tcPr>
          <w:p>
            <w:pPr>
              <w:spacing w:line="24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Q8.5.4</w:t>
            </w:r>
            <w:r>
              <w:rPr>
                <w:rFonts w:hint="eastAsia" w:ascii="宋体" w:hAnsi="宋体" w:cs="宋体"/>
                <w:sz w:val="24"/>
                <w:szCs w:val="24"/>
                <w:lang w:val="en-US" w:eastAsia="zh-CN"/>
              </w:rPr>
              <w:t>/H4</w:t>
            </w:r>
          </w:p>
        </w:tc>
        <w:tc>
          <w:tcPr>
            <w:tcW w:w="10004" w:type="dxa"/>
          </w:tcPr>
          <w:p>
            <w:pPr>
              <w:spacing w:line="24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现场核查</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文件、记录等资料以文件夹包装，存放于专门的文件柜；管理人员去甲方现场检查派遣员工工作时，携带便携式硫化氢报警器，监视设备定期检定，状态良好，检定报告显示在有效期内。</w:t>
            </w:r>
          </w:p>
        </w:tc>
        <w:tc>
          <w:tcPr>
            <w:tcW w:w="1585" w:type="dxa"/>
          </w:tcPr>
          <w:p>
            <w:pPr>
              <w:spacing w:line="240" w:lineRule="auto"/>
              <w:rPr>
                <w:rFonts w:hint="eastAsia" w:ascii="宋体" w:hAnsi="宋体" w:eastAsia="宋体" w:cs="宋体"/>
                <w:sz w:val="24"/>
                <w:szCs w:val="24"/>
                <w:lang w:val="en-US" w:eastAsia="zh-CN"/>
              </w:rPr>
            </w:pPr>
            <w:r>
              <w:rPr>
                <w:rFonts w:hint="eastAsia" w:ascii="宋体" w:hAnsi="宋体" w:cs="宋体"/>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售后服务</w:t>
            </w:r>
          </w:p>
        </w:tc>
        <w:tc>
          <w:tcPr>
            <w:tcW w:w="960" w:type="dxa"/>
          </w:tcPr>
          <w:p>
            <w:pPr>
              <w:spacing w:line="24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Q8.5.5</w:t>
            </w:r>
            <w:r>
              <w:rPr>
                <w:rFonts w:hint="eastAsia" w:ascii="宋体" w:hAnsi="宋体" w:cs="宋体"/>
                <w:sz w:val="24"/>
                <w:szCs w:val="24"/>
                <w:lang w:val="en-US" w:eastAsia="zh-CN"/>
              </w:rPr>
              <w:t>/H4</w:t>
            </w:r>
          </w:p>
        </w:tc>
        <w:tc>
          <w:tcPr>
            <w:tcW w:w="10004" w:type="dxa"/>
          </w:tcPr>
          <w:p>
            <w:pPr>
              <w:spacing w:line="240" w:lineRule="auto"/>
              <w:rPr>
                <w:rFonts w:hint="eastAsia"/>
                <w:lang w:val="en-US" w:eastAsia="zh-CN"/>
              </w:rPr>
            </w:pPr>
            <w:r>
              <w:rPr>
                <w:rFonts w:hint="eastAsia"/>
                <w:lang w:val="en-US" w:eastAsia="zh-CN"/>
              </w:rPr>
              <w:t>策划有劳务派遣服务规范。</w:t>
            </w:r>
          </w:p>
          <w:p>
            <w:pPr>
              <w:pStyle w:val="9"/>
              <w:rPr>
                <w:rFonts w:hint="eastAsia"/>
                <w:lang w:val="en-US" w:eastAsia="zh-CN"/>
              </w:rPr>
            </w:pPr>
            <w:r>
              <w:rPr>
                <w:rFonts w:hint="eastAsia"/>
                <w:lang w:val="en-US" w:eastAsia="zh-CN"/>
              </w:rPr>
              <w:t>核</w:t>
            </w:r>
            <w:bookmarkStart w:id="7" w:name="OLE_LINK9"/>
            <w:r>
              <w:rPr>
                <w:rFonts w:hint="eastAsia"/>
                <w:lang w:val="en-US" w:eastAsia="zh-CN"/>
              </w:rPr>
              <w:t>查其提供的</w:t>
            </w:r>
            <w:bookmarkEnd w:id="7"/>
            <w:r>
              <w:rPr>
                <w:rFonts w:hint="eastAsia"/>
                <w:lang w:val="en-US" w:eastAsia="zh-CN"/>
              </w:rPr>
              <w:t>“派遣人员服务检查记录”，频率每月1次，控制参数包括派遣协议、管理制度、业务能力、沟通能力、规范等。抽查如下：</w:t>
            </w:r>
          </w:p>
          <w:p>
            <w:pPr>
              <w:pStyle w:val="9"/>
            </w:pPr>
            <w:r>
              <w:drawing>
                <wp:inline distT="0" distB="0" distL="114300" distR="114300">
                  <wp:extent cx="5082540" cy="3078480"/>
                  <wp:effectExtent l="0" t="0" r="7620" b="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9"/>
                          <a:stretch>
                            <a:fillRect/>
                          </a:stretch>
                        </pic:blipFill>
                        <pic:spPr>
                          <a:xfrm>
                            <a:off x="0" y="0"/>
                            <a:ext cx="5082540" cy="3078480"/>
                          </a:xfrm>
                          <a:prstGeom prst="rect">
                            <a:avLst/>
                          </a:prstGeom>
                          <a:noFill/>
                          <a:ln>
                            <a:noFill/>
                          </a:ln>
                        </pic:spPr>
                      </pic:pic>
                    </a:graphicData>
                  </a:graphic>
                </wp:inline>
              </w:drawing>
            </w:r>
          </w:p>
          <w:p>
            <w:pPr>
              <w:pStyle w:val="9"/>
              <w:rPr>
                <w:rFonts w:hint="eastAsia"/>
                <w:lang w:val="en-US" w:eastAsia="zh-CN"/>
              </w:rPr>
            </w:pPr>
            <w:r>
              <w:rPr>
                <w:rFonts w:hint="eastAsia"/>
                <w:lang w:val="en-US" w:eastAsia="zh-CN"/>
              </w:rPr>
              <w:t>查查其提供的“劳务派遣回访记录”，频率：每月一次，</w:t>
            </w:r>
          </w:p>
          <w:p>
            <w:pPr>
              <w:pStyle w:val="9"/>
            </w:pPr>
            <w:r>
              <w:drawing>
                <wp:inline distT="0" distB="0" distL="114300" distR="114300">
                  <wp:extent cx="3139440" cy="3005455"/>
                  <wp:effectExtent l="0" t="0" r="0" b="12065"/>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0"/>
                          <a:stretch>
                            <a:fillRect/>
                          </a:stretch>
                        </pic:blipFill>
                        <pic:spPr>
                          <a:xfrm>
                            <a:off x="0" y="0"/>
                            <a:ext cx="3139440" cy="3005455"/>
                          </a:xfrm>
                          <a:prstGeom prst="rect">
                            <a:avLst/>
                          </a:prstGeom>
                          <a:noFill/>
                          <a:ln>
                            <a:noFill/>
                          </a:ln>
                        </pic:spPr>
                      </pic:pic>
                    </a:graphicData>
                  </a:graphic>
                </wp:inline>
              </w:drawing>
            </w:r>
          </w:p>
          <w:p>
            <w:pPr>
              <w:pStyle w:val="9"/>
              <w:rPr>
                <w:rFonts w:hint="default" w:eastAsia="宋体"/>
                <w:lang w:val="en-US" w:eastAsia="zh-CN"/>
              </w:rPr>
            </w:pPr>
            <w:r>
              <w:rPr>
                <w:rFonts w:hint="eastAsia"/>
                <w:lang w:eastAsia="zh-CN"/>
              </w:rPr>
              <w:t>——</w:t>
            </w:r>
            <w:r>
              <w:rPr>
                <w:rFonts w:hint="eastAsia"/>
                <w:lang w:val="en-US" w:eastAsia="zh-CN"/>
              </w:rPr>
              <w:t>基本符合。</w:t>
            </w:r>
          </w:p>
        </w:tc>
        <w:tc>
          <w:tcPr>
            <w:tcW w:w="1585" w:type="dxa"/>
          </w:tcPr>
          <w:p>
            <w:pPr>
              <w:spacing w:line="240" w:lineRule="auto"/>
              <w:rPr>
                <w:rFonts w:hint="eastAsia" w:ascii="宋体" w:hAnsi="宋体" w:eastAsia="宋体" w:cs="宋体"/>
                <w:sz w:val="24"/>
                <w:szCs w:val="24"/>
                <w:lang w:val="en-US" w:eastAsia="zh-CN"/>
              </w:rPr>
            </w:pPr>
            <w:r>
              <w:rPr>
                <w:rFonts w:hint="eastAsia" w:ascii="宋体" w:hAnsi="宋体" w:cs="宋体"/>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更改控制</w:t>
            </w:r>
          </w:p>
        </w:tc>
        <w:tc>
          <w:tcPr>
            <w:tcW w:w="960" w:type="dxa"/>
          </w:tcPr>
          <w:p>
            <w:pPr>
              <w:spacing w:line="24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Q8.5.6</w:t>
            </w:r>
            <w:r>
              <w:rPr>
                <w:rFonts w:hint="eastAsia" w:ascii="宋体" w:hAnsi="宋体" w:cs="宋体"/>
                <w:sz w:val="24"/>
                <w:szCs w:val="24"/>
                <w:lang w:val="en-US" w:eastAsia="zh-CN"/>
              </w:rPr>
              <w:t>/H4.12</w:t>
            </w:r>
          </w:p>
        </w:tc>
        <w:tc>
          <w:tcPr>
            <w:tcW w:w="10004" w:type="dxa"/>
          </w:tcPr>
          <w:p>
            <w:pPr>
              <w:spacing w:line="24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负责人介绍，贯标期内未发生变更。</w:t>
            </w:r>
          </w:p>
        </w:tc>
        <w:tc>
          <w:tcPr>
            <w:tcW w:w="1585" w:type="dxa"/>
          </w:tcPr>
          <w:p>
            <w:pPr>
              <w:spacing w:line="240" w:lineRule="auto"/>
              <w:rPr>
                <w:rFonts w:hint="eastAsia" w:ascii="宋体" w:hAnsi="宋体" w:eastAsia="宋体" w:cs="宋体"/>
                <w:sz w:val="24"/>
                <w:szCs w:val="24"/>
                <w:lang w:val="en-US" w:eastAsia="zh-CN"/>
              </w:rPr>
            </w:pPr>
            <w:r>
              <w:rPr>
                <w:rFonts w:hint="eastAsia" w:ascii="宋体" w:hAnsi="宋体" w:cs="宋体"/>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服务的放行</w:t>
            </w:r>
          </w:p>
        </w:tc>
        <w:tc>
          <w:tcPr>
            <w:tcW w:w="960" w:type="dxa"/>
          </w:tcPr>
          <w:p>
            <w:pPr>
              <w:spacing w:line="24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Q8.6</w:t>
            </w:r>
            <w:bookmarkStart w:id="10" w:name="_GoBack"/>
            <w:bookmarkEnd w:id="10"/>
          </w:p>
        </w:tc>
        <w:tc>
          <w:tcPr>
            <w:tcW w:w="10004" w:type="dxa"/>
          </w:tcPr>
          <w:p>
            <w:pPr>
              <w:spacing w:line="240" w:lineRule="auto"/>
              <w:rPr>
                <w:rFonts w:hint="eastAsia"/>
                <w:lang w:eastAsia="zh-CN"/>
              </w:rPr>
            </w:pPr>
            <w:r>
              <w:rPr>
                <w:rFonts w:hint="eastAsia"/>
                <w:lang w:val="en-US" w:eastAsia="zh-CN"/>
              </w:rPr>
              <w:t>策划有“</w:t>
            </w:r>
            <w:r>
              <w:rPr>
                <w:rFonts w:hint="eastAsia"/>
              </w:rPr>
              <w:t>采购和外部供方控制程序</w:t>
            </w:r>
            <w:r>
              <w:rPr>
                <w:rFonts w:hint="eastAsia"/>
                <w:lang w:eastAsia="zh-CN"/>
              </w:rPr>
              <w:t>”、“</w:t>
            </w:r>
            <w:r>
              <w:rPr>
                <w:rFonts w:hint="eastAsia"/>
              </w:rPr>
              <w:t>劳务分包及派遣服务控制程序</w:t>
            </w:r>
            <w:r>
              <w:rPr>
                <w:rFonts w:hint="eastAsia"/>
                <w:lang w:eastAsia="zh-CN"/>
              </w:rPr>
              <w:t>”。</w:t>
            </w:r>
          </w:p>
          <w:p>
            <w:pPr>
              <w:pStyle w:val="9"/>
              <w:rPr>
                <w:rFonts w:hint="eastAsia"/>
                <w:lang w:val="en-US" w:eastAsia="zh-CN"/>
              </w:rPr>
            </w:pPr>
            <w:r>
              <w:rPr>
                <w:rFonts w:hint="eastAsia"/>
                <w:lang w:val="en-US" w:eastAsia="zh-CN"/>
              </w:rPr>
              <w:t>查实施证据：</w:t>
            </w:r>
          </w:p>
          <w:p>
            <w:pPr>
              <w:pStyle w:val="9"/>
              <w:rPr>
                <w:rFonts w:hint="default"/>
                <w:lang w:val="en-US" w:eastAsia="zh-CN"/>
              </w:rPr>
            </w:pPr>
            <w:r>
              <w:rPr>
                <w:rFonts w:hint="eastAsia"/>
                <w:lang w:val="en-US" w:eastAsia="zh-CN"/>
              </w:rPr>
              <w:t>采购检验</w:t>
            </w:r>
          </w:p>
          <w:p>
            <w:pPr>
              <w:pStyle w:val="9"/>
              <w:rPr>
                <w:rFonts w:hint="eastAsia" w:ascii="宋体" w:hAnsi="宋体" w:cs="宋体"/>
                <w:sz w:val="24"/>
                <w:szCs w:val="24"/>
                <w:lang w:val="en-US" w:eastAsia="zh-CN"/>
              </w:rPr>
            </w:pPr>
            <w:r>
              <w:rPr>
                <w:rFonts w:hint="eastAsia"/>
                <w:lang w:val="en-US" w:eastAsia="zh-CN"/>
              </w:rPr>
              <w:t>查新招员工的放行：提供有</w:t>
            </w:r>
            <w:r>
              <w:rPr>
                <w:rFonts w:hint="eastAsia" w:ascii="宋体" w:hAnsi="宋体" w:eastAsia="宋体" w:cs="宋体"/>
                <w:sz w:val="24"/>
                <w:szCs w:val="24"/>
                <w:lang w:val="en-US" w:eastAsia="zh-CN"/>
              </w:rPr>
              <w:t>博盛公司人才招聘求职登记表</w:t>
            </w:r>
            <w:r>
              <w:rPr>
                <w:rFonts w:hint="eastAsia" w:ascii="宋体" w:hAnsi="宋体" w:cs="宋体"/>
                <w:sz w:val="24"/>
                <w:szCs w:val="24"/>
                <w:lang w:val="en-US" w:eastAsia="zh-CN"/>
              </w:rPr>
              <w:t>，</w:t>
            </w:r>
            <w:r>
              <w:rPr>
                <w:rFonts w:hint="eastAsia" w:ascii="宋体" w:hAnsi="宋体" w:eastAsia="宋体" w:cs="宋体"/>
                <w:sz w:val="24"/>
                <w:szCs w:val="24"/>
                <w:highlight w:val="none"/>
                <w:lang w:val="en-US" w:eastAsia="zh-CN"/>
              </w:rPr>
              <w:t>——具体</w:t>
            </w:r>
            <w:r>
              <w:rPr>
                <w:rFonts w:hint="eastAsia" w:ascii="宋体" w:hAnsi="宋体" w:cs="宋体"/>
                <w:sz w:val="24"/>
                <w:szCs w:val="24"/>
                <w:highlight w:val="none"/>
                <w:lang w:val="en-US" w:eastAsia="zh-CN"/>
              </w:rPr>
              <w:t>抽样</w:t>
            </w:r>
            <w:r>
              <w:rPr>
                <w:rFonts w:hint="eastAsia" w:ascii="宋体" w:hAnsi="宋体" w:eastAsia="宋体" w:cs="宋体"/>
                <w:sz w:val="24"/>
                <w:szCs w:val="24"/>
                <w:highlight w:val="none"/>
                <w:lang w:val="en-US" w:eastAsia="zh-CN"/>
              </w:rPr>
              <w:t>见8.5.1条款；</w:t>
            </w:r>
          </w:p>
          <w:p>
            <w:pPr>
              <w:pStyle w:val="9"/>
              <w:rPr>
                <w:rFonts w:hint="eastAsia" w:ascii="宋体" w:hAnsi="宋体" w:cs="宋体"/>
                <w:sz w:val="24"/>
                <w:szCs w:val="24"/>
                <w:lang w:val="en-US" w:eastAsia="zh-CN"/>
              </w:rPr>
            </w:pPr>
            <w:r>
              <w:rPr>
                <w:rFonts w:hint="eastAsia" w:ascii="宋体" w:hAnsi="宋体" w:cs="宋体"/>
                <w:sz w:val="24"/>
                <w:szCs w:val="24"/>
                <w:lang w:val="en-US" w:eastAsia="zh-CN"/>
              </w:rPr>
              <w:t>查办公用品及耗材：经营部负责人到正规文具点购买，提供有发票。抽查如下：</w:t>
            </w:r>
          </w:p>
          <w:p>
            <w:pPr>
              <w:pStyle w:val="9"/>
              <w:rPr>
                <w:rFonts w:hint="default" w:ascii="宋体" w:hAnsi="宋体" w:cs="宋体"/>
                <w:sz w:val="24"/>
                <w:szCs w:val="24"/>
                <w:lang w:val="en-US" w:eastAsia="zh-CN"/>
              </w:rPr>
            </w:pPr>
            <w:r>
              <w:drawing>
                <wp:inline distT="0" distB="0" distL="114300" distR="114300">
                  <wp:extent cx="4072890" cy="1788160"/>
                  <wp:effectExtent l="0" t="0" r="11430" b="10160"/>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1"/>
                          <a:stretch>
                            <a:fillRect/>
                          </a:stretch>
                        </pic:blipFill>
                        <pic:spPr>
                          <a:xfrm>
                            <a:off x="0" y="0"/>
                            <a:ext cx="4072890" cy="1788160"/>
                          </a:xfrm>
                          <a:prstGeom prst="rect">
                            <a:avLst/>
                          </a:prstGeom>
                          <a:noFill/>
                          <a:ln>
                            <a:noFill/>
                          </a:ln>
                        </pic:spPr>
                      </pic:pic>
                    </a:graphicData>
                  </a:graphic>
                </wp:inline>
              </w:drawing>
            </w:r>
          </w:p>
          <w:p>
            <w:pPr>
              <w:pStyle w:val="9"/>
              <w:rPr>
                <w:rFonts w:hint="eastAsia" w:ascii="宋体" w:hAnsi="宋体" w:cs="宋体"/>
                <w:sz w:val="24"/>
                <w:szCs w:val="24"/>
                <w:lang w:val="en-US" w:eastAsia="zh-CN"/>
              </w:rPr>
            </w:pPr>
            <w:r>
              <w:rPr>
                <w:rFonts w:hint="eastAsia" w:ascii="宋体" w:hAnsi="宋体" w:cs="宋体"/>
                <w:sz w:val="24"/>
                <w:szCs w:val="24"/>
                <w:lang w:val="en-US" w:eastAsia="zh-CN"/>
              </w:rPr>
              <w:t>查劳保用品：由总公司配发。</w:t>
            </w:r>
          </w:p>
          <w:p>
            <w:pPr>
              <w:pStyle w:val="9"/>
              <w:rPr>
                <w:rFonts w:hint="eastAsia" w:ascii="宋体" w:hAnsi="宋体" w:cs="宋体"/>
                <w:sz w:val="24"/>
                <w:szCs w:val="24"/>
                <w:lang w:val="en-US" w:eastAsia="zh-CN"/>
              </w:rPr>
            </w:pPr>
            <w:r>
              <w:rPr>
                <w:rFonts w:hint="eastAsia" w:ascii="宋体" w:hAnsi="宋体" w:cs="宋体"/>
                <w:sz w:val="24"/>
                <w:szCs w:val="24"/>
                <w:lang w:val="en-US" w:eastAsia="zh-CN"/>
              </w:rPr>
              <w:t>过程检验</w:t>
            </w:r>
          </w:p>
          <w:p>
            <w:pPr>
              <w:pStyle w:val="9"/>
              <w:numPr>
                <w:ilvl w:val="0"/>
                <w:numId w:val="0"/>
              </w:numPr>
              <w:spacing w:line="240" w:lineRule="auto"/>
              <w:rPr>
                <w:rFonts w:hint="eastAsia" w:ascii="宋体" w:hAnsi="宋体" w:eastAsia="宋体" w:cs="宋体"/>
                <w:sz w:val="24"/>
                <w:szCs w:val="24"/>
                <w:highlight w:val="none"/>
                <w:lang w:val="en-US" w:eastAsia="zh-CN"/>
              </w:rPr>
            </w:pPr>
            <w:bookmarkStart w:id="8" w:name="OLE_LINK7"/>
            <w:r>
              <w:rPr>
                <w:rFonts w:hint="eastAsia" w:ascii="宋体" w:hAnsi="宋体" w:cs="宋体"/>
                <w:sz w:val="24"/>
                <w:szCs w:val="24"/>
                <w:lang w:val="en-US" w:eastAsia="zh-CN"/>
              </w:rPr>
              <w:t>提供有</w:t>
            </w:r>
            <w:bookmarkEnd w:id="8"/>
            <w:r>
              <w:rPr>
                <w:rFonts w:hint="eastAsia" w:ascii="宋体" w:hAnsi="宋体" w:eastAsia="宋体" w:cs="宋体"/>
                <w:sz w:val="24"/>
                <w:szCs w:val="24"/>
                <w:highlight w:val="none"/>
                <w:lang w:val="en-US" w:eastAsia="zh-CN"/>
              </w:rPr>
              <w:t>劳务派遣任务单、</w:t>
            </w:r>
            <w:r>
              <w:rPr>
                <w:rFonts w:hint="eastAsia" w:ascii="宋体" w:hAnsi="宋体" w:eastAsia="宋体" w:cs="宋体"/>
                <w:sz w:val="24"/>
                <w:szCs w:val="24"/>
                <w:lang w:val="en-US" w:eastAsia="zh-CN"/>
              </w:rPr>
              <w:t>博盛公司人才招聘求职登记表</w:t>
            </w:r>
            <w:r>
              <w:rPr>
                <w:rFonts w:hint="eastAsia" w:ascii="宋体" w:hAnsi="宋体" w:eastAsia="宋体" w:cs="宋体"/>
                <w:sz w:val="24"/>
                <w:szCs w:val="24"/>
                <w:highlight w:val="none"/>
                <w:lang w:val="en-US" w:eastAsia="zh-CN"/>
              </w:rPr>
              <w:t>、派遣工合同、体检报告、培训记录、派遣人员台账</w:t>
            </w:r>
            <w:bookmarkStart w:id="9" w:name="OLE_LINK8"/>
            <w:r>
              <w:rPr>
                <w:rFonts w:hint="eastAsia" w:ascii="宋体" w:hAnsi="宋体" w:eastAsia="宋体" w:cs="宋体"/>
                <w:sz w:val="24"/>
                <w:szCs w:val="24"/>
                <w:highlight w:val="none"/>
                <w:lang w:val="en-US" w:eastAsia="zh-CN"/>
              </w:rPr>
              <w:t>——具体</w:t>
            </w:r>
            <w:r>
              <w:rPr>
                <w:rFonts w:hint="eastAsia" w:ascii="宋体" w:hAnsi="宋体" w:cs="宋体"/>
                <w:sz w:val="24"/>
                <w:szCs w:val="24"/>
                <w:highlight w:val="none"/>
                <w:lang w:val="en-US" w:eastAsia="zh-CN"/>
              </w:rPr>
              <w:t>抽样</w:t>
            </w:r>
            <w:r>
              <w:rPr>
                <w:rFonts w:hint="eastAsia" w:ascii="宋体" w:hAnsi="宋体" w:eastAsia="宋体" w:cs="宋体"/>
                <w:sz w:val="24"/>
                <w:szCs w:val="24"/>
                <w:highlight w:val="none"/>
                <w:lang w:val="en-US" w:eastAsia="zh-CN"/>
              </w:rPr>
              <w:t>见8.5.1条款；</w:t>
            </w:r>
            <w:bookmarkEnd w:id="9"/>
          </w:p>
          <w:p>
            <w:pPr>
              <w:pStyle w:val="9"/>
              <w:rPr>
                <w:rFonts w:hint="eastAsia" w:ascii="宋体" w:hAnsi="宋体" w:cs="宋体"/>
                <w:sz w:val="24"/>
                <w:szCs w:val="24"/>
                <w:lang w:val="en-US" w:eastAsia="zh-CN"/>
              </w:rPr>
            </w:pPr>
            <w:r>
              <w:rPr>
                <w:rFonts w:hint="eastAsia" w:ascii="宋体" w:hAnsi="宋体" w:cs="宋体"/>
                <w:sz w:val="24"/>
                <w:szCs w:val="24"/>
                <w:lang w:val="en-US" w:eastAsia="zh-CN"/>
              </w:rPr>
              <w:t>成品检验</w:t>
            </w:r>
          </w:p>
          <w:p>
            <w:pPr>
              <w:pStyle w:val="9"/>
              <w:rPr>
                <w:rFonts w:hint="default" w:ascii="宋体" w:hAnsi="宋体" w:cs="宋体"/>
                <w:sz w:val="24"/>
                <w:szCs w:val="24"/>
                <w:lang w:val="en-US" w:eastAsia="zh-CN"/>
              </w:rPr>
            </w:pPr>
            <w:r>
              <w:rPr>
                <w:rFonts w:hint="eastAsia" w:ascii="宋体" w:hAnsi="宋体" w:eastAsia="宋体" w:cs="宋体"/>
                <w:sz w:val="24"/>
                <w:szCs w:val="24"/>
                <w:highlight w:val="none"/>
                <w:lang w:val="en-US" w:eastAsia="zh-CN"/>
              </w:rPr>
              <w:t>签订劳动合同、办理社保手续。——具体</w:t>
            </w:r>
            <w:r>
              <w:rPr>
                <w:rFonts w:hint="eastAsia" w:ascii="宋体" w:hAnsi="宋体" w:cs="宋体"/>
                <w:sz w:val="24"/>
                <w:szCs w:val="24"/>
                <w:highlight w:val="none"/>
                <w:lang w:val="en-US" w:eastAsia="zh-CN"/>
              </w:rPr>
              <w:t>抽样</w:t>
            </w:r>
            <w:r>
              <w:rPr>
                <w:rFonts w:hint="eastAsia" w:ascii="宋体" w:hAnsi="宋体" w:eastAsia="宋体" w:cs="宋体"/>
                <w:sz w:val="24"/>
                <w:szCs w:val="24"/>
                <w:highlight w:val="none"/>
                <w:lang w:val="en-US" w:eastAsia="zh-CN"/>
              </w:rPr>
              <w:t>见8.5.1条款；</w:t>
            </w:r>
          </w:p>
        </w:tc>
        <w:tc>
          <w:tcPr>
            <w:tcW w:w="1585" w:type="dxa"/>
          </w:tcPr>
          <w:p>
            <w:pPr>
              <w:spacing w:line="240" w:lineRule="auto"/>
              <w:rPr>
                <w:rFonts w:hint="eastAsia" w:ascii="宋体" w:hAnsi="宋体" w:eastAsia="宋体" w:cs="宋体"/>
                <w:sz w:val="24"/>
                <w:szCs w:val="24"/>
                <w:lang w:val="en-US" w:eastAsia="zh-CN"/>
              </w:rPr>
            </w:pPr>
            <w:r>
              <w:rPr>
                <w:rFonts w:hint="eastAsia" w:ascii="宋体" w:hAnsi="宋体" w:cs="宋体"/>
                <w:sz w:val="24"/>
                <w:szCs w:val="24"/>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240" w:lineRule="auto"/>
              <w:rPr>
                <w:rFonts w:hint="eastAsia" w:ascii="宋体" w:hAnsi="宋体" w:eastAsia="宋体" w:cs="宋体"/>
                <w:sz w:val="24"/>
                <w:szCs w:val="24"/>
              </w:rPr>
            </w:pPr>
            <w:r>
              <w:rPr>
                <w:rFonts w:hint="eastAsia" w:ascii="宋体" w:hAnsi="宋体" w:eastAsia="宋体" w:cs="宋体"/>
                <w:sz w:val="24"/>
                <w:szCs w:val="24"/>
                <w:lang w:val="en-US" w:eastAsia="zh-CN"/>
              </w:rPr>
              <w:t>不合格服务的控制</w:t>
            </w:r>
          </w:p>
        </w:tc>
        <w:tc>
          <w:tcPr>
            <w:tcW w:w="960" w:type="dxa"/>
          </w:tcPr>
          <w:p>
            <w:pP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Q8.7</w:t>
            </w:r>
          </w:p>
        </w:tc>
        <w:tc>
          <w:tcPr>
            <w:tcW w:w="10004" w:type="dxa"/>
          </w:tcPr>
          <w:p>
            <w:pPr>
              <w:spacing w:line="240" w:lineRule="auto"/>
              <w:rPr>
                <w:rFonts w:hint="default" w:ascii="宋体" w:hAnsi="宋体" w:eastAsia="宋体" w:cs="宋体"/>
                <w:bCs/>
                <w:spacing w:val="10"/>
                <w:kern w:val="2"/>
                <w:sz w:val="24"/>
                <w:szCs w:val="24"/>
                <w:highlight w:val="none"/>
                <w:lang w:val="en-US" w:eastAsia="zh-CN" w:bidi="ar-SA"/>
              </w:rPr>
            </w:pPr>
            <w:r>
              <w:rPr>
                <w:rFonts w:hint="eastAsia" w:ascii="宋体" w:hAnsi="宋体" w:eastAsia="宋体" w:cs="宋体"/>
                <w:bCs/>
                <w:spacing w:val="10"/>
                <w:kern w:val="2"/>
                <w:sz w:val="24"/>
                <w:szCs w:val="24"/>
                <w:highlight w:val="none"/>
                <w:lang w:val="en-US" w:eastAsia="zh-CN" w:bidi="ar-SA"/>
              </w:rPr>
              <w:t>策划：不合格输出控制程序</w:t>
            </w:r>
          </w:p>
          <w:p>
            <w:pPr>
              <w:spacing w:line="240" w:lineRule="auto"/>
              <w:rPr>
                <w:rFonts w:hint="eastAsia" w:ascii="宋体" w:hAnsi="宋体" w:eastAsia="宋体" w:cs="宋体"/>
                <w:bCs/>
                <w:spacing w:val="10"/>
                <w:kern w:val="2"/>
                <w:sz w:val="24"/>
                <w:szCs w:val="24"/>
                <w:highlight w:val="none"/>
                <w:lang w:val="en-US" w:eastAsia="zh-CN" w:bidi="ar-SA"/>
              </w:rPr>
            </w:pPr>
            <w:r>
              <w:rPr>
                <w:rFonts w:hint="eastAsia" w:ascii="宋体" w:hAnsi="宋体" w:eastAsia="宋体" w:cs="宋体"/>
                <w:bCs/>
                <w:spacing w:val="10"/>
                <w:kern w:val="2"/>
                <w:sz w:val="24"/>
                <w:szCs w:val="24"/>
                <w:highlight w:val="none"/>
                <w:lang w:val="en-US" w:eastAsia="zh-CN" w:bidi="ar-SA"/>
              </w:rPr>
              <w:t>新员工面试、体检等不合格，公司不予签订劳动合同；派遣员工因不能胜任工作被甲方退回，公司对其进行辞退处理，按法规进行赔偿。</w:t>
            </w:r>
          </w:p>
          <w:p>
            <w:pPr>
              <w:pStyle w:val="9"/>
              <w:rPr>
                <w:rFonts w:hint="eastAsia" w:ascii="宋体" w:hAnsi="宋体" w:eastAsia="宋体" w:cs="宋体"/>
                <w:bCs/>
                <w:spacing w:val="10"/>
                <w:kern w:val="2"/>
                <w:sz w:val="24"/>
                <w:szCs w:val="24"/>
                <w:highlight w:val="none"/>
                <w:lang w:val="en-US" w:eastAsia="zh-CN" w:bidi="ar-SA"/>
              </w:rPr>
            </w:pPr>
          </w:p>
          <w:p>
            <w:pPr>
              <w:pStyle w:val="9"/>
              <w:rPr>
                <w:rFonts w:hint="default" w:ascii="宋体" w:hAnsi="宋体" w:eastAsia="宋体" w:cs="宋体"/>
                <w:sz w:val="24"/>
                <w:szCs w:val="24"/>
                <w:lang w:val="en-US" w:eastAsia="zh-CN"/>
              </w:rPr>
            </w:pPr>
            <w:r>
              <w:rPr>
                <w:rFonts w:hint="eastAsia" w:ascii="宋体" w:hAnsi="宋体" w:eastAsia="宋体" w:cs="宋体"/>
                <w:bCs/>
                <w:spacing w:val="10"/>
                <w:kern w:val="2"/>
                <w:sz w:val="24"/>
                <w:szCs w:val="24"/>
                <w:highlight w:val="none"/>
                <w:lang w:val="en-US" w:eastAsia="zh-CN" w:bidi="ar-SA"/>
              </w:rPr>
              <w:t>——基本符合。</w:t>
            </w:r>
          </w:p>
        </w:tc>
        <w:tc>
          <w:tcPr>
            <w:tcW w:w="1585" w:type="dxa"/>
          </w:tcPr>
          <w:p>
            <w:pPr>
              <w:spacing w:line="240" w:lineRule="auto"/>
              <w:rPr>
                <w:rFonts w:hint="eastAsia" w:ascii="宋体" w:hAnsi="宋体" w:eastAsia="宋体" w:cs="宋体"/>
                <w:sz w:val="24"/>
                <w:szCs w:val="24"/>
                <w:lang w:val="en-US" w:eastAsia="zh-CN"/>
              </w:rPr>
            </w:pPr>
            <w:r>
              <w:rPr>
                <w:rFonts w:hint="eastAsia" w:ascii="宋体" w:hAnsi="宋体" w:cs="宋体"/>
                <w:sz w:val="24"/>
                <w:szCs w:val="24"/>
                <w:lang w:val="en-US" w:eastAsia="zh-CN"/>
              </w:rPr>
              <w:t>Y</w:t>
            </w:r>
          </w:p>
        </w:tc>
      </w:tr>
    </w:tbl>
    <w:p>
      <w:r>
        <w:ptab w:relativeTo="margin" w:alignment="center" w:leader="none"/>
      </w:r>
    </w:p>
    <w:p/>
    <w:p/>
    <w:p>
      <w:pPr>
        <w:pStyle w:val="2"/>
      </w:pPr>
      <w:r>
        <w:rPr>
          <w:rFonts w:hint="eastAsia"/>
        </w:rPr>
        <w:t>说明：不符合标注N</w:t>
      </w: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2"/>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left" w:pos="8910"/>
        <w:tab w:val="left" w:pos="9142"/>
        <w:tab w:val="clear" w:pos="4153"/>
      </w:tabs>
      <w:spacing w:line="320" w:lineRule="exact"/>
      <w:ind w:left="-86" w:leftChars="-41" w:firstLine="810" w:firstLineChars="450"/>
      <w:jc w:val="left"/>
      <w:rPr>
        <w:rStyle w:val="12"/>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2"/>
        <w:rFonts w:hint="default"/>
      </w:rPr>
      <w:t>北京国标联合认证有限公司</w:t>
    </w:r>
    <w:r>
      <w:rPr>
        <w:rStyle w:val="12"/>
        <w:rFonts w:hint="default"/>
      </w:rPr>
      <w:tab/>
    </w:r>
    <w:r>
      <w:rPr>
        <w:rStyle w:val="12"/>
        <w:rFonts w:hint="default"/>
      </w:rPr>
      <w:tab/>
    </w:r>
    <w:r>
      <w:rPr>
        <w:rStyle w:val="12"/>
        <w:rFonts w:hint="default"/>
      </w:rPr>
      <w:tab/>
    </w:r>
  </w:p>
  <w:p>
    <w:pPr>
      <w:pStyle w:val="5"/>
      <w:pBdr>
        <w:bottom w:val="none" w:color="auto" w:sz="0" w:space="0"/>
      </w:pBdr>
      <w:spacing w:line="320" w:lineRule="exact"/>
      <w:ind w:firstLine="756" w:firstLineChars="400"/>
      <w:jc w:val="left"/>
    </w:pPr>
    <w:r>
      <w:rPr>
        <w:rStyle w:val="12"/>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1D9ECE"/>
    <w:multiLevelType w:val="singleLevel"/>
    <w:tmpl w:val="A31D9ECE"/>
    <w:lvl w:ilvl="0" w:tentative="0">
      <w:start w:val="1"/>
      <w:numFmt w:val="decimal"/>
      <w:suff w:val="nothing"/>
      <w:lvlText w:val="%1、"/>
      <w:lvlJc w:val="left"/>
    </w:lvl>
  </w:abstractNum>
  <w:abstractNum w:abstractNumId="1">
    <w:nsid w:val="1F3A6B2C"/>
    <w:multiLevelType w:val="singleLevel"/>
    <w:tmpl w:val="1F3A6B2C"/>
    <w:lvl w:ilvl="0" w:tentative="0">
      <w:start w:val="6"/>
      <w:numFmt w:val="decimal"/>
      <w:suff w:val="nothing"/>
      <w:lvlText w:val="%1、"/>
      <w:lvlJc w:val="left"/>
    </w:lvl>
  </w:abstractNum>
  <w:abstractNum w:abstractNumId="2">
    <w:nsid w:val="2005A057"/>
    <w:multiLevelType w:val="singleLevel"/>
    <w:tmpl w:val="2005A057"/>
    <w:lvl w:ilvl="0" w:tentative="0">
      <w:start w:val="1"/>
      <w:numFmt w:val="decimal"/>
      <w:suff w:val="nothing"/>
      <w:lvlText w:val="%1、"/>
      <w:lvlJc w:val="left"/>
    </w:lvl>
  </w:abstractNum>
  <w:abstractNum w:abstractNumId="3">
    <w:nsid w:val="2A5CAC9F"/>
    <w:multiLevelType w:val="singleLevel"/>
    <w:tmpl w:val="2A5CAC9F"/>
    <w:lvl w:ilvl="0" w:tentative="0">
      <w:start w:val="1"/>
      <w:numFmt w:val="decimal"/>
      <w:suff w:val="nothing"/>
      <w:lvlText w:val="%1、"/>
      <w:lvlJc w:val="left"/>
    </w:lvl>
  </w:abstractNum>
  <w:abstractNum w:abstractNumId="4">
    <w:nsid w:val="2DFC2DD1"/>
    <w:multiLevelType w:val="singleLevel"/>
    <w:tmpl w:val="2DFC2DD1"/>
    <w:lvl w:ilvl="0" w:tentative="0">
      <w:start w:val="1"/>
      <w:numFmt w:val="chineseCounting"/>
      <w:suff w:val="nothing"/>
      <w:lvlText w:val="%1、"/>
      <w:lvlJc w:val="left"/>
      <w:rPr>
        <w:rFonts w:hint="eastAsia"/>
      </w:rPr>
    </w:lvl>
  </w:abstractNum>
  <w:abstractNum w:abstractNumId="5">
    <w:nsid w:val="40F45518"/>
    <w:multiLevelType w:val="singleLevel"/>
    <w:tmpl w:val="40F45518"/>
    <w:lvl w:ilvl="0" w:tentative="0">
      <w:start w:val="1"/>
      <w:numFmt w:val="decimal"/>
      <w:lvlText w:val="%1."/>
      <w:lvlJc w:val="left"/>
      <w:pPr>
        <w:tabs>
          <w:tab w:val="left" w:pos="312"/>
        </w:tabs>
      </w:pPr>
    </w:lvl>
  </w:abstractNum>
  <w:abstractNum w:abstractNumId="6">
    <w:nsid w:val="51E738FF"/>
    <w:multiLevelType w:val="singleLevel"/>
    <w:tmpl w:val="51E738FF"/>
    <w:lvl w:ilvl="0" w:tentative="0">
      <w:start w:val="1"/>
      <w:numFmt w:val="decimal"/>
      <w:suff w:val="nothing"/>
      <w:lvlText w:val="%1、"/>
      <w:lvlJc w:val="left"/>
    </w:lvl>
  </w:abstractNum>
  <w:abstractNum w:abstractNumId="7">
    <w:nsid w:val="7AEDB7CD"/>
    <w:multiLevelType w:val="singleLevel"/>
    <w:tmpl w:val="7AEDB7CD"/>
    <w:lvl w:ilvl="0" w:tentative="0">
      <w:start w:val="1"/>
      <w:numFmt w:val="decimal"/>
      <w:lvlText w:val="%1."/>
      <w:lvlJc w:val="left"/>
      <w:pPr>
        <w:tabs>
          <w:tab w:val="left" w:pos="312"/>
        </w:tabs>
      </w:pPr>
    </w:lvl>
  </w:abstractNum>
  <w:num w:numId="1">
    <w:abstractNumId w:val="4"/>
  </w:num>
  <w:num w:numId="2">
    <w:abstractNumId w:val="5"/>
  </w:num>
  <w:num w:numId="3">
    <w:abstractNumId w:val="7"/>
  </w:num>
  <w:num w:numId="4">
    <w:abstractNumId w:val="6"/>
  </w:num>
  <w:num w:numId="5">
    <w:abstractNumId w:val="0"/>
  </w:num>
  <w:num w:numId="6">
    <w:abstractNumId w:val="1"/>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mM3NDJhNGRkNmZiZjA2OTg3ZjZiMDhkODZkNmNlMjcifQ=="/>
  </w:docVars>
  <w:rsids>
    <w:rsidRoot w:val="00000000"/>
    <w:rsid w:val="001C048E"/>
    <w:rsid w:val="00724E87"/>
    <w:rsid w:val="00D95878"/>
    <w:rsid w:val="01C257F8"/>
    <w:rsid w:val="02AD14F9"/>
    <w:rsid w:val="02AE7397"/>
    <w:rsid w:val="02B82FE7"/>
    <w:rsid w:val="02DB1218"/>
    <w:rsid w:val="041E5461"/>
    <w:rsid w:val="0422003D"/>
    <w:rsid w:val="04247911"/>
    <w:rsid w:val="048C54B6"/>
    <w:rsid w:val="04AB1D99"/>
    <w:rsid w:val="04AD3983"/>
    <w:rsid w:val="04B23E2F"/>
    <w:rsid w:val="052B4CCF"/>
    <w:rsid w:val="053C512E"/>
    <w:rsid w:val="053F69CD"/>
    <w:rsid w:val="06715AA8"/>
    <w:rsid w:val="06754DBC"/>
    <w:rsid w:val="077A53BC"/>
    <w:rsid w:val="078B6A6B"/>
    <w:rsid w:val="078E1545"/>
    <w:rsid w:val="08147C9D"/>
    <w:rsid w:val="083420ED"/>
    <w:rsid w:val="08A658CD"/>
    <w:rsid w:val="092C2CD6"/>
    <w:rsid w:val="092C4B5A"/>
    <w:rsid w:val="09CD4F8E"/>
    <w:rsid w:val="09D7375B"/>
    <w:rsid w:val="09FF534A"/>
    <w:rsid w:val="0A1A333A"/>
    <w:rsid w:val="0A1B3564"/>
    <w:rsid w:val="0A261078"/>
    <w:rsid w:val="0A326B00"/>
    <w:rsid w:val="0A391F94"/>
    <w:rsid w:val="0AA279B8"/>
    <w:rsid w:val="0AB67731"/>
    <w:rsid w:val="0AC07E3B"/>
    <w:rsid w:val="0AFF48CA"/>
    <w:rsid w:val="0B32119D"/>
    <w:rsid w:val="0BCC3D1A"/>
    <w:rsid w:val="0C213BB5"/>
    <w:rsid w:val="0C34052E"/>
    <w:rsid w:val="0C434FF4"/>
    <w:rsid w:val="0C537BF3"/>
    <w:rsid w:val="0C5B3D39"/>
    <w:rsid w:val="0C8642BA"/>
    <w:rsid w:val="0C992E66"/>
    <w:rsid w:val="0CB62986"/>
    <w:rsid w:val="0D264728"/>
    <w:rsid w:val="0E3C3E5F"/>
    <w:rsid w:val="0ECA6D30"/>
    <w:rsid w:val="0EFC3672"/>
    <w:rsid w:val="0F0F220D"/>
    <w:rsid w:val="0FDF5034"/>
    <w:rsid w:val="0FE443F8"/>
    <w:rsid w:val="11001706"/>
    <w:rsid w:val="112D458C"/>
    <w:rsid w:val="11826A24"/>
    <w:rsid w:val="12105979"/>
    <w:rsid w:val="13685340"/>
    <w:rsid w:val="145E0C1D"/>
    <w:rsid w:val="146E5D7A"/>
    <w:rsid w:val="14BA1FB9"/>
    <w:rsid w:val="153F4E3F"/>
    <w:rsid w:val="15485429"/>
    <w:rsid w:val="155B515D"/>
    <w:rsid w:val="15853F88"/>
    <w:rsid w:val="15DE1E65"/>
    <w:rsid w:val="163D2AB4"/>
    <w:rsid w:val="17AF6E66"/>
    <w:rsid w:val="181471B0"/>
    <w:rsid w:val="18ED6E31"/>
    <w:rsid w:val="18F75367"/>
    <w:rsid w:val="196E7790"/>
    <w:rsid w:val="19B66E06"/>
    <w:rsid w:val="19E00417"/>
    <w:rsid w:val="19F12168"/>
    <w:rsid w:val="19F423BF"/>
    <w:rsid w:val="19FA68E7"/>
    <w:rsid w:val="1A236B3E"/>
    <w:rsid w:val="1AB814B0"/>
    <w:rsid w:val="1AD3606A"/>
    <w:rsid w:val="1B151F36"/>
    <w:rsid w:val="1B5B4C69"/>
    <w:rsid w:val="1B6034CD"/>
    <w:rsid w:val="1B7C2230"/>
    <w:rsid w:val="1BA70797"/>
    <w:rsid w:val="1BAB571E"/>
    <w:rsid w:val="1BD5515C"/>
    <w:rsid w:val="1C14158E"/>
    <w:rsid w:val="1C67088B"/>
    <w:rsid w:val="1CBC42E9"/>
    <w:rsid w:val="1CCB0E1A"/>
    <w:rsid w:val="1CFF7CA2"/>
    <w:rsid w:val="1D412E8A"/>
    <w:rsid w:val="1D635858"/>
    <w:rsid w:val="1DD86686"/>
    <w:rsid w:val="1DEB51E9"/>
    <w:rsid w:val="1E0C22E1"/>
    <w:rsid w:val="1E2C6398"/>
    <w:rsid w:val="1EEB21A3"/>
    <w:rsid w:val="1F0C5399"/>
    <w:rsid w:val="2014371F"/>
    <w:rsid w:val="20541232"/>
    <w:rsid w:val="205E01F7"/>
    <w:rsid w:val="2120725A"/>
    <w:rsid w:val="21271B01"/>
    <w:rsid w:val="21571A4D"/>
    <w:rsid w:val="21863561"/>
    <w:rsid w:val="219C3C5A"/>
    <w:rsid w:val="21C1261C"/>
    <w:rsid w:val="21C66054"/>
    <w:rsid w:val="21E30972"/>
    <w:rsid w:val="22170B4A"/>
    <w:rsid w:val="22C97BAA"/>
    <w:rsid w:val="22D370E8"/>
    <w:rsid w:val="238D10FE"/>
    <w:rsid w:val="23D22A8E"/>
    <w:rsid w:val="23DF3F09"/>
    <w:rsid w:val="2416287F"/>
    <w:rsid w:val="24B35C75"/>
    <w:rsid w:val="25AB3597"/>
    <w:rsid w:val="25AD5B5B"/>
    <w:rsid w:val="25E31BB8"/>
    <w:rsid w:val="25F3318F"/>
    <w:rsid w:val="26314406"/>
    <w:rsid w:val="26500F0A"/>
    <w:rsid w:val="26577245"/>
    <w:rsid w:val="267A5BDF"/>
    <w:rsid w:val="267C2524"/>
    <w:rsid w:val="2685337C"/>
    <w:rsid w:val="276241A0"/>
    <w:rsid w:val="2785345A"/>
    <w:rsid w:val="27EC6B43"/>
    <w:rsid w:val="27F91D17"/>
    <w:rsid w:val="2811593B"/>
    <w:rsid w:val="288D39AB"/>
    <w:rsid w:val="292E2CA1"/>
    <w:rsid w:val="295E77D4"/>
    <w:rsid w:val="2A1F6249"/>
    <w:rsid w:val="2A341207"/>
    <w:rsid w:val="2A4F431C"/>
    <w:rsid w:val="2B736ECF"/>
    <w:rsid w:val="2BFE7657"/>
    <w:rsid w:val="2C4541E8"/>
    <w:rsid w:val="2C6866E1"/>
    <w:rsid w:val="2C8A6818"/>
    <w:rsid w:val="2CAD4098"/>
    <w:rsid w:val="2CD32F60"/>
    <w:rsid w:val="2D8E54E4"/>
    <w:rsid w:val="2DEC712D"/>
    <w:rsid w:val="2DF47C6D"/>
    <w:rsid w:val="2DFD59A0"/>
    <w:rsid w:val="2F083AD2"/>
    <w:rsid w:val="2F240D2A"/>
    <w:rsid w:val="2F2B0DAC"/>
    <w:rsid w:val="2F2E1F6E"/>
    <w:rsid w:val="2FA43021"/>
    <w:rsid w:val="2FD162F0"/>
    <w:rsid w:val="305E2B02"/>
    <w:rsid w:val="30D95414"/>
    <w:rsid w:val="31A61003"/>
    <w:rsid w:val="31EA4395"/>
    <w:rsid w:val="322B4807"/>
    <w:rsid w:val="324A05DB"/>
    <w:rsid w:val="327B1DD2"/>
    <w:rsid w:val="3284410F"/>
    <w:rsid w:val="33891E90"/>
    <w:rsid w:val="33A87367"/>
    <w:rsid w:val="33A94049"/>
    <w:rsid w:val="340876F3"/>
    <w:rsid w:val="34256C0A"/>
    <w:rsid w:val="348D3B9B"/>
    <w:rsid w:val="34A02734"/>
    <w:rsid w:val="34C07C05"/>
    <w:rsid w:val="351A24E7"/>
    <w:rsid w:val="35B30245"/>
    <w:rsid w:val="35C0308E"/>
    <w:rsid w:val="35D2704E"/>
    <w:rsid w:val="35D82CC0"/>
    <w:rsid w:val="35F2742B"/>
    <w:rsid w:val="36513CE6"/>
    <w:rsid w:val="37515C0D"/>
    <w:rsid w:val="377D6D5D"/>
    <w:rsid w:val="37985945"/>
    <w:rsid w:val="38013BDF"/>
    <w:rsid w:val="381C0324"/>
    <w:rsid w:val="382E3CCE"/>
    <w:rsid w:val="383D2B22"/>
    <w:rsid w:val="383F1133"/>
    <w:rsid w:val="387C1340"/>
    <w:rsid w:val="388A20A7"/>
    <w:rsid w:val="388C54AA"/>
    <w:rsid w:val="38CF183A"/>
    <w:rsid w:val="391F72DB"/>
    <w:rsid w:val="39AB4E02"/>
    <w:rsid w:val="3A080B60"/>
    <w:rsid w:val="3A23599A"/>
    <w:rsid w:val="3A3417EC"/>
    <w:rsid w:val="3A373737"/>
    <w:rsid w:val="3A655197"/>
    <w:rsid w:val="3AC262B4"/>
    <w:rsid w:val="3AD1204E"/>
    <w:rsid w:val="3C4E2A76"/>
    <w:rsid w:val="3C5C5193"/>
    <w:rsid w:val="3CAF79B9"/>
    <w:rsid w:val="3D167A38"/>
    <w:rsid w:val="3D8449A1"/>
    <w:rsid w:val="3D8C7CFA"/>
    <w:rsid w:val="3DC66FFF"/>
    <w:rsid w:val="3E1E28C4"/>
    <w:rsid w:val="3E227C3A"/>
    <w:rsid w:val="3E5D61B8"/>
    <w:rsid w:val="3EB53C33"/>
    <w:rsid w:val="3F4723DE"/>
    <w:rsid w:val="3F687D7D"/>
    <w:rsid w:val="3F6D76B7"/>
    <w:rsid w:val="402C1320"/>
    <w:rsid w:val="406B67C7"/>
    <w:rsid w:val="40E96F3C"/>
    <w:rsid w:val="416E504B"/>
    <w:rsid w:val="41793CAE"/>
    <w:rsid w:val="41813EC3"/>
    <w:rsid w:val="42097B6B"/>
    <w:rsid w:val="42285853"/>
    <w:rsid w:val="42381199"/>
    <w:rsid w:val="425D32AC"/>
    <w:rsid w:val="42743D1C"/>
    <w:rsid w:val="427F27B2"/>
    <w:rsid w:val="430D1A4F"/>
    <w:rsid w:val="432525EC"/>
    <w:rsid w:val="434C5008"/>
    <w:rsid w:val="43642F3E"/>
    <w:rsid w:val="439D29F5"/>
    <w:rsid w:val="43A6090E"/>
    <w:rsid w:val="43B31984"/>
    <w:rsid w:val="43E02B4D"/>
    <w:rsid w:val="44242A3A"/>
    <w:rsid w:val="44887136"/>
    <w:rsid w:val="44FE14DD"/>
    <w:rsid w:val="45672E0C"/>
    <w:rsid w:val="45D307FF"/>
    <w:rsid w:val="460078E3"/>
    <w:rsid w:val="46460B0A"/>
    <w:rsid w:val="473503A8"/>
    <w:rsid w:val="47863A0C"/>
    <w:rsid w:val="47F6649C"/>
    <w:rsid w:val="482D53ED"/>
    <w:rsid w:val="48333FF5"/>
    <w:rsid w:val="48474F49"/>
    <w:rsid w:val="48A34513"/>
    <w:rsid w:val="498913BC"/>
    <w:rsid w:val="4A083365"/>
    <w:rsid w:val="4A133849"/>
    <w:rsid w:val="4A5403A7"/>
    <w:rsid w:val="4A66423F"/>
    <w:rsid w:val="4A8561FD"/>
    <w:rsid w:val="4A9B3CA5"/>
    <w:rsid w:val="4AB51C2E"/>
    <w:rsid w:val="4ADC1F51"/>
    <w:rsid w:val="4B530EC7"/>
    <w:rsid w:val="4C8728BA"/>
    <w:rsid w:val="4CB34C97"/>
    <w:rsid w:val="4CF44B3D"/>
    <w:rsid w:val="4D8C18F0"/>
    <w:rsid w:val="4DEB6377"/>
    <w:rsid w:val="4E4A25B8"/>
    <w:rsid w:val="4EAB07B8"/>
    <w:rsid w:val="4ED70FBA"/>
    <w:rsid w:val="4F4760E5"/>
    <w:rsid w:val="4F49726E"/>
    <w:rsid w:val="4F912F4E"/>
    <w:rsid w:val="50153B7F"/>
    <w:rsid w:val="513241A4"/>
    <w:rsid w:val="5133250E"/>
    <w:rsid w:val="5198191D"/>
    <w:rsid w:val="51CD13D4"/>
    <w:rsid w:val="51ED66C7"/>
    <w:rsid w:val="52197DF1"/>
    <w:rsid w:val="5220209D"/>
    <w:rsid w:val="523E205C"/>
    <w:rsid w:val="52AE5475"/>
    <w:rsid w:val="536E2E07"/>
    <w:rsid w:val="54067ECB"/>
    <w:rsid w:val="542D4F36"/>
    <w:rsid w:val="54932EB4"/>
    <w:rsid w:val="54B56B89"/>
    <w:rsid w:val="54F2448F"/>
    <w:rsid w:val="557650C0"/>
    <w:rsid w:val="5638698C"/>
    <w:rsid w:val="56803968"/>
    <w:rsid w:val="56D73577"/>
    <w:rsid w:val="57EC77A2"/>
    <w:rsid w:val="58047F75"/>
    <w:rsid w:val="58096685"/>
    <w:rsid w:val="58A8162D"/>
    <w:rsid w:val="58CB7914"/>
    <w:rsid w:val="58E862D4"/>
    <w:rsid w:val="5919664E"/>
    <w:rsid w:val="598E2216"/>
    <w:rsid w:val="59D265AB"/>
    <w:rsid w:val="59D76F69"/>
    <w:rsid w:val="5A2F12AF"/>
    <w:rsid w:val="5A684B96"/>
    <w:rsid w:val="5A784825"/>
    <w:rsid w:val="5A8C4D41"/>
    <w:rsid w:val="5B532DB8"/>
    <w:rsid w:val="5B6776D9"/>
    <w:rsid w:val="5BB571F9"/>
    <w:rsid w:val="5BC37F17"/>
    <w:rsid w:val="5BCD2C88"/>
    <w:rsid w:val="5BF371D3"/>
    <w:rsid w:val="5CA70254"/>
    <w:rsid w:val="5CB33FED"/>
    <w:rsid w:val="5D1C654D"/>
    <w:rsid w:val="5DB14E97"/>
    <w:rsid w:val="5DC11BD9"/>
    <w:rsid w:val="5DCB241B"/>
    <w:rsid w:val="5E183B2D"/>
    <w:rsid w:val="5E225DE5"/>
    <w:rsid w:val="5E9860A7"/>
    <w:rsid w:val="5EAC1890"/>
    <w:rsid w:val="5EB509D2"/>
    <w:rsid w:val="5F076D88"/>
    <w:rsid w:val="5F7E4F76"/>
    <w:rsid w:val="5F810BD0"/>
    <w:rsid w:val="60981914"/>
    <w:rsid w:val="60A346BE"/>
    <w:rsid w:val="60B42CC6"/>
    <w:rsid w:val="61E47C17"/>
    <w:rsid w:val="62C914D4"/>
    <w:rsid w:val="632779F9"/>
    <w:rsid w:val="63576530"/>
    <w:rsid w:val="63903D6E"/>
    <w:rsid w:val="6401649C"/>
    <w:rsid w:val="65173C9C"/>
    <w:rsid w:val="65BF216B"/>
    <w:rsid w:val="665E1C0B"/>
    <w:rsid w:val="667217E8"/>
    <w:rsid w:val="66B50E3F"/>
    <w:rsid w:val="66E07E1A"/>
    <w:rsid w:val="67070024"/>
    <w:rsid w:val="670E2D32"/>
    <w:rsid w:val="67273E6A"/>
    <w:rsid w:val="677B6664"/>
    <w:rsid w:val="680971C9"/>
    <w:rsid w:val="68183DB4"/>
    <w:rsid w:val="6870599E"/>
    <w:rsid w:val="68B66E49"/>
    <w:rsid w:val="68C34A48"/>
    <w:rsid w:val="693E784B"/>
    <w:rsid w:val="699131BB"/>
    <w:rsid w:val="69913E1E"/>
    <w:rsid w:val="6A4A4C99"/>
    <w:rsid w:val="6A5A06B4"/>
    <w:rsid w:val="6A745183"/>
    <w:rsid w:val="6A7E0847"/>
    <w:rsid w:val="6AB90001"/>
    <w:rsid w:val="6ADA79C0"/>
    <w:rsid w:val="6B234F4A"/>
    <w:rsid w:val="6B26477A"/>
    <w:rsid w:val="6B395FAE"/>
    <w:rsid w:val="6B3A00A0"/>
    <w:rsid w:val="6BA47991"/>
    <w:rsid w:val="6C031E71"/>
    <w:rsid w:val="6CF02338"/>
    <w:rsid w:val="6CFA78BB"/>
    <w:rsid w:val="6E020E6F"/>
    <w:rsid w:val="6EA01364"/>
    <w:rsid w:val="6EA51385"/>
    <w:rsid w:val="6F5C4ECE"/>
    <w:rsid w:val="6F9E33D9"/>
    <w:rsid w:val="6FDF014D"/>
    <w:rsid w:val="6FF81035"/>
    <w:rsid w:val="704E25B1"/>
    <w:rsid w:val="70B16101"/>
    <w:rsid w:val="715601B0"/>
    <w:rsid w:val="71CD3E62"/>
    <w:rsid w:val="71EA4A14"/>
    <w:rsid w:val="72510BA3"/>
    <w:rsid w:val="729D7C4A"/>
    <w:rsid w:val="72B868C0"/>
    <w:rsid w:val="73766F8F"/>
    <w:rsid w:val="73B452D9"/>
    <w:rsid w:val="73D06C32"/>
    <w:rsid w:val="73D44812"/>
    <w:rsid w:val="73F672A4"/>
    <w:rsid w:val="74834E65"/>
    <w:rsid w:val="74A215D5"/>
    <w:rsid w:val="75472F3A"/>
    <w:rsid w:val="75F42689"/>
    <w:rsid w:val="76377AFB"/>
    <w:rsid w:val="767825EE"/>
    <w:rsid w:val="77536BB7"/>
    <w:rsid w:val="77806779"/>
    <w:rsid w:val="77C44106"/>
    <w:rsid w:val="77D7502A"/>
    <w:rsid w:val="77E67A2B"/>
    <w:rsid w:val="77F9775E"/>
    <w:rsid w:val="7841059F"/>
    <w:rsid w:val="78504E72"/>
    <w:rsid w:val="785C1A9B"/>
    <w:rsid w:val="788E62FF"/>
    <w:rsid w:val="78CD54A3"/>
    <w:rsid w:val="78DB6E64"/>
    <w:rsid w:val="794B54DF"/>
    <w:rsid w:val="79D078F8"/>
    <w:rsid w:val="7A151741"/>
    <w:rsid w:val="7A9274BD"/>
    <w:rsid w:val="7ACE1DEE"/>
    <w:rsid w:val="7BBB4D2B"/>
    <w:rsid w:val="7BDF0A19"/>
    <w:rsid w:val="7BE44282"/>
    <w:rsid w:val="7C494B14"/>
    <w:rsid w:val="7C977546"/>
    <w:rsid w:val="7DB67EA0"/>
    <w:rsid w:val="7DD50326"/>
    <w:rsid w:val="7E4C391E"/>
    <w:rsid w:val="7F1B5F91"/>
    <w:rsid w:val="7F217EB0"/>
    <w:rsid w:val="7F711166"/>
    <w:rsid w:val="7FCC33AB"/>
    <w:rsid w:val="7FE505C8"/>
    <w:rsid w:val="7FF36F3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0"/>
    <w:unhideWhenUsed/>
    <w:qFormat/>
    <w:uiPriority w:val="99"/>
    <w:pPr>
      <w:tabs>
        <w:tab w:val="center" w:pos="4153"/>
        <w:tab w:val="right" w:pos="8306"/>
      </w:tabs>
      <w:snapToGrid w:val="0"/>
      <w:jc w:val="left"/>
    </w:pPr>
    <w:rPr>
      <w:sz w:val="18"/>
      <w:szCs w:val="18"/>
    </w:rPr>
  </w:style>
  <w:style w:type="paragraph" w:styleId="3">
    <w:name w:val="Body Text"/>
    <w:basedOn w:val="1"/>
    <w:semiHidden/>
    <w:unhideWhenUsed/>
    <w:qFormat/>
    <w:uiPriority w:val="99"/>
    <w:pPr>
      <w:spacing w:after="120" w:afterLines="0" w:afterAutospacing="0"/>
      <w:jc w:val="left"/>
    </w:pPr>
    <w:rPr>
      <w:rFonts w:ascii="Times New Roman" w:hAnsi="Times New Roman" w:eastAsia="宋体"/>
    </w:rPr>
  </w:style>
  <w:style w:type="paragraph" w:styleId="4">
    <w:name w:val="Balloon Text"/>
    <w:basedOn w:val="1"/>
    <w:link w:val="11"/>
    <w:semiHidden/>
    <w:unhideWhenUsed/>
    <w:qFormat/>
    <w:uiPriority w:val="99"/>
    <w:rPr>
      <w:sz w:val="18"/>
      <w:szCs w:val="18"/>
    </w:rPr>
  </w:style>
  <w:style w:type="paragraph" w:styleId="5">
    <w:name w:val="header"/>
    <w:basedOn w:val="1"/>
    <w:next w:val="1"/>
    <w:link w:val="8"/>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8">
    <w:name w:val="页眉 Char"/>
    <w:basedOn w:val="7"/>
    <w:link w:val="5"/>
    <w:qFormat/>
    <w:uiPriority w:val="99"/>
    <w:rPr>
      <w:rFonts w:ascii="Times New Roman" w:hAnsi="Times New Roman" w:eastAsia="宋体" w:cs="Times New Roman"/>
      <w:sz w:val="18"/>
      <w:szCs w:val="18"/>
    </w:rPr>
  </w:style>
  <w:style w:type="paragraph" w:customStyle="1" w:styleId="9">
    <w:name w:val="表格文字"/>
    <w:basedOn w:val="1"/>
    <w:qFormat/>
    <w:uiPriority w:val="0"/>
    <w:pPr>
      <w:spacing w:before="25" w:after="25"/>
    </w:pPr>
    <w:rPr>
      <w:bCs/>
      <w:spacing w:val="10"/>
    </w:rPr>
  </w:style>
  <w:style w:type="character" w:customStyle="1" w:styleId="10">
    <w:name w:val="页脚 Char"/>
    <w:basedOn w:val="7"/>
    <w:link w:val="2"/>
    <w:qFormat/>
    <w:uiPriority w:val="99"/>
    <w:rPr>
      <w:rFonts w:ascii="Times New Roman" w:hAnsi="Times New Roman" w:eastAsia="宋体" w:cs="Times New Roman"/>
      <w:sz w:val="18"/>
      <w:szCs w:val="18"/>
    </w:rPr>
  </w:style>
  <w:style w:type="character" w:customStyle="1" w:styleId="11">
    <w:name w:val="批注框文本 Char"/>
    <w:basedOn w:val="7"/>
    <w:link w:val="4"/>
    <w:semiHidden/>
    <w:qFormat/>
    <w:uiPriority w:val="99"/>
    <w:rPr>
      <w:rFonts w:ascii="Times New Roman" w:hAnsi="Times New Roman" w:eastAsia="宋体" w:cs="Times New Roman"/>
      <w:sz w:val="18"/>
      <w:szCs w:val="18"/>
    </w:rPr>
  </w:style>
  <w:style w:type="character" w:customStyle="1" w:styleId="12">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5033</Words>
  <Characters>5535</Characters>
  <Lines>1</Lines>
  <Paragraphs>1</Paragraphs>
  <TotalTime>7</TotalTime>
  <ScaleCrop>false</ScaleCrop>
  <LinksUpToDate>false</LinksUpToDate>
  <CharactersWithSpaces>5554</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匡吉文</cp:lastModifiedBy>
  <dcterms:modified xsi:type="dcterms:W3CDTF">2022-07-14T03:04:24Z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2052-11.1.0.11830</vt:lpwstr>
  </property>
</Properties>
</file>