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6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四川强劲工矿机械有限公司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熊小利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马佳，李凤仪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2022年06月24日 上午至2022年06月24日 下午</w:t>
            </w:r>
            <w:bookmarkEnd w:id="2"/>
          </w:p>
        </w:tc>
        <w:tc>
          <w:tcPr>
            <w:tcW w:w="132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329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：91510923MA62618P0A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2009-10-23 至 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  <w:u w:val="single"/>
              </w:rPr>
              <w:t>：一般项目：矿山机械制造；橡胶制品制造；橡胶制品销售；轮胎制造；轮胎销售；再生资源回收（除生产性废旧金属）（除依法须经批准的项目外，凭营业执照依法自主开展经营活动）。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/>
                <w:color w:val="000000"/>
                <w:szCs w:val="21"/>
                <w:u w:val="single"/>
              </w:rPr>
              <w:t>E：橡胶制品（高压风管及衍生产品）生产所涉及场所的相关环境管理活动</w:t>
            </w:r>
          </w:p>
          <w:p>
            <w:pPr>
              <w:spacing w:line="440" w:lineRule="exact"/>
              <w:ind w:firstLine="1470" w:firstLineChars="7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O：橡胶制品（高压风管及衍生产品）生产所涉及场所的相关职业健康安全管理活动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EnMS：橡胶制品（高压风管及衍生产品）生产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排污许可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</w:t>
            </w: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提供《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固定污染源排污登记回执</w:t>
            </w: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》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登记编号：91510923MA62618P0A001X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有 效 期：2020年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03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2025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03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rFonts w:hint="eastAsia"/>
                <w:color w:val="000000"/>
                <w:szCs w:val="21"/>
                <w:u w:val="single"/>
              </w:rPr>
              <w:t>大英县工业集中发展区马家坝</w:t>
            </w:r>
            <w:bookmarkEnd w:id="4"/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>大英县工业集中发展区马家坝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6316980" cy="2553970"/>
                  <wp:effectExtent l="0" t="0" r="7620" b="11430"/>
                  <wp:docPr id="1" name="图片 1" descr="工艺流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工艺流程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980" cy="255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45人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企业总人数60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cyan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能源单耗</w:t>
                  </w:r>
                  <w:r>
                    <w:rPr>
                      <w:rFonts w:hint="eastAsia" w:ascii="宋体" w:hAnsi="宋体" w:eastAsia="宋体" w:cs="宋体"/>
                      <w:color w:val="000000"/>
                      <w:szCs w:val="21"/>
                      <w:lang w:val="en-US" w:eastAsia="zh-CN"/>
                    </w:rPr>
                    <w:t>≦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418.53kgce/t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  <w:lang w:val="en-US" w:eastAsia="zh-CN"/>
                    </w:rPr>
                    <w:t>综合能耗/产量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352.34kgce/t 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诺干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现有产量：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 xml:space="preserve">477.849t/a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en-US" w:eastAsia="zh-CN"/>
              </w:rPr>
              <w:t>50t/a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>查看《</w:t>
            </w: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固定污染源排污等级回执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  <w:t xml:space="preserve">》编号：91510923MA62618P0A001X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3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客运索道¨大型游乐设施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477.849t/a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750t/a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bookmarkStart w:id="5" w:name="_GoBack"/>
            <w:bookmarkEnd w:id="5"/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3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EB51DA2"/>
    <w:rsid w:val="35925EC2"/>
    <w:rsid w:val="429B381A"/>
    <w:rsid w:val="6BB81A13"/>
    <w:rsid w:val="6E7D0761"/>
    <w:rsid w:val="7BF90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2022-06-29T01:41:23Z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