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管理层、安全事务代表</w:t>
            </w:r>
            <w:r>
              <w:rPr>
                <w:rFonts w:hint="eastAsia" w:cs="宋体" w:asciiTheme="minorEastAsia" w:hAnsiTheme="minorEastAsia" w:eastAsiaTheme="minorEastAsia"/>
                <w:sz w:val="24"/>
                <w:szCs w:val="24"/>
              </w:rPr>
              <w:t xml:space="preserve">    主管领导：闫清清、王壮壮  陪同人员：</w:t>
            </w:r>
            <w:r>
              <w:rPr>
                <w:rFonts w:hint="eastAsia" w:asciiTheme="minorEastAsia" w:hAnsiTheme="minorEastAsia" w:eastAsiaTheme="minorEastAsia"/>
                <w:sz w:val="24"/>
              </w:rPr>
              <w:t>景让丽</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审核员：冷春宇</w:t>
            </w:r>
            <w:ins w:id="0" w:author="dreamsummit" w:date="2020-05-08T16:06:00Z">
              <w:r>
                <w:rPr>
                  <w:rFonts w:hint="eastAsia" w:cs="宋体" w:asciiTheme="minorEastAsia" w:hAnsiTheme="minorEastAsia" w:eastAsiaTheme="minorEastAsia"/>
                  <w:sz w:val="24"/>
                  <w:szCs w:val="24"/>
                </w:rPr>
                <w:t xml:space="preserve"> </w:t>
              </w:r>
            </w:ins>
            <w:r>
              <w:rPr>
                <w:rFonts w:hint="eastAsia" w:cs="宋体" w:asciiTheme="minorEastAsia" w:hAnsiTheme="minorEastAsia" w:eastAsiaTheme="minorEastAsia"/>
                <w:sz w:val="24"/>
                <w:szCs w:val="24"/>
              </w:rPr>
              <w:t xml:space="preserve">                审核时间：202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en-US" w:eastAsia="zh-CN"/>
              </w:rPr>
              <w:t>22</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textAlignment w:val="baseline"/>
              <w:rPr>
                <w:rFonts w:cs="Arial" w:asciiTheme="minorEastAsia" w:hAnsiTheme="minorEastAsia" w:eastAsiaTheme="minorEastAsia"/>
                <w:spacing w:val="-6"/>
                <w:szCs w:val="21"/>
              </w:rPr>
            </w:pPr>
            <w:r>
              <w:rPr>
                <w:rFonts w:hint="eastAsia" w:cs="宋体" w:asciiTheme="minorEastAsia" w:hAnsiTheme="minorEastAsia" w:eastAsiaTheme="minorEastAsia"/>
                <w:szCs w:val="21"/>
              </w:rPr>
              <w:t>涉及标准条款：</w:t>
            </w:r>
            <w:r>
              <w:rPr>
                <w:rFonts w:hint="eastAsia" w:cs="Arial" w:asciiTheme="minorEastAsia" w:hAnsiTheme="minorEastAsia" w:eastAsiaTheme="minorEastAsia"/>
                <w:spacing w:val="-6"/>
                <w:szCs w:val="21"/>
              </w:rPr>
              <w:t>QEO:4.1理解公司及其环境、4.2理解相关方的需求和期望、4.3 确定管理体系的范围、4.4质量/环境/</w:t>
            </w:r>
            <w:r>
              <w:rPr>
                <w:rFonts w:hint="eastAsia" w:cs="Arial" w:asciiTheme="minorEastAsia" w:hAnsiTheme="minorEastAsia" w:eastAsiaTheme="minorEastAsia"/>
                <w:szCs w:val="21"/>
              </w:rPr>
              <w:t>职业健康</w:t>
            </w:r>
            <w:r>
              <w:rPr>
                <w:rFonts w:hint="eastAsia" w:cs="Arial" w:asciiTheme="minorEastAsia" w:hAnsiTheme="minorEastAsia" w:eastAsiaTheme="minorEastAsia"/>
                <w:spacing w:val="-6"/>
                <w:szCs w:val="21"/>
              </w:rPr>
              <w:t>安全管理体系及其过程、5.1领导作用和承诺、5.2质量/环境/</w:t>
            </w:r>
            <w:r>
              <w:rPr>
                <w:rFonts w:hint="eastAsia" w:cs="Arial" w:asciiTheme="minorEastAsia" w:hAnsiTheme="minorEastAsia" w:eastAsiaTheme="minorEastAsia"/>
                <w:szCs w:val="21"/>
              </w:rPr>
              <w:t>职业健康</w:t>
            </w:r>
            <w:r>
              <w:rPr>
                <w:rFonts w:hint="eastAsia" w:cs="Arial" w:asciiTheme="minorEastAsia" w:hAnsiTheme="minorEastAsia" w:eastAsiaTheme="minorEastAsia"/>
                <w:spacing w:val="-6"/>
                <w:szCs w:val="21"/>
              </w:rPr>
              <w:t>安全方针、5.3公司的岗位、职责和权限、O5.4协商与参与、6.1应对风险和机遇的措施、6.2质量/环境/</w:t>
            </w:r>
            <w:r>
              <w:rPr>
                <w:rFonts w:hint="eastAsia" w:cs="Arial" w:asciiTheme="minorEastAsia" w:hAnsiTheme="minorEastAsia" w:eastAsiaTheme="minorEastAsia"/>
                <w:szCs w:val="21"/>
              </w:rPr>
              <w:t>职业健康</w:t>
            </w:r>
            <w:r>
              <w:rPr>
                <w:rFonts w:hint="eastAsia" w:cs="Arial" w:asciiTheme="minorEastAsia" w:hAnsiTheme="minorEastAsia" w:eastAsiaTheme="minorEastAsia"/>
                <w:spacing w:val="-6"/>
                <w:szCs w:val="21"/>
              </w:rPr>
              <w:t>安全目标及其实现的策划、Q6.3变更的策划、7.1.1（EO7.1）资源总则、7.4沟通/信息交流、9.3管理评审、10.1改进、10.3持续改进</w:t>
            </w:r>
          </w:p>
          <w:p>
            <w:pPr>
              <w:ind w:firstLine="396" w:firstLineChars="200"/>
              <w:rPr>
                <w:rFonts w:hint="eastAsia" w:cs="Arial" w:asciiTheme="minorEastAsia" w:hAnsiTheme="minorEastAsia" w:eastAsiaTheme="minorEastAsia"/>
                <w:spacing w:val="-6"/>
                <w:szCs w:val="21"/>
              </w:rPr>
            </w:pPr>
            <w:r>
              <w:rPr>
                <w:rFonts w:hint="eastAsia" w:cs="Arial" w:asciiTheme="minorEastAsia" w:hAnsiTheme="minorEastAsia" w:eastAsiaTheme="minorEastAsia"/>
                <w:spacing w:val="-6"/>
                <w:szCs w:val="21"/>
              </w:rPr>
              <w:t>国家/地方监督抽查情况；顾客满意、相关方投诉及处理情况；上次审核不符合验证，变更，证书及标志使用，验证企业相关资质证明的有效性</w:t>
            </w:r>
            <w:bookmarkStart w:id="0" w:name="_GoBack"/>
            <w:bookmarkEnd w:id="0"/>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企业基本信息</w:t>
            </w:r>
          </w:p>
        </w:tc>
        <w:tc>
          <w:tcPr>
            <w:tcW w:w="1019" w:type="dxa"/>
            <w:vAlign w:val="center"/>
          </w:tcPr>
          <w:p>
            <w:pPr>
              <w:rPr>
                <w:rFonts w:asciiTheme="minorEastAsia" w:hAnsiTheme="minorEastAsia" w:eastAsiaTheme="minorEastAsia"/>
                <w:b/>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最高管理者闫清清、管代王壮壮。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注册及经营地址：山东省菏泽市高新区万福办事处中华西路2059号九为产业园E7-1。法人代表闫清清。</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公司主要从事申请的范围为水质分析仪器的组装和服务；实验室仪器仪表、通风柜、实验台、玻璃仪器的销售。</w:t>
            </w:r>
          </w:p>
          <w:p>
            <w:pPr>
              <w:spacing w:line="360" w:lineRule="auto"/>
              <w:ind w:firstLine="420"/>
              <w:rPr>
                <w:rFonts w:asciiTheme="minorEastAsia" w:hAnsiTheme="minorEastAsia" w:eastAsiaTheme="minorEastAsia"/>
                <w:b/>
                <w:szCs w:val="24"/>
              </w:rPr>
            </w:pPr>
            <w:r>
              <w:rPr>
                <w:rFonts w:hint="eastAsia" w:asciiTheme="minorEastAsia" w:hAnsiTheme="minorEastAsia" w:eastAsiaTheme="minorEastAsia"/>
                <w:szCs w:val="24"/>
              </w:rPr>
              <w:t>查看认证范围在营业执照经营范围内。</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领导作用和承诺、组织的岗位职责和权限</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 xml:space="preserve">QEO：5.1，5.3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管代王壮壮主要负责体系工作，其职责为：</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1)确保本公司三体系所需的过程得到建立、实施和保持；</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2)向总经理报告体系运行的业绩，包括改进的需求；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3)在全公司范围内促进满足质量意识、顾客要求意识、环境保护意识、职业健康安全意识的形成和提高；就体系有关事宜对外联系。</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经交流总经理和管代熟悉管理体系的基本运行情况，比较重视公司管理及体系建设。</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理解组织及其环境</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QEO：4.1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公司基本确定与其目标和战略方向相关并影响其实现质量、环境和职业健康管理体系预期结果的各种外部和内部因素。</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《组织的内外重要环境因素分析表》，识别内外部因素，内容主要包括人力、财务、质量、技术、政治等因素，并规定了监视、评审方法和频次，以及负责的部门。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组织能充分理解组织所处的内外部环境，基本满足要求。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理解相关方的需求和期望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QEO：4.2</w:t>
            </w:r>
          </w:p>
        </w:tc>
        <w:tc>
          <w:tcPr>
            <w:tcW w:w="11223" w:type="dxa"/>
            <w:vAlign w:val="center"/>
          </w:tcPr>
          <w:p>
            <w:pPr>
              <w:spacing w:line="36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由办公室和供销部</w:t>
            </w:r>
            <w:r>
              <w:rPr>
                <w:rFonts w:hint="eastAsia" w:asciiTheme="minorEastAsia" w:hAnsiTheme="minorEastAsia" w:eastAsiaTheme="minorEastAsia"/>
                <w:szCs w:val="24"/>
                <w:lang w:val="zh-CN"/>
              </w:rPr>
              <w:t>负责组织对相关方的评估，查到：《组织的相关方需求和期望调查表》，对“顾客、供方、员工、政府机构”等相关方的需求和期望等项目进行了影响程度分析，并制定了应对措施。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zh-CN"/>
              </w:rPr>
              <w:t>相关方需求与期望的确认、监视、评审基本符合要求。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质量/环境/职业健康安全/职业健康安全管理体系的范围</w:t>
            </w:r>
          </w:p>
        </w:tc>
        <w:tc>
          <w:tcPr>
            <w:tcW w:w="1019"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QEO：4.3 </w:t>
            </w:r>
          </w:p>
          <w:p>
            <w:pPr>
              <w:spacing w:line="360" w:lineRule="auto"/>
              <w:rPr>
                <w:rFonts w:asciiTheme="minorEastAsia" w:hAnsiTheme="minorEastAsia" w:eastAsiaTheme="minorEastAsia"/>
                <w:szCs w:val="24"/>
              </w:rPr>
            </w:pPr>
          </w:p>
        </w:tc>
        <w:tc>
          <w:tcPr>
            <w:tcW w:w="1122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QMS</w:t>
            </w:r>
            <w:r>
              <w:rPr>
                <w:rFonts w:hint="eastAsia" w:asciiTheme="minorEastAsia" w:hAnsiTheme="minorEastAsia" w:eastAsiaTheme="minorEastAsia"/>
                <w:szCs w:val="24"/>
              </w:rPr>
              <w:t>: 水质分析仪器的组装和服务；实验室仪器仪表、通风柜、实验台、玻璃仪器的销售；</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EMS: 水质分析仪器的组装和服务；实验室仪器仪表、通风柜、实验台、玻璃仪器的销售所涉及场所的环境管理活动；</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OHSMS:水质分析仪器的组装和服务；实验室仪器仪表、通风柜、实验台、玻璃仪器的销售所涉及场所的职业健康安全管理活动。</w:t>
            </w:r>
          </w:p>
          <w:p>
            <w:pPr>
              <w:spacing w:line="360" w:lineRule="auto"/>
              <w:jc w:val="left"/>
              <w:rPr>
                <w:rFonts w:asciiTheme="minorEastAsia" w:hAnsiTheme="minorEastAsia" w:eastAsiaTheme="minorEastAsia"/>
                <w:szCs w:val="24"/>
              </w:rPr>
            </w:pPr>
            <w:r>
              <w:rPr>
                <w:rFonts w:hint="eastAsia" w:ascii="宋体" w:hAnsi="宋体"/>
                <w:sz w:val="24"/>
              </w:rPr>
              <w:t xml:space="preserve">    公司按照国家标准、行业标准和客户要求进行产品的生产和销售，无需再进行设计开发，因此Q8.3条款不适用，这个条款的不适用不影响组织确保产品和服务合格以及增强顾客满意的能力或责任，删减合理。</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运输过程外包。</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质量/环境/职业健康安全管理体系及其过程</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QEO：4.4  </w:t>
            </w:r>
          </w:p>
          <w:p>
            <w:pPr>
              <w:rPr>
                <w:rFonts w:asciiTheme="minorEastAsia" w:hAnsiTheme="minorEastAsia" w:eastAsiaTheme="minorEastAsia"/>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w:t>
            </w:r>
            <w:r>
              <w:rPr>
                <w:rFonts w:hint="eastAsia" w:ascii="楷体" w:hAnsi="楷体" w:eastAsia="楷体"/>
                <w:sz w:val="24"/>
                <w:szCs w:val="24"/>
              </w:rPr>
              <w:t>按照 GB/T19001-2016 idt ISO9001:2015 、 GB/T24001-2016 idt ISO14001:2015和 GB/T45001-2020 idt ISO45001:2018 标准的要求</w:t>
            </w:r>
            <w:r>
              <w:rPr>
                <w:rFonts w:hint="eastAsia" w:asciiTheme="minorEastAsia" w:hAnsiTheme="minorEastAsia" w:eastAsiaTheme="minorEastAsia"/>
                <w:szCs w:val="24"/>
              </w:rPr>
              <w:t>建立了文件化的管理体系，识别质量/环境/职业健康安全管理所需的过程。</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按照标准建立文件化的质量/环境/职业健康安全管理体系，编制了质量／环境/职业健康安全手册，流程性文件、管理制度、作业指导书、检验规程等；持续对各个过程的监控进行了记录，形成相关的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方针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QEO：5.2</w:t>
            </w:r>
          </w:p>
          <w:p>
            <w:pPr>
              <w:rPr>
                <w:rFonts w:asciiTheme="minorEastAsia" w:hAnsiTheme="minorEastAsia" w:eastAsiaTheme="minorEastAsia"/>
                <w:szCs w:val="24"/>
              </w:rPr>
            </w:pP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企业已制定质量、环境、安全方针，具体包含在《管理手册 SDGLKR-SC-2020》中。</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公司的质量、环境、职业健康安全方针是：</w:t>
            </w:r>
          </w:p>
          <w:p>
            <w:pPr>
              <w:jc w:val="left"/>
              <w:rPr>
                <w:ins w:id="1" w:author="肖" w:date="2020-04-29T18:30:00Z"/>
                <w:rFonts w:asciiTheme="minorEastAsia" w:hAnsiTheme="minorEastAsia" w:eastAsiaTheme="minorEastAsia"/>
                <w:szCs w:val="24"/>
              </w:rPr>
            </w:pPr>
            <w:r>
              <w:rPr>
                <w:rFonts w:hint="eastAsia" w:asciiTheme="minorEastAsia" w:hAnsiTheme="minorEastAsia" w:eastAsiaTheme="minorEastAsia"/>
                <w:szCs w:val="24"/>
              </w:rPr>
              <w:t xml:space="preserve">       做一流产品、创一流企业；</w:t>
            </w:r>
          </w:p>
          <w:p>
            <w:pPr>
              <w:ind w:firstLine="740"/>
              <w:jc w:val="left"/>
              <w:rPr>
                <w:ins w:id="2" w:author="肖" w:date="2020-04-29T18:30:00Z"/>
                <w:rFonts w:asciiTheme="minorEastAsia" w:hAnsiTheme="minorEastAsia" w:eastAsiaTheme="minorEastAsia"/>
                <w:szCs w:val="24"/>
              </w:rPr>
            </w:pPr>
            <w:r>
              <w:rPr>
                <w:rFonts w:hint="eastAsia" w:asciiTheme="minorEastAsia" w:hAnsiTheme="minorEastAsia" w:eastAsiaTheme="minorEastAsia"/>
                <w:szCs w:val="24"/>
              </w:rPr>
              <w:t>以优质的产品，不断满足顾客需求；</w:t>
            </w:r>
          </w:p>
          <w:p>
            <w:pPr>
              <w:ind w:firstLine="740"/>
              <w:jc w:val="left"/>
              <w:rPr>
                <w:ins w:id="3" w:author="肖" w:date="2020-04-29T18:30:00Z"/>
                <w:rFonts w:asciiTheme="minorEastAsia" w:hAnsiTheme="minorEastAsia" w:eastAsiaTheme="minorEastAsia"/>
                <w:szCs w:val="24"/>
              </w:rPr>
            </w:pPr>
            <w:r>
              <w:rPr>
                <w:rFonts w:hint="eastAsia" w:asciiTheme="minorEastAsia" w:hAnsiTheme="minorEastAsia" w:eastAsiaTheme="minorEastAsia"/>
                <w:szCs w:val="24"/>
              </w:rPr>
              <w:t>遵守环境法律法规，实现污染控制；</w:t>
            </w:r>
          </w:p>
          <w:p>
            <w:pPr>
              <w:ind w:firstLine="740"/>
              <w:jc w:val="left"/>
              <w:rPr>
                <w:rFonts w:asciiTheme="minorEastAsia" w:hAnsiTheme="minorEastAsia" w:eastAsiaTheme="minorEastAsia"/>
                <w:szCs w:val="24"/>
              </w:rPr>
            </w:pPr>
            <w:r>
              <w:rPr>
                <w:rFonts w:hint="eastAsia" w:asciiTheme="minorEastAsia" w:hAnsiTheme="minorEastAsia" w:eastAsiaTheme="minorEastAsia"/>
                <w:szCs w:val="24"/>
              </w:rPr>
              <w:t>持续改进环境业绩，创建绿色企业；</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以人为本、科学管理、控制风险、关爱健康。</w:t>
            </w:r>
          </w:p>
          <w:p>
            <w:pPr>
              <w:jc w:val="left"/>
              <w:rPr>
                <w:rFonts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jc w:val="left"/>
              <w:rPr>
                <w:rFonts w:asciiTheme="minorEastAsia" w:hAnsiTheme="minorEastAsia" w:eastAsiaTheme="minorEastAsia"/>
                <w:szCs w:val="24"/>
              </w:rPr>
            </w:pPr>
            <w:r>
              <w:rPr>
                <w:rFonts w:hint="eastAsia" w:asciiTheme="minorEastAsia" w:hAnsiTheme="minorEastAsia" w:eastAsiaTheme="minorEastAsia"/>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组织的角色、职责和权限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QEO：5.3  </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pPr>
              <w:jc w:val="left"/>
              <w:rPr>
                <w:rFonts w:asciiTheme="minorEastAsia" w:hAnsiTheme="minorEastAsia" w:eastAsiaTheme="minorEastAsia"/>
                <w:szCs w:val="24"/>
              </w:rPr>
            </w:pPr>
            <w:r>
              <w:rPr>
                <w:rFonts w:hint="eastAsia" w:asciiTheme="minorEastAsia" w:hAnsiTheme="minorEastAsia" w:eastAsiaTheme="minorEastAsia"/>
                <w:szCs w:val="24"/>
              </w:rPr>
              <w:t>管理者代表的职责在《管理手册 SDGLKR-SC-2020》中作出规定。</w:t>
            </w:r>
          </w:p>
          <w:p>
            <w:pPr>
              <w:jc w:val="left"/>
              <w:rPr>
                <w:rFonts w:asciiTheme="minorEastAsia" w:hAnsiTheme="minorEastAsia" w:eastAsiaTheme="minorEastAsia"/>
                <w:szCs w:val="24"/>
              </w:rPr>
            </w:pPr>
            <w:r>
              <w:rPr>
                <w:rFonts w:hint="eastAsia" w:asciiTheme="minorEastAsia" w:hAnsiTheme="minorEastAsia" w:eastAsiaTheme="minorEastAsia"/>
                <w:szCs w:val="24"/>
              </w:rPr>
              <w:t>现场询问管代、陪同人员，基本了解其职责。</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应对风险和机会的措施</w:t>
            </w:r>
          </w:p>
        </w:tc>
        <w:tc>
          <w:tcPr>
            <w:tcW w:w="1019"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Q：6.1</w:t>
            </w:r>
          </w:p>
          <w:p>
            <w:pPr>
              <w:rPr>
                <w:rFonts w:asciiTheme="minorEastAsia" w:hAnsiTheme="minorEastAsia" w:eastAsiaTheme="minorEastAsia"/>
                <w:szCs w:val="24"/>
              </w:rPr>
            </w:pPr>
            <w:r>
              <w:rPr>
                <w:rFonts w:hint="eastAsia" w:asciiTheme="minorEastAsia" w:hAnsiTheme="minorEastAsia" w:eastAsiaTheme="minorEastAsia"/>
                <w:szCs w:val="24"/>
              </w:rPr>
              <w:t>EO： 6.1.1</w:t>
            </w:r>
          </w:p>
        </w:tc>
        <w:tc>
          <w:tcPr>
            <w:tcW w:w="11223" w:type="dxa"/>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风险和机遇的应对控制程序SDGLKR.CX13-2020》，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办公室协助管理者代表组织各部门，通过公司所处环境、相关方的需求及期望、重要环境因素、重大危险源、合规义务的分析结果，确定应对的风险和机遇。在策划管理体系时，对上述要求进行考虑，确保管理体系能够实现预期的结果。</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QEO:6.2  </w:t>
            </w:r>
          </w:p>
        </w:tc>
        <w:tc>
          <w:tcPr>
            <w:tcW w:w="11223" w:type="dxa"/>
            <w:vAlign w:val="center"/>
          </w:tcPr>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目标有6项：</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1）产品出厂合格率100%；</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2）顾客满意度≧95%；</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3）固体废弃物有效处置率100%；</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4）无火灾事故发生；</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5）无触电事故发生；</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6）无人身伤害事故发生；  </w:t>
            </w:r>
          </w:p>
          <w:p>
            <w:pPr>
              <w:tabs>
                <w:tab w:val="right" w:pos="8306"/>
              </w:tabs>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提供的《质量环境安全目标分解》考核表。表明目标已分解到各部门，有考核，经202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.4.</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考核目标能达成。</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并提供《202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年度环境/职业健康目标、指标与管理方案一览表》、《管理方案检测表》，说明有措施、实施步骤及预算等，基本满足体系运行持续有效。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体系建立运行以来，未有变更情况发生。</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r>
              <w:rPr>
                <w:rFonts w:hint="eastAsia" w:asciiTheme="minorEastAsia" w:hAnsiTheme="minorEastAsia" w:eastAsiaTheme="minorEastAsia"/>
                <w:szCs w:val="24"/>
              </w:rPr>
              <w:t>EO：7.1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公司员工办公场所良好，办公设备满足工作需要。有</w:t>
            </w:r>
            <w:r>
              <w:rPr>
                <w:rFonts w:hint="eastAsia" w:asciiTheme="minorEastAsia" w:hAnsiTheme="minorEastAsia" w:eastAsiaTheme="minorEastAsia"/>
                <w:color w:val="000000"/>
                <w:szCs w:val="24"/>
              </w:rPr>
              <w:t>供电配电和供热、消防等设施。公司配有灭火器</w:t>
            </w:r>
            <w:r>
              <w:rPr>
                <w:rFonts w:hint="eastAsia" w:asciiTheme="minorEastAsia" w:hAnsiTheme="minorEastAsia" w:eastAsiaTheme="minorEastAsia"/>
                <w:szCs w:val="24"/>
              </w:rPr>
              <w:t xml:space="preserve">，设配完好，消防通道畅通。 </w:t>
            </w: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  总经理闫清清主持了今年的管理评审，对方针、目标的适宜性进行了评审，协助管代进行了内审，确保所需资源得到满足。</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通过现场观察及与领导沟通了解到，公司为确保管理体系的有效运行和持续改进，确保满足顾客要求，增强顾客满意，确定并提供了必要的资源，目前资源配备基本能满足要求，机构设置合理。经过管理体系运行证明，公司资源配置持续满足产品生产、销售服务和管理体系运行需要。</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沟通、信息交流</w:t>
            </w:r>
          </w:p>
          <w:p>
            <w:pPr>
              <w:rPr>
                <w:rFonts w:asciiTheme="minorEastAsia" w:hAnsiTheme="minorEastAsia" w:eastAsiaTheme="minorEastAsia"/>
                <w:szCs w:val="24"/>
              </w:rPr>
            </w:pPr>
            <w:r>
              <w:rPr>
                <w:rFonts w:hint="eastAsia" w:asciiTheme="minorEastAsia" w:hAnsiTheme="minorEastAsia" w:eastAsiaTheme="minorEastAsia"/>
                <w:szCs w:val="24"/>
              </w:rPr>
              <w:t>协商与参与</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QEO:7.4</w:t>
            </w:r>
          </w:p>
          <w:p>
            <w:pPr>
              <w:rPr>
                <w:rFonts w:asciiTheme="minorEastAsia" w:hAnsiTheme="minorEastAsia" w:eastAsiaTheme="minorEastAsia"/>
                <w:szCs w:val="24"/>
              </w:rPr>
            </w:pPr>
            <w:r>
              <w:rPr>
                <w:rFonts w:hint="eastAsia" w:asciiTheme="minorEastAsia" w:hAnsiTheme="minorEastAsia" w:eastAsiaTheme="minorEastAsia"/>
                <w:szCs w:val="24"/>
              </w:rPr>
              <w:t xml:space="preserve">O5.4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编制《信息交流、沟通、参与和协商控制程序 SDGLKR.CX04-2020》。</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公司任命景让丽为职业健康安全事务代表,就职业健康安全事务进行沟通、参与和协商。职业健康安全事务代表能履行职责，代表员工参与职业健康安全事务等，确保了体系的有效运行。</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利用电话、信函、走访、回访、顾客满意度调查等方式进行外部信息交流，确保质量/环境/职业健康安全信息与相关方得到有效沟通。</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各部门负责与业务有关的内外部信息沟通。管理者代表、职业健康安全事务代表等共同参与信息沟通，公司内外部的沟通渠道顺畅。</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现场查见会议记录、通知通报、培训记录、文件签收等组织内部培训方式相关记录。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现有的沟通渠道和方法能满足要求。审核中未发现因沟通不利、不及时而造成某项工作不能正常运行的情况。</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管理评审</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QEO:9.3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公司编制的《管理评审程序 SDGLKR.CX05-2020》，基本规定管理评审相关内容和要求。202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.3.2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日进行了管理评审</w:t>
            </w:r>
            <w:ins w:id="4" w:author="肖" w:date="2020-04-29T20:11:00Z">
              <w:r>
                <w:rPr>
                  <w:rFonts w:hint="eastAsia" w:asciiTheme="minorEastAsia" w:hAnsiTheme="minorEastAsia" w:eastAsiaTheme="minorEastAsia"/>
                  <w:szCs w:val="24"/>
                </w:rPr>
                <w:t>。</w:t>
              </w:r>
            </w:ins>
            <w:ins w:id="5" w:author="肖" w:date="2020-04-29T20:10:00Z">
              <w:r>
                <w:rPr>
                  <w:rFonts w:hint="eastAsia" w:asciiTheme="minorEastAsia" w:hAnsiTheme="minorEastAsia" w:eastAsiaTheme="minorEastAsia"/>
                  <w:szCs w:val="24"/>
                </w:rPr>
                <w:t xml:space="preserve"> </w:t>
              </w:r>
            </w:ins>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“管理评审计划”，由闫清清批准；内容包括；评审目的、评审范围、评审时间、评审输入内容等。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质量/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360" w:lineRule="auto"/>
              <w:ind w:firstLine="420"/>
              <w:rPr>
                <w:ins w:id="6"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闫清清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360" w:lineRule="auto"/>
              <w:ind w:firstLine="420" w:firstLineChars="200"/>
              <w:rPr>
                <w:ins w:id="7" w:author="肖" w:date="2020-04-29T20:36:00Z"/>
                <w:rFonts w:asciiTheme="minorEastAsia" w:hAnsiTheme="minorEastAsia" w:eastAsiaTheme="minorEastAsia"/>
                <w:szCs w:val="24"/>
              </w:rPr>
            </w:pPr>
            <w:r>
              <w:rPr>
                <w:rFonts w:hint="eastAsia" w:asciiTheme="minorEastAsia" w:hAnsiTheme="minorEastAsia" w:eastAsiaTheme="minorEastAsia"/>
                <w:szCs w:val="24"/>
              </w:rPr>
              <w:t>提出的改进措施:</w:t>
            </w:r>
          </w:p>
          <w:p>
            <w:pPr>
              <w:spacing w:line="360" w:lineRule="auto"/>
              <w:ind w:firstLine="42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pPr>
              <w:spacing w:line="360" w:lineRule="auto"/>
              <w:ind w:firstLine="420" w:firstLineChars="200"/>
              <w:rPr>
                <w:rFonts w:asciiTheme="minorEastAsia" w:hAnsiTheme="minorEastAsia" w:eastAsiaTheme="minorEastAsia"/>
                <w:color w:val="000000"/>
                <w:szCs w:val="24"/>
              </w:rPr>
            </w:pPr>
            <w:r>
              <w:drawing>
                <wp:anchor distT="0" distB="0" distL="114300" distR="114300" simplePos="0" relativeHeight="251659264" behindDoc="0" locked="0" layoutInCell="1" allowOverlap="1">
                  <wp:simplePos x="0" y="0"/>
                  <wp:positionH relativeFrom="column">
                    <wp:posOffset>4049395</wp:posOffset>
                  </wp:positionH>
                  <wp:positionV relativeFrom="paragraph">
                    <wp:posOffset>327660</wp:posOffset>
                  </wp:positionV>
                  <wp:extent cx="2461260" cy="336042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61260" cy="3360420"/>
                          </a:xfrm>
                          <a:prstGeom prst="rect">
                            <a:avLst/>
                          </a:prstGeom>
                          <a:noFill/>
                          <a:ln>
                            <a:noFill/>
                          </a:ln>
                        </pic:spPr>
                      </pic:pic>
                    </a:graphicData>
                  </a:graphic>
                </wp:anchor>
              </w:drawing>
            </w:r>
            <w:r>
              <w:rPr>
                <w:rFonts w:hint="eastAsia" w:asciiTheme="minorEastAsia" w:hAnsiTheme="minorEastAsia" w:eastAsiaTheme="minorEastAsia"/>
                <w:color w:val="000000"/>
                <w:szCs w:val="24"/>
              </w:rPr>
              <w:t>b）进一步加强“三体系”的宣传和教育。力求将体系管理思想意识和理念培养成为一种习惯，并能够自觉按照管理标准来规范自己的行为，最终成为公司“三体系”管理的一种文化。</w:t>
            </w:r>
          </w:p>
          <w:p>
            <w:pPr>
              <w:spacing w:line="360" w:lineRule="auto"/>
              <w:ind w:firstLine="42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改进措施在实施中，未完成。</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管理评审的策划及实施符合要求。</w:t>
            </w: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改进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QEO:10.1、10.3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根据公司的战略方向，利用质量/环境/职业健康安全方针、质量/环境/职业健康安全目标、审核结果、数据分析、管理评审、风险和机遇的应对措施、合规性评价、质量/环境/职业健康安全绩效分析和评价，发现改进的机会，采取措施，实施对管理体系的有效性的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公司成立和体系运行以来，未受到上级主管部门有关质量、环境问题、职业健康安全的行政处罚。未发生相关方的投诉。到目前为止没有国家/地方抽查情况。</w:t>
            </w:r>
          </w:p>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验证企业相关资质证明的有效性</w:t>
            </w:r>
          </w:p>
        </w:tc>
        <w:tc>
          <w:tcPr>
            <w:tcW w:w="1019" w:type="dxa"/>
          </w:tcPr>
          <w:p>
            <w:pPr>
              <w:rPr>
                <w:rFonts w:asciiTheme="minorEastAsia" w:hAnsiTheme="minorEastAsia" w:eastAsiaTheme="minorEastAsia"/>
                <w:szCs w:val="24"/>
              </w:rPr>
            </w:pPr>
          </w:p>
        </w:tc>
        <w:tc>
          <w:tcPr>
            <w:tcW w:w="11223" w:type="dxa"/>
          </w:tcPr>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营业执照与提交的一致。</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上次审核不符合验证</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上次审核时发现的不符合，经现场验证已关闭，整改措施有效。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hint="eastAsia" w:asciiTheme="minorEastAsia" w:hAnsiTheme="minorEastAsia" w:eastAsiaTheme="minorEastAsia"/>
                <w:szCs w:val="24"/>
              </w:rPr>
            </w:pPr>
            <w:r>
              <w:rPr>
                <w:rFonts w:hint="eastAsia" w:asciiTheme="minorEastAsia" w:hAnsiTheme="minorEastAsia" w:eastAsiaTheme="minorEastAsia"/>
                <w:szCs w:val="24"/>
              </w:rPr>
              <w:t>变更</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无</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hint="eastAsia" w:asciiTheme="minorEastAsia" w:hAnsiTheme="minorEastAsia" w:eastAsiaTheme="minorEastAsia"/>
                <w:szCs w:val="24"/>
              </w:rPr>
            </w:pPr>
            <w:r>
              <w:rPr>
                <w:rFonts w:hint="eastAsia" w:asciiTheme="minorEastAsia" w:hAnsiTheme="minorEastAsia" w:eastAsiaTheme="minorEastAsia"/>
                <w:szCs w:val="24"/>
              </w:rPr>
              <w:t>证书及标志使用</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业务洽谈时出示认证证书原件，未使用认证标志</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职业健康安全代表</w:t>
            </w:r>
          </w:p>
        </w:tc>
        <w:tc>
          <w:tcPr>
            <w:tcW w:w="1019" w:type="dxa"/>
          </w:tcPr>
          <w:p>
            <w:pPr>
              <w:rPr>
                <w:rFonts w:asciiTheme="minorEastAsia" w:hAnsiTheme="minorEastAsia" w:eastAsiaTheme="minorEastAsia"/>
                <w:szCs w:val="24"/>
              </w:rPr>
            </w:pPr>
          </w:p>
        </w:tc>
        <w:tc>
          <w:tcPr>
            <w:tcW w:w="11223" w:type="dxa"/>
            <w:vAlign w:val="center"/>
          </w:tcPr>
          <w:p>
            <w:pPr>
              <w:tabs>
                <w:tab w:val="left" w:pos="9720"/>
                <w:tab w:val="left" w:pos="9900"/>
              </w:tabs>
              <w:ind w:firstLine="420"/>
              <w:rPr>
                <w:rFonts w:asciiTheme="minorEastAsia" w:hAnsiTheme="minorEastAsia" w:eastAsiaTheme="minorEastAsia"/>
                <w:szCs w:val="24"/>
              </w:rPr>
            </w:pPr>
            <w:r>
              <w:rPr>
                <w:rFonts w:hint="eastAsia" w:asciiTheme="minorEastAsia" w:hAnsiTheme="minorEastAsia" w:eastAsiaTheme="minorEastAsia"/>
                <w:szCs w:val="24"/>
              </w:rPr>
              <w:t>公司经选举确定职业健康安全事务代表是景让丽，主要职责有：</w:t>
            </w:r>
          </w:p>
          <w:p>
            <w:pPr>
              <w:rPr>
                <w:rFonts w:asciiTheme="minorEastAsia" w:hAnsiTheme="minorEastAsia" w:eastAsiaTheme="minorEastAsia"/>
                <w:szCs w:val="24"/>
              </w:rPr>
            </w:pPr>
            <w:r>
              <w:rPr>
                <w:rFonts w:hint="eastAsia" w:asciiTheme="minorEastAsia" w:hAnsiTheme="minorEastAsia" w:eastAsiaTheme="minorEastAsia"/>
                <w:szCs w:val="24"/>
              </w:rPr>
              <w:t>a）负责职工代表大会的日常工作，检查、督促职工代表大会决议的执行；</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b）负责召开讨论有关工资、福利、劳动安全卫生、社会保险等涉及职工切身利益的会议，代表员工反映员工的建议和意见；</w:t>
            </w:r>
          </w:p>
          <w:p>
            <w:pPr>
              <w:rPr>
                <w:rFonts w:asciiTheme="minorEastAsia" w:hAnsiTheme="minorEastAsia" w:eastAsiaTheme="minorEastAsia"/>
                <w:szCs w:val="24"/>
              </w:rPr>
            </w:pPr>
            <w:r>
              <w:rPr>
                <w:rFonts w:hint="eastAsia" w:asciiTheme="minorEastAsia" w:hAnsiTheme="minorEastAsia" w:eastAsiaTheme="minorEastAsia"/>
                <w:szCs w:val="24"/>
              </w:rPr>
              <w:t>c）接收、处理外部职业健康安全信息；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d）交流各级职能部门间产生的职业健康安全信息；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e）收集、处理和反馈员工所关心的职业健康安全问题；</w:t>
            </w:r>
          </w:p>
          <w:p>
            <w:pPr>
              <w:rPr>
                <w:rFonts w:asciiTheme="minorEastAsia" w:hAnsiTheme="minorEastAsia" w:eastAsiaTheme="minorEastAsia"/>
                <w:szCs w:val="24"/>
              </w:rPr>
            </w:pPr>
            <w:r>
              <w:rPr>
                <w:rFonts w:hint="eastAsia" w:asciiTheme="minorEastAsia" w:hAnsiTheme="minorEastAsia" w:eastAsiaTheme="minorEastAsia"/>
                <w:szCs w:val="24"/>
              </w:rPr>
              <w:t>f）参与职业健康安全工作方针和程序的制定、评审和实施；</w:t>
            </w:r>
          </w:p>
          <w:p>
            <w:pPr>
              <w:rPr>
                <w:ins w:id="8" w:author="肖" w:date="2020-04-29T19:57:00Z"/>
                <w:rFonts w:asciiTheme="minorEastAsia" w:hAnsiTheme="minorEastAsia" w:eastAsiaTheme="minorEastAsia"/>
                <w:szCs w:val="24"/>
              </w:rPr>
            </w:pPr>
            <w:r>
              <w:rPr>
                <w:rFonts w:hint="eastAsia" w:asciiTheme="minorEastAsia" w:hAnsiTheme="minorEastAsia" w:eastAsiaTheme="minorEastAsia"/>
                <w:szCs w:val="24"/>
              </w:rPr>
              <w:t>g）参与影响作业场所人员职业健康安全的任何变化的讨论。</w:t>
            </w: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由于公司福利待遇正常发放，员工无抱怨，目前信息交流机制畅通。</w:t>
            </w:r>
          </w:p>
        </w:tc>
        <w:tc>
          <w:tcPr>
            <w:tcW w:w="760" w:type="dxa"/>
          </w:tcPr>
          <w:p>
            <w:pPr>
              <w:spacing w:line="320" w:lineRule="exact"/>
              <w:rPr>
                <w:rFonts w:cs="宋体" w:asciiTheme="minorEastAsia" w:hAnsiTheme="minorEastAsia" w:eastAsiaTheme="minorEastAsia"/>
                <w:szCs w:val="21"/>
              </w:rPr>
            </w:pPr>
          </w:p>
        </w:tc>
      </w:tr>
    </w:tbl>
    <w:p>
      <w:pPr>
        <w:pStyle w:val="8"/>
        <w:rPr>
          <w:rFonts w:asciiTheme="minorEastAsia" w:hAnsiTheme="minorEastAsia" w:eastAsiaTheme="minorEastAsia"/>
        </w:rPr>
      </w:pPr>
      <w:r>
        <w:rPr>
          <w:rFonts w:hint="eastAsia" w:asciiTheme="minorEastAsia" w:hAnsiTheme="minorEastAsia" w:eastAsiaTheme="minorEastAsia"/>
        </w:rPr>
        <w:t>说明：不符合标注N</w:t>
      </w:r>
    </w:p>
    <w:p>
      <w:pPr>
        <w:pStyle w:val="8"/>
        <w:rPr>
          <w:rFonts w:asciiTheme="minorEastAsia" w:hAnsiTheme="minorEastAsia" w:eastAsiaTheme="minorEastAsia"/>
        </w:rPr>
      </w:pPr>
    </w:p>
    <w:p>
      <w:pPr>
        <w:pStyle w:val="8"/>
        <w:rPr>
          <w:rFonts w:asciiTheme="minorEastAsia" w:hAnsiTheme="minorEastAsia" w:eastAsiaTheme="minorEastAsia"/>
        </w:rPr>
      </w:pPr>
    </w:p>
    <w:p>
      <w:pPr>
        <w:pStyle w:val="8"/>
        <w:rPr>
          <w:rFonts w:asciiTheme="minorEastAsia" w:hAnsiTheme="minorEastAsia" w:eastAsiaTheme="minorEastAsia"/>
        </w:rPr>
      </w:pPr>
    </w:p>
    <w:p>
      <w:pPr>
        <w:pStyle w:val="8"/>
        <w:rPr>
          <w:rFonts w:asciiTheme="minorEastAsia" w:hAnsiTheme="minorEastAsia" w:eastAsiaTheme="minorEastAsia"/>
        </w:rPr>
      </w:pPr>
    </w:p>
    <w:p>
      <w:pPr>
        <w:pStyle w:val="8"/>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1905" t="635"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QfhE2AAAAAsBAAAPAAAAAAAAAAEAIAAAACIAAABkcnMvZG93bnJldi54bWxQSwECFAAU&#10;AAAACACHTuJAmvRfdCoCAAA+BAAADgAAAAAAAAABACAAAAAnAQAAZHJzL2Uyb0RvYy54bWxQSwUG&#10;AAAAAAYABgBZAQAAww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9"/>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eamsummit">
    <w15:presenceInfo w15:providerId="None" w15:userId="dreamsummit"/>
  </w15:person>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U1ZmNjZjg0MjVjNTdkNGYyZDdiMmZiZjYyN2YifQ=="/>
  </w:docVars>
  <w:rsids>
    <w:rsidRoot w:val="009973B4"/>
    <w:rsid w:val="00013637"/>
    <w:rsid w:val="000147B6"/>
    <w:rsid w:val="00014B77"/>
    <w:rsid w:val="000237F6"/>
    <w:rsid w:val="0003373A"/>
    <w:rsid w:val="00061650"/>
    <w:rsid w:val="000623B6"/>
    <w:rsid w:val="00066B2D"/>
    <w:rsid w:val="00087633"/>
    <w:rsid w:val="0009275C"/>
    <w:rsid w:val="000971A8"/>
    <w:rsid w:val="000A03ED"/>
    <w:rsid w:val="000A2C1F"/>
    <w:rsid w:val="000B3C7A"/>
    <w:rsid w:val="000D0710"/>
    <w:rsid w:val="000F515B"/>
    <w:rsid w:val="000F5676"/>
    <w:rsid w:val="00103677"/>
    <w:rsid w:val="00114EFD"/>
    <w:rsid w:val="00116523"/>
    <w:rsid w:val="00123D60"/>
    <w:rsid w:val="00125C00"/>
    <w:rsid w:val="00127A48"/>
    <w:rsid w:val="0013043F"/>
    <w:rsid w:val="00131B77"/>
    <w:rsid w:val="00135E2D"/>
    <w:rsid w:val="00143959"/>
    <w:rsid w:val="001528B4"/>
    <w:rsid w:val="0015645B"/>
    <w:rsid w:val="00157648"/>
    <w:rsid w:val="00163D91"/>
    <w:rsid w:val="00183BBA"/>
    <w:rsid w:val="001965E5"/>
    <w:rsid w:val="001A2D7F"/>
    <w:rsid w:val="001A4A3C"/>
    <w:rsid w:val="001B690A"/>
    <w:rsid w:val="001C1AFB"/>
    <w:rsid w:val="001E292E"/>
    <w:rsid w:val="00200F63"/>
    <w:rsid w:val="00205721"/>
    <w:rsid w:val="00226ABB"/>
    <w:rsid w:val="00264E42"/>
    <w:rsid w:val="002737F3"/>
    <w:rsid w:val="002A0A22"/>
    <w:rsid w:val="002A4F42"/>
    <w:rsid w:val="002A7FAA"/>
    <w:rsid w:val="002D3139"/>
    <w:rsid w:val="002D4193"/>
    <w:rsid w:val="002E3F80"/>
    <w:rsid w:val="002F616B"/>
    <w:rsid w:val="00305B25"/>
    <w:rsid w:val="00306E25"/>
    <w:rsid w:val="00330591"/>
    <w:rsid w:val="00335CCA"/>
    <w:rsid w:val="00337922"/>
    <w:rsid w:val="00340867"/>
    <w:rsid w:val="00340B6F"/>
    <w:rsid w:val="00341987"/>
    <w:rsid w:val="003531C8"/>
    <w:rsid w:val="003621D0"/>
    <w:rsid w:val="00362F86"/>
    <w:rsid w:val="00364679"/>
    <w:rsid w:val="00365F67"/>
    <w:rsid w:val="0036636D"/>
    <w:rsid w:val="003744D3"/>
    <w:rsid w:val="00380837"/>
    <w:rsid w:val="00380861"/>
    <w:rsid w:val="003A198A"/>
    <w:rsid w:val="003B5A36"/>
    <w:rsid w:val="003B6F68"/>
    <w:rsid w:val="003B71CE"/>
    <w:rsid w:val="003C2501"/>
    <w:rsid w:val="003C670F"/>
    <w:rsid w:val="003D2323"/>
    <w:rsid w:val="003D7D38"/>
    <w:rsid w:val="003F3249"/>
    <w:rsid w:val="003F725E"/>
    <w:rsid w:val="004018B5"/>
    <w:rsid w:val="00410914"/>
    <w:rsid w:val="00415612"/>
    <w:rsid w:val="00415C1E"/>
    <w:rsid w:val="0044224C"/>
    <w:rsid w:val="0044281B"/>
    <w:rsid w:val="00455BD1"/>
    <w:rsid w:val="004569CC"/>
    <w:rsid w:val="00456F2B"/>
    <w:rsid w:val="004644C2"/>
    <w:rsid w:val="00474C1C"/>
    <w:rsid w:val="00475023"/>
    <w:rsid w:val="00484F0E"/>
    <w:rsid w:val="004A42EB"/>
    <w:rsid w:val="004B6A60"/>
    <w:rsid w:val="004C5564"/>
    <w:rsid w:val="004D2E51"/>
    <w:rsid w:val="004D60D1"/>
    <w:rsid w:val="004D6250"/>
    <w:rsid w:val="00513DEC"/>
    <w:rsid w:val="0051463B"/>
    <w:rsid w:val="0051771A"/>
    <w:rsid w:val="0052306B"/>
    <w:rsid w:val="00524912"/>
    <w:rsid w:val="005344B3"/>
    <w:rsid w:val="00536930"/>
    <w:rsid w:val="005402BE"/>
    <w:rsid w:val="00557EF3"/>
    <w:rsid w:val="00564E53"/>
    <w:rsid w:val="00564E60"/>
    <w:rsid w:val="00583C51"/>
    <w:rsid w:val="00584D34"/>
    <w:rsid w:val="00596570"/>
    <w:rsid w:val="005A1690"/>
    <w:rsid w:val="005A2084"/>
    <w:rsid w:val="005A480E"/>
    <w:rsid w:val="005B6F3F"/>
    <w:rsid w:val="005B76D5"/>
    <w:rsid w:val="005C3C0D"/>
    <w:rsid w:val="005C406E"/>
    <w:rsid w:val="005C61FE"/>
    <w:rsid w:val="005D2330"/>
    <w:rsid w:val="005D5BBC"/>
    <w:rsid w:val="005F7B7B"/>
    <w:rsid w:val="00606CB7"/>
    <w:rsid w:val="00614F34"/>
    <w:rsid w:val="006224AF"/>
    <w:rsid w:val="00635728"/>
    <w:rsid w:val="006376F1"/>
    <w:rsid w:val="00641E10"/>
    <w:rsid w:val="00644FE2"/>
    <w:rsid w:val="006476A2"/>
    <w:rsid w:val="00652BAF"/>
    <w:rsid w:val="0066389B"/>
    <w:rsid w:val="00674866"/>
    <w:rsid w:val="0067640C"/>
    <w:rsid w:val="0068334B"/>
    <w:rsid w:val="006854DE"/>
    <w:rsid w:val="006B6C1C"/>
    <w:rsid w:val="006D6CD2"/>
    <w:rsid w:val="006E06AC"/>
    <w:rsid w:val="006E0BFD"/>
    <w:rsid w:val="006E678B"/>
    <w:rsid w:val="00723474"/>
    <w:rsid w:val="00724BFF"/>
    <w:rsid w:val="00751650"/>
    <w:rsid w:val="007564BB"/>
    <w:rsid w:val="007757F3"/>
    <w:rsid w:val="007758D9"/>
    <w:rsid w:val="00776044"/>
    <w:rsid w:val="00782BAC"/>
    <w:rsid w:val="00790A31"/>
    <w:rsid w:val="0079270C"/>
    <w:rsid w:val="007A3DA6"/>
    <w:rsid w:val="007B6294"/>
    <w:rsid w:val="007D2A05"/>
    <w:rsid w:val="007E0DE5"/>
    <w:rsid w:val="007E6AEB"/>
    <w:rsid w:val="007F17F2"/>
    <w:rsid w:val="00801E39"/>
    <w:rsid w:val="008047FF"/>
    <w:rsid w:val="008278AB"/>
    <w:rsid w:val="00836AEC"/>
    <w:rsid w:val="008427A1"/>
    <w:rsid w:val="00845D13"/>
    <w:rsid w:val="008631E8"/>
    <w:rsid w:val="00876444"/>
    <w:rsid w:val="00890C68"/>
    <w:rsid w:val="00891D6B"/>
    <w:rsid w:val="008973EE"/>
    <w:rsid w:val="008A3C45"/>
    <w:rsid w:val="008A6215"/>
    <w:rsid w:val="008B2AE8"/>
    <w:rsid w:val="008E3E71"/>
    <w:rsid w:val="008E5120"/>
    <w:rsid w:val="008E5D08"/>
    <w:rsid w:val="00906BB3"/>
    <w:rsid w:val="00934E67"/>
    <w:rsid w:val="00956128"/>
    <w:rsid w:val="00964196"/>
    <w:rsid w:val="00965516"/>
    <w:rsid w:val="00971600"/>
    <w:rsid w:val="00973048"/>
    <w:rsid w:val="00974804"/>
    <w:rsid w:val="00980E14"/>
    <w:rsid w:val="00986402"/>
    <w:rsid w:val="009876F7"/>
    <w:rsid w:val="009952E9"/>
    <w:rsid w:val="009973B4"/>
    <w:rsid w:val="009B01BB"/>
    <w:rsid w:val="009C28C1"/>
    <w:rsid w:val="009F7EED"/>
    <w:rsid w:val="00A0591D"/>
    <w:rsid w:val="00A064D2"/>
    <w:rsid w:val="00A15A24"/>
    <w:rsid w:val="00A2053C"/>
    <w:rsid w:val="00A207C1"/>
    <w:rsid w:val="00A232D4"/>
    <w:rsid w:val="00A246D8"/>
    <w:rsid w:val="00A27E97"/>
    <w:rsid w:val="00A368BD"/>
    <w:rsid w:val="00A375A5"/>
    <w:rsid w:val="00A37AD2"/>
    <w:rsid w:val="00A4404F"/>
    <w:rsid w:val="00A72F49"/>
    <w:rsid w:val="00A771C4"/>
    <w:rsid w:val="00A77F29"/>
    <w:rsid w:val="00A80ADB"/>
    <w:rsid w:val="00A93BE2"/>
    <w:rsid w:val="00A94DEF"/>
    <w:rsid w:val="00AB7F5F"/>
    <w:rsid w:val="00AD0658"/>
    <w:rsid w:val="00AE59FA"/>
    <w:rsid w:val="00AF0AAB"/>
    <w:rsid w:val="00AF6841"/>
    <w:rsid w:val="00B021AE"/>
    <w:rsid w:val="00B231D3"/>
    <w:rsid w:val="00B2792E"/>
    <w:rsid w:val="00B34606"/>
    <w:rsid w:val="00B42593"/>
    <w:rsid w:val="00B438F8"/>
    <w:rsid w:val="00B57FE2"/>
    <w:rsid w:val="00B61AAD"/>
    <w:rsid w:val="00B65D6D"/>
    <w:rsid w:val="00B67984"/>
    <w:rsid w:val="00B7064E"/>
    <w:rsid w:val="00B80738"/>
    <w:rsid w:val="00B81B70"/>
    <w:rsid w:val="00BA0708"/>
    <w:rsid w:val="00BB6EF0"/>
    <w:rsid w:val="00BC72B6"/>
    <w:rsid w:val="00BE6AB7"/>
    <w:rsid w:val="00BF0916"/>
    <w:rsid w:val="00BF45A5"/>
    <w:rsid w:val="00BF497A"/>
    <w:rsid w:val="00BF597E"/>
    <w:rsid w:val="00C01C04"/>
    <w:rsid w:val="00C03796"/>
    <w:rsid w:val="00C1405E"/>
    <w:rsid w:val="00C16C0A"/>
    <w:rsid w:val="00C176FC"/>
    <w:rsid w:val="00C20445"/>
    <w:rsid w:val="00C326B4"/>
    <w:rsid w:val="00C327EC"/>
    <w:rsid w:val="00C32BE2"/>
    <w:rsid w:val="00C46BD6"/>
    <w:rsid w:val="00C51A36"/>
    <w:rsid w:val="00C551BE"/>
    <w:rsid w:val="00C55228"/>
    <w:rsid w:val="00C70F3A"/>
    <w:rsid w:val="00C80022"/>
    <w:rsid w:val="00C90756"/>
    <w:rsid w:val="00CA623A"/>
    <w:rsid w:val="00CA6DE4"/>
    <w:rsid w:val="00CB29E8"/>
    <w:rsid w:val="00CB3235"/>
    <w:rsid w:val="00CB71C3"/>
    <w:rsid w:val="00CD49D2"/>
    <w:rsid w:val="00CD67CD"/>
    <w:rsid w:val="00CE315A"/>
    <w:rsid w:val="00CE3FA7"/>
    <w:rsid w:val="00CF418F"/>
    <w:rsid w:val="00CF467F"/>
    <w:rsid w:val="00D05443"/>
    <w:rsid w:val="00D0642E"/>
    <w:rsid w:val="00D06F59"/>
    <w:rsid w:val="00D21B2F"/>
    <w:rsid w:val="00D250E5"/>
    <w:rsid w:val="00D30CD3"/>
    <w:rsid w:val="00D3257E"/>
    <w:rsid w:val="00D505C2"/>
    <w:rsid w:val="00D53965"/>
    <w:rsid w:val="00D63212"/>
    <w:rsid w:val="00D74B5E"/>
    <w:rsid w:val="00D77832"/>
    <w:rsid w:val="00D8388C"/>
    <w:rsid w:val="00D95D59"/>
    <w:rsid w:val="00DC390D"/>
    <w:rsid w:val="00DC6F75"/>
    <w:rsid w:val="00DD48C6"/>
    <w:rsid w:val="00DF121D"/>
    <w:rsid w:val="00DF1940"/>
    <w:rsid w:val="00DF43D9"/>
    <w:rsid w:val="00E1119F"/>
    <w:rsid w:val="00E125AA"/>
    <w:rsid w:val="00E2205C"/>
    <w:rsid w:val="00E254CA"/>
    <w:rsid w:val="00E322AD"/>
    <w:rsid w:val="00E340D6"/>
    <w:rsid w:val="00E71BB2"/>
    <w:rsid w:val="00E820FE"/>
    <w:rsid w:val="00E85A97"/>
    <w:rsid w:val="00E867ED"/>
    <w:rsid w:val="00E90D57"/>
    <w:rsid w:val="00EA6BE9"/>
    <w:rsid w:val="00EB0164"/>
    <w:rsid w:val="00EC00A9"/>
    <w:rsid w:val="00EC57D1"/>
    <w:rsid w:val="00ED0F62"/>
    <w:rsid w:val="00ED32BF"/>
    <w:rsid w:val="00EE2F8A"/>
    <w:rsid w:val="00EE52B2"/>
    <w:rsid w:val="00EE5333"/>
    <w:rsid w:val="00EF0F90"/>
    <w:rsid w:val="00EF1EF1"/>
    <w:rsid w:val="00EF2722"/>
    <w:rsid w:val="00F00A91"/>
    <w:rsid w:val="00F021C1"/>
    <w:rsid w:val="00F14E7C"/>
    <w:rsid w:val="00F36CE5"/>
    <w:rsid w:val="00F478C8"/>
    <w:rsid w:val="00F6191E"/>
    <w:rsid w:val="00F80D52"/>
    <w:rsid w:val="00F8142B"/>
    <w:rsid w:val="00F83341"/>
    <w:rsid w:val="00F83EF4"/>
    <w:rsid w:val="00F872A1"/>
    <w:rsid w:val="00FB739C"/>
    <w:rsid w:val="00FE07BF"/>
    <w:rsid w:val="00FE2462"/>
    <w:rsid w:val="00FF40BB"/>
    <w:rsid w:val="00FF4203"/>
    <w:rsid w:val="02902A47"/>
    <w:rsid w:val="0320505F"/>
    <w:rsid w:val="0378379C"/>
    <w:rsid w:val="04510B7D"/>
    <w:rsid w:val="06F4431E"/>
    <w:rsid w:val="0700013B"/>
    <w:rsid w:val="08E60B71"/>
    <w:rsid w:val="0A8D103E"/>
    <w:rsid w:val="0ACE1CBC"/>
    <w:rsid w:val="0B5F07F0"/>
    <w:rsid w:val="0C1869EC"/>
    <w:rsid w:val="0E0E7830"/>
    <w:rsid w:val="0E891764"/>
    <w:rsid w:val="108219C2"/>
    <w:rsid w:val="108A0D67"/>
    <w:rsid w:val="117E71EC"/>
    <w:rsid w:val="136314F4"/>
    <w:rsid w:val="14257908"/>
    <w:rsid w:val="15D53416"/>
    <w:rsid w:val="16975B5C"/>
    <w:rsid w:val="16F65808"/>
    <w:rsid w:val="16F701BD"/>
    <w:rsid w:val="18876269"/>
    <w:rsid w:val="19BD6015"/>
    <w:rsid w:val="1A324283"/>
    <w:rsid w:val="1B3E39A3"/>
    <w:rsid w:val="1B405BB2"/>
    <w:rsid w:val="1B9E43FA"/>
    <w:rsid w:val="1BEC3BF1"/>
    <w:rsid w:val="1CBF46B9"/>
    <w:rsid w:val="1D85741F"/>
    <w:rsid w:val="1E847499"/>
    <w:rsid w:val="1F1F7BA7"/>
    <w:rsid w:val="1FD7676E"/>
    <w:rsid w:val="23351337"/>
    <w:rsid w:val="23557E88"/>
    <w:rsid w:val="242279F0"/>
    <w:rsid w:val="249B49FA"/>
    <w:rsid w:val="25875B24"/>
    <w:rsid w:val="26B207F6"/>
    <w:rsid w:val="274E61F5"/>
    <w:rsid w:val="2767752B"/>
    <w:rsid w:val="27DF7CD6"/>
    <w:rsid w:val="28004D52"/>
    <w:rsid w:val="2C703113"/>
    <w:rsid w:val="2CF30AC4"/>
    <w:rsid w:val="2D9327E0"/>
    <w:rsid w:val="2E00760C"/>
    <w:rsid w:val="2EC11D5A"/>
    <w:rsid w:val="2EE93C61"/>
    <w:rsid w:val="2FEB299B"/>
    <w:rsid w:val="32691255"/>
    <w:rsid w:val="32C11AD5"/>
    <w:rsid w:val="34041CDB"/>
    <w:rsid w:val="3438524B"/>
    <w:rsid w:val="347A7706"/>
    <w:rsid w:val="34B32935"/>
    <w:rsid w:val="36483084"/>
    <w:rsid w:val="375F34D7"/>
    <w:rsid w:val="38DC3FF5"/>
    <w:rsid w:val="38F61C56"/>
    <w:rsid w:val="3AD826FA"/>
    <w:rsid w:val="3AEA4709"/>
    <w:rsid w:val="3C224794"/>
    <w:rsid w:val="3DAD6D4F"/>
    <w:rsid w:val="40285D69"/>
    <w:rsid w:val="41842DAE"/>
    <w:rsid w:val="42042355"/>
    <w:rsid w:val="423D7815"/>
    <w:rsid w:val="435B230B"/>
    <w:rsid w:val="466F33FE"/>
    <w:rsid w:val="48800E04"/>
    <w:rsid w:val="489C542B"/>
    <w:rsid w:val="494C5676"/>
    <w:rsid w:val="4ABE4B71"/>
    <w:rsid w:val="4C577725"/>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37529CF"/>
    <w:rsid w:val="65B35620"/>
    <w:rsid w:val="65B47E80"/>
    <w:rsid w:val="661149EF"/>
    <w:rsid w:val="6612664F"/>
    <w:rsid w:val="66B7462A"/>
    <w:rsid w:val="695E025E"/>
    <w:rsid w:val="6A23146B"/>
    <w:rsid w:val="6ADF4005"/>
    <w:rsid w:val="6D53402F"/>
    <w:rsid w:val="6D716441"/>
    <w:rsid w:val="6FFF1F7F"/>
    <w:rsid w:val="700D5C7C"/>
    <w:rsid w:val="70222E28"/>
    <w:rsid w:val="72444124"/>
    <w:rsid w:val="7333596B"/>
    <w:rsid w:val="73A00EA2"/>
    <w:rsid w:val="74F27756"/>
    <w:rsid w:val="75A8368A"/>
    <w:rsid w:val="761F43CB"/>
    <w:rsid w:val="76373F2B"/>
    <w:rsid w:val="76C532CC"/>
    <w:rsid w:val="770B3462"/>
    <w:rsid w:val="77310DBF"/>
    <w:rsid w:val="78741EB2"/>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2"/>
    <w:semiHidden/>
    <w:unhideWhenUsed/>
    <w:uiPriority w:val="99"/>
    <w:pPr>
      <w:jc w:val="left"/>
    </w:pPr>
  </w:style>
  <w:style w:type="paragraph" w:styleId="4">
    <w:name w:val="Body Text Indent"/>
    <w:basedOn w:val="1"/>
    <w:qFormat/>
    <w:uiPriority w:val="0"/>
    <w:pPr>
      <w:ind w:firstLine="480" w:firstLineChars="200"/>
    </w:pPr>
    <w:rPr>
      <w:sz w:val="24"/>
    </w:rPr>
  </w:style>
  <w:style w:type="paragraph" w:styleId="5">
    <w:name w:val="Plain Text"/>
    <w:basedOn w:val="1"/>
    <w:link w:val="21"/>
    <w:unhideWhenUsed/>
    <w:qFormat/>
    <w:uiPriority w:val="0"/>
    <w:rPr>
      <w:rFonts w:ascii="宋体" w:hAnsi="Courier New"/>
    </w:rPr>
  </w:style>
  <w:style w:type="paragraph" w:styleId="6">
    <w:name w:val="Body Text Indent 2"/>
    <w:basedOn w:val="1"/>
    <w:link w:val="24"/>
    <w:semiHidden/>
    <w:unhideWhenUsed/>
    <w:uiPriority w:val="99"/>
    <w:pPr>
      <w:spacing w:after="120" w:line="480" w:lineRule="auto"/>
      <w:ind w:left="420" w:leftChars="200"/>
    </w:pPr>
  </w:style>
  <w:style w:type="paragraph" w:styleId="7">
    <w:name w:val="Balloon Text"/>
    <w:basedOn w:val="1"/>
    <w:link w:val="16"/>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uiPriority w:val="99"/>
    <w:rPr>
      <w:b/>
      <w:bCs/>
    </w:rPr>
  </w:style>
  <w:style w:type="character" w:styleId="13">
    <w:name w:val="annotation reference"/>
    <w:basedOn w:val="12"/>
    <w:semiHidden/>
    <w:unhideWhenUsed/>
    <w:uiPriority w:val="99"/>
    <w:rPr>
      <w:sz w:val="21"/>
      <w:szCs w:val="21"/>
    </w:rPr>
  </w:style>
  <w:style w:type="character" w:customStyle="1" w:styleId="14">
    <w:name w:val="页眉 Char"/>
    <w:basedOn w:val="12"/>
    <w:link w:val="9"/>
    <w:qFormat/>
    <w:uiPriority w:val="0"/>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0"/>
    <w:pPr>
      <w:ind w:firstLine="420" w:firstLineChars="200"/>
    </w:pPr>
    <w:rPr>
      <w:rFonts w:ascii="Calibri" w:hAnsi="Calibri"/>
      <w:szCs w:val="22"/>
    </w:rPr>
  </w:style>
  <w:style w:type="paragraph" w:customStyle="1" w:styleId="19">
    <w:name w:val="列出段落1"/>
    <w:basedOn w:val="1"/>
    <w:qFormat/>
    <w:uiPriority w:val="34"/>
    <w:pPr>
      <w:ind w:firstLine="420" w:firstLineChars="200"/>
    </w:pPr>
  </w:style>
  <w:style w:type="paragraph" w:customStyle="1" w:styleId="20">
    <w:name w:val="东方正文"/>
    <w:basedOn w:val="1"/>
    <w:qFormat/>
    <w:uiPriority w:val="0"/>
    <w:pPr>
      <w:spacing w:line="400" w:lineRule="exact"/>
      <w:ind w:left="284" w:right="284"/>
    </w:pPr>
  </w:style>
  <w:style w:type="character" w:customStyle="1" w:styleId="21">
    <w:name w:val="纯文本 Char"/>
    <w:link w:val="5"/>
    <w:uiPriority w:val="0"/>
    <w:rPr>
      <w:rFonts w:ascii="宋体" w:hAnsi="Courier New"/>
      <w:kern w:val="2"/>
      <w:sz w:val="21"/>
    </w:rPr>
  </w:style>
  <w:style w:type="character" w:customStyle="1" w:styleId="22">
    <w:name w:val="批注文字 Char"/>
    <w:basedOn w:val="12"/>
    <w:link w:val="3"/>
    <w:semiHidden/>
    <w:uiPriority w:val="99"/>
    <w:rPr>
      <w:kern w:val="2"/>
      <w:sz w:val="21"/>
    </w:rPr>
  </w:style>
  <w:style w:type="character" w:customStyle="1" w:styleId="23">
    <w:name w:val="批注主题 Char"/>
    <w:basedOn w:val="22"/>
    <w:link w:val="10"/>
    <w:semiHidden/>
    <w:uiPriority w:val="99"/>
    <w:rPr>
      <w:b/>
      <w:bCs/>
      <w:kern w:val="2"/>
      <w:sz w:val="21"/>
    </w:rPr>
  </w:style>
  <w:style w:type="character" w:customStyle="1" w:styleId="24">
    <w:name w:val="正文文本缩进 2 Char"/>
    <w:basedOn w:val="12"/>
    <w:link w:val="6"/>
    <w:semiHidden/>
    <w:uiPriority w:val="99"/>
    <w:rPr>
      <w:kern w:val="2"/>
      <w:sz w:val="21"/>
    </w:rPr>
  </w:style>
  <w:style w:type="character" w:customStyle="1" w:styleId="25">
    <w:name w:val="fontstyle01"/>
    <w:basedOn w:val="12"/>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5311</Words>
  <Characters>5694</Characters>
  <Lines>41</Lines>
  <Paragraphs>11</Paragraphs>
  <TotalTime>217</TotalTime>
  <ScaleCrop>false</ScaleCrop>
  <LinksUpToDate>false</LinksUpToDate>
  <CharactersWithSpaces>5838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2020-04-29T03:49:00Z</dcterms:created>
  <dc:creator>微软用户</dc:creator>
  <cp:lastModifiedBy>Administrator</cp:lastModifiedBy>
  <dcterms:modified xsi:type="dcterms:W3CDTF">2022-07-01T00:45:32Z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500B92FBE922428999831E3BD949A0B8</vt:lpwstr>
  </property>
</Properties>
</file>