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11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涉及条款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受审核部门：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总工办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主管领导：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韩才冬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远程（微信、电话）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09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审核员：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强兴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审核时间：202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2.6.19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审核条款：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QMS: 5.3组织的岗位、职责和权限、6.2质量目标、7.1.5监视和测量资源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8.6产品和服务的放行、8.7不合格输出的控制</w:t>
            </w:r>
          </w:p>
          <w:p>
            <w:pPr>
              <w:pStyle w:val="16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职责权限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Q5.3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004" w:type="dxa"/>
          </w:tcPr>
          <w:p>
            <w:pPr>
              <w:pStyle w:val="2"/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在《部门职责》中规定了主要职责和权限，以确保部门工作的展开和实施：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ind w:left="425" w:leftChars="0" w:right="105" w:rightChars="50" w:hanging="425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  <w:t>负责建立并保持《设计咨询文件控制程序》，负责产品质量体系文件的编制与管理，负责拟订设计咨询质量管理体系文件的发放范围，经总经理批准后发放。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ind w:left="425" w:leftChars="0" w:right="105" w:rightChars="50" w:hanging="425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  <w:t>负责组织贯彻实施国家、行业和地方的法令、法规和技术标准规范；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ind w:left="425" w:leftChars="0" w:right="105" w:rightChars="50" w:hanging="425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  <w:t>负责建立、维护并持续改善质量管理体系，确保其有效运行，推进咨询、设计工作流程的标准化；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ind w:left="425" w:leftChars="0" w:right="105" w:rightChars="50" w:hanging="425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  <w:t>负责加强公司员工质量意识教育，通过培训、会议、内部刊物等方式向全体员工传达满足顾客和法律法规要求的重要性，确保全员以顾客为关注焦点和遵守法律、法规的质量意识的建立和保持；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ind w:left="425" w:leftChars="0" w:right="105" w:rightChars="50" w:hanging="425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  <w:t>负责重大工程总体设计方案、重大系统性技术问题、重要技术经济指标参数的核定，确保技术上的先进性和合理性；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ind w:left="425" w:leftChars="0" w:right="105" w:rightChars="50" w:hanging="425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  <w:t>负责指导、检查分管项目质量方面的法律法规执行情况，核定签署公司重大产品；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ind w:left="425" w:leftChars="0" w:right="105" w:rightChars="50" w:hanging="425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  <w:t>负责组织实施对产品质量的监督检查，监督质量技术法规（包括公司指定的技术要求）的执行，对设计产品定期进行检查、分析和评估；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ind w:left="425" w:leftChars="0" w:right="105" w:rightChars="50" w:hanging="425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  <w:t>负责监督咨询、设计产品的归档工作，确保及时归档，并对归档材料的质量进行检查；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ind w:left="425" w:leftChars="0" w:right="105" w:rightChars="50" w:hanging="425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  <w:t>负责全程跟踪产品质量，处理业主及评审机构反馈的质量问题，根据反馈，改善质量控制；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ind w:left="425" w:leftChars="0" w:right="105" w:rightChars="50" w:hanging="425" w:firstLineChars="0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  <w:t>负责收集整理员工反馈意见，提出产品质量改进方案。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部门负责人熟悉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本部门职责。</w:t>
            </w:r>
          </w:p>
        </w:tc>
        <w:tc>
          <w:tcPr>
            <w:tcW w:w="1585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09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目标及其实现的策划总要求</w:t>
            </w:r>
          </w:p>
        </w:tc>
        <w:tc>
          <w:tcPr>
            <w:tcW w:w="1311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 xml:space="preserve">Q6.2 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adjustRightInd w:val="0"/>
              <w:snapToGrid w:val="0"/>
              <w:spacing w:line="440" w:lineRule="exact"/>
              <w:ind w:right="-23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查见：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总工办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“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管理目标完成情况考核表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”，内容包括：</w:t>
            </w:r>
          </w:p>
          <w:p>
            <w:pPr>
              <w:adjustRightInd w:val="0"/>
              <w:snapToGrid w:val="0"/>
              <w:ind w:right="-23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质量、环境和职业健康安全目标：    考核情况（2021.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11-2022.2</w:t>
            </w:r>
            <w:r>
              <w:rPr>
                <w:rFonts w:hint="eastAsia" w:ascii="仿宋" w:hAnsi="仿宋" w:eastAsia="仿宋" w:cs="仿宋"/>
                <w:szCs w:val="21"/>
              </w:rPr>
              <w:t>）</w:t>
            </w:r>
          </w:p>
          <w:p>
            <w:pPr>
              <w:adjustRightInd w:val="0"/>
              <w:snapToGrid w:val="0"/>
              <w:ind w:right="-23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ind w:right="-23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1、成果文件一次交检合格率大于97%以上</w:t>
            </w:r>
            <w:r>
              <w:rPr>
                <w:rFonts w:hint="eastAsia" w:ascii="仿宋" w:hAnsi="仿宋" w:eastAsia="仿宋" w:cs="仿宋"/>
                <w:szCs w:val="21"/>
              </w:rPr>
              <w:t>；                  100%</w:t>
            </w:r>
          </w:p>
          <w:p>
            <w:pPr>
              <w:adjustRightInd w:val="0"/>
              <w:snapToGrid w:val="0"/>
              <w:ind w:right="-23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</w:t>
            </w:r>
          </w:p>
          <w:p>
            <w:pPr>
              <w:pStyle w:val="16"/>
              <w:ind w:firstLine="46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质量目标、指标基本实现。考核日期：2022.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2.23</w:t>
            </w:r>
            <w:r>
              <w:rPr>
                <w:rFonts w:hint="eastAsia" w:ascii="仿宋" w:hAnsi="仿宋" w:eastAsia="仿宋" w:cs="仿宋"/>
                <w:szCs w:val="21"/>
              </w:rPr>
              <w:t>。考核人：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彭灿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809" w:type="dxa"/>
            <w:vAlign w:val="top"/>
          </w:tcPr>
          <w:p>
            <w:pPr>
              <w:adjustRightInd w:val="0"/>
              <w:snapToGrid w:val="0"/>
              <w:ind w:right="-23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监视和测量资源</w:t>
            </w:r>
          </w:p>
          <w:p>
            <w:pPr>
              <w:adjustRightInd w:val="0"/>
              <w:snapToGrid w:val="0"/>
              <w:ind w:right="-23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311" w:type="dxa"/>
            <w:vAlign w:val="top"/>
          </w:tcPr>
          <w:p>
            <w:pPr>
              <w:adjustRightInd w:val="0"/>
              <w:snapToGrid w:val="0"/>
              <w:ind w:right="-23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Q7.1.5</w:t>
            </w:r>
          </w:p>
          <w:p>
            <w:pPr>
              <w:adjustRightInd w:val="0"/>
              <w:snapToGrid w:val="0"/>
              <w:ind w:right="-23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0004" w:type="dxa"/>
            <w:vAlign w:val="top"/>
          </w:tcPr>
          <w:p>
            <w:pPr>
              <w:adjustRightInd w:val="0"/>
              <w:snapToGrid w:val="0"/>
              <w:ind w:right="-23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公司提供《计量器具台帐》，主要有</w:t>
            </w:r>
            <w:r>
              <w:rPr>
                <w:rFonts w:hint="eastAsia" w:ascii="仿宋" w:hAnsi="仿宋" w:eastAsia="仿宋" w:cs="仿宋"/>
                <w:szCs w:val="21"/>
              </w:rPr>
              <w:t>坡度测量仪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、卷尺、天平、测距仪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等监视和测量设备，规定检定/校准周期为1年。</w:t>
            </w:r>
          </w:p>
          <w:p>
            <w:pPr>
              <w:adjustRightInd w:val="0"/>
              <w:snapToGrid w:val="0"/>
              <w:ind w:right="-23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提供了</w:t>
            </w:r>
            <w:r>
              <w:rPr>
                <w:rFonts w:hint="eastAsia" w:ascii="仿宋" w:hAnsi="仿宋" w:eastAsia="仿宋" w:cs="仿宋"/>
                <w:szCs w:val="21"/>
              </w:rPr>
              <w:t>坡度测量仪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、卷尺、天平、测距仪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校准证书。见附件。</w:t>
            </w: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809" w:type="dxa"/>
            <w:vAlign w:val="top"/>
          </w:tcPr>
          <w:p>
            <w:pPr>
              <w:spacing w:line="400" w:lineRule="atLeas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产品和服务的放行</w:t>
            </w:r>
          </w:p>
        </w:tc>
        <w:tc>
          <w:tcPr>
            <w:tcW w:w="1311" w:type="dxa"/>
            <w:vAlign w:val="top"/>
          </w:tcPr>
          <w:p>
            <w:pPr>
              <w:spacing w:line="400" w:lineRule="atLeas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Q8.6</w:t>
            </w:r>
          </w:p>
        </w:tc>
        <w:tc>
          <w:tcPr>
            <w:tcW w:w="10004" w:type="dxa"/>
            <w:vAlign w:val="top"/>
          </w:tcPr>
          <w:p>
            <w:pPr>
              <w:spacing w:line="400" w:lineRule="atLeast"/>
              <w:ind w:firstLine="420" w:firstLineChars="20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工程设计、工程咨询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</w:rPr>
              <w:t>水土保持方案编制、水土保持监测、水土保持设施验收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过程中检验参见设计所8.5.1；</w:t>
            </w:r>
          </w:p>
          <w:p>
            <w:pPr>
              <w:spacing w:line="400" w:lineRule="atLeast"/>
              <w:ind w:firstLine="42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在设计开发的适当阶段安排了评审、验证、确认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验收</w:t>
            </w:r>
            <w:r>
              <w:rPr>
                <w:rFonts w:hint="eastAsia" w:ascii="仿宋" w:hAnsi="仿宋" w:eastAsia="仿宋" w:cs="仿宋"/>
              </w:rPr>
              <w:t>活动，参见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设计所</w:t>
            </w:r>
            <w:r>
              <w:rPr>
                <w:rFonts w:hint="eastAsia" w:ascii="仿宋" w:hAnsi="仿宋" w:eastAsia="仿宋" w:cs="仿宋"/>
              </w:rPr>
              <w:t>8.3审核记录单。</w:t>
            </w:r>
          </w:p>
          <w:p>
            <w:pPr>
              <w:pStyle w:val="2"/>
              <w:spacing w:line="240" w:lineRule="auto"/>
              <w:jc w:val="left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查校审单：企业在完成最后修改后有校审，校审完成后将成果文件交客户或者政府部门审批后再交客户。</w:t>
            </w:r>
            <w:bookmarkStart w:id="0" w:name="_GoBack"/>
            <w:r>
              <w:rPr>
                <w:rFonts w:hint="default" w:eastAsia="仿宋"/>
                <w:lang w:val="en-US" w:eastAsia="zh-CN"/>
              </w:rPr>
              <w:drawing>
                <wp:inline distT="0" distB="0" distL="114300" distR="114300">
                  <wp:extent cx="2551430" cy="2559050"/>
                  <wp:effectExtent l="0" t="0" r="1270" b="6350"/>
                  <wp:docPr id="1" name="图片 1" descr="微信图片_202206201809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62018091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255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default" w:eastAsia="仿宋"/>
                <w:lang w:val="en-US" w:eastAsia="zh-CN"/>
              </w:rPr>
              <w:drawing>
                <wp:inline distT="0" distB="0" distL="114300" distR="114300">
                  <wp:extent cx="3365500" cy="2694305"/>
                  <wp:effectExtent l="0" t="0" r="0" b="10795"/>
                  <wp:docPr id="2" name="图片 2" descr="微信图片_20220620181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2062018123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0" cy="269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400" w:lineRule="atLeast"/>
              <w:ind w:firstLine="420" w:firstLineChars="200"/>
              <w:jc w:val="left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drawing>
                <wp:inline distT="0" distB="0" distL="114300" distR="114300">
                  <wp:extent cx="2512060" cy="2568575"/>
                  <wp:effectExtent l="0" t="0" r="2540" b="9525"/>
                  <wp:docPr id="3" name="图片 3" descr="微信图片_20220620181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206201813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060" cy="2568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400" w:lineRule="atLeast"/>
              <w:ind w:firstLine="420" w:firstLineChars="20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公司产品和服务的放行基本符合规定要求。</w:t>
            </w:r>
          </w:p>
        </w:tc>
        <w:tc>
          <w:tcPr>
            <w:tcW w:w="1585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09" w:type="dxa"/>
            <w:vAlign w:val="top"/>
          </w:tcPr>
          <w:p>
            <w:pPr>
              <w:spacing w:line="40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不合格品控制</w:t>
            </w:r>
          </w:p>
          <w:p>
            <w:pPr>
              <w:spacing w:line="400" w:lineRule="atLeast"/>
              <w:ind w:firstLine="420" w:firstLineChars="20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311" w:type="dxa"/>
            <w:vAlign w:val="top"/>
          </w:tcPr>
          <w:p>
            <w:pPr>
              <w:spacing w:line="400" w:lineRule="atLeas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Q8.7</w:t>
            </w:r>
          </w:p>
          <w:p>
            <w:pPr>
              <w:spacing w:line="400" w:lineRule="atLeast"/>
              <w:ind w:firstLine="420" w:firstLineChars="200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0004" w:type="dxa"/>
            <w:vAlign w:val="top"/>
          </w:tcPr>
          <w:p>
            <w:pPr>
              <w:spacing w:line="400" w:lineRule="atLeast"/>
              <w:ind w:firstLine="42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公司制定并执行了《不合格输出控制程序》，文件对不合格品的控制方法作出了规定，基本符合标准要求。 </w:t>
            </w:r>
          </w:p>
          <w:p>
            <w:pPr>
              <w:spacing w:line="400" w:lineRule="atLeast"/>
              <w:ind w:firstLine="420" w:firstLineChars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采购验证时发现的不合格品采取直接退换货的方式。</w:t>
            </w:r>
          </w:p>
          <w:p>
            <w:pPr>
              <w:spacing w:line="400" w:lineRule="atLeast"/>
              <w:ind w:firstLine="420" w:firstLineChars="20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工程设计、工程咨询</w:t>
            </w:r>
            <w:r>
              <w:rPr>
                <w:rFonts w:hint="eastAsia" w:ascii="仿宋" w:hAnsi="仿宋" w:eastAsia="仿宋" w:cs="仿宋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</w:rPr>
              <w:t>水土保持方案编制、水土保持监测、水土保持设施验收过程中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的设计文件和报告文件</w:t>
            </w:r>
            <w:r>
              <w:rPr>
                <w:rFonts w:hint="eastAsia" w:ascii="仿宋" w:hAnsi="仿宋" w:eastAsia="仿宋" w:cs="仿宋"/>
              </w:rPr>
              <w:t>发现的不合格及时进行了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修正</w:t>
            </w:r>
            <w:r>
              <w:rPr>
                <w:rFonts w:hint="eastAsia" w:ascii="仿宋" w:hAnsi="仿宋" w:eastAsia="仿宋" w:cs="仿宋"/>
              </w:rPr>
              <w:t>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在检查</w:t>
            </w:r>
            <w:r>
              <w:rPr>
                <w:rFonts w:hint="eastAsia" w:ascii="仿宋" w:hAnsi="仿宋" w:eastAsia="仿宋" w:cs="仿宋"/>
              </w:rPr>
              <w:t>合格后直接交付到下个工序</w:t>
            </w:r>
            <w:r>
              <w:rPr>
                <w:rFonts w:hint="eastAsia" w:ascii="仿宋" w:hAnsi="仿宋" w:eastAsia="仿宋" w:cs="仿宋"/>
                <w:lang w:eastAsia="zh-CN"/>
              </w:rPr>
              <w:t>。</w:t>
            </w:r>
          </w:p>
          <w:p>
            <w:pPr>
              <w:spacing w:line="400" w:lineRule="atLeast"/>
              <w:ind w:firstLine="420" w:firstLineChars="200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交付后产生的不符合，采取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校对修正</w:t>
            </w:r>
            <w:r>
              <w:rPr>
                <w:rFonts w:hint="eastAsia" w:ascii="仿宋" w:hAnsi="仿宋" w:eastAsia="仿宋" w:cs="仿宋"/>
              </w:rPr>
              <w:t>，目前为止尚未发生不合格情况，组织的不合格品控制基本有效。</w:t>
            </w:r>
          </w:p>
        </w:tc>
        <w:tc>
          <w:tcPr>
            <w:tcW w:w="1585" w:type="dxa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符合</w:t>
            </w:r>
          </w:p>
        </w:tc>
      </w:tr>
    </w:tbl>
    <w:p>
      <w:pPr>
        <w:pStyle w:val="11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说明：不符合标注N</w:t>
      </w:r>
    </w:p>
    <w:p>
      <w:pPr>
        <w:rPr>
          <w:rFonts w:hint="eastAsia" w:ascii="楷体" w:hAnsi="楷体" w:eastAsia="楷体" w:cs="楷体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11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24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3" o:spid="_x0000_s3073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24"/>
        <w:rFonts w:hint="default"/>
      </w:rPr>
      <w:t>北京国标联合认证有限公司</w:t>
    </w:r>
    <w:r>
      <w:rPr>
        <w:rStyle w:val="24"/>
        <w:rFonts w:hint="default"/>
      </w:rPr>
      <w:tab/>
    </w:r>
    <w:r>
      <w:rPr>
        <w:rStyle w:val="24"/>
        <w:rFonts w:hint="default"/>
      </w:rPr>
      <w:tab/>
    </w:r>
    <w:r>
      <w:rPr>
        <w:rStyle w:val="24"/>
        <w:rFonts w:hint="default"/>
      </w:rPr>
      <w:tab/>
    </w:r>
  </w:p>
  <w:p>
    <w:pPr>
      <w:pStyle w:val="12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2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15D333"/>
    <w:multiLevelType w:val="singleLevel"/>
    <w:tmpl w:val="E015D33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9A212F"/>
    <w:rsid w:val="00004A84"/>
    <w:rsid w:val="0003239E"/>
    <w:rsid w:val="0006381E"/>
    <w:rsid w:val="000968E8"/>
    <w:rsid w:val="000E1695"/>
    <w:rsid w:val="000E1C0F"/>
    <w:rsid w:val="001177AC"/>
    <w:rsid w:val="00122D4D"/>
    <w:rsid w:val="00166713"/>
    <w:rsid w:val="00187A1E"/>
    <w:rsid w:val="001958BF"/>
    <w:rsid w:val="001B49F8"/>
    <w:rsid w:val="001F12F5"/>
    <w:rsid w:val="00221835"/>
    <w:rsid w:val="0025740A"/>
    <w:rsid w:val="002B30D2"/>
    <w:rsid w:val="002F3741"/>
    <w:rsid w:val="002F6F50"/>
    <w:rsid w:val="00302B5A"/>
    <w:rsid w:val="003F3DA7"/>
    <w:rsid w:val="00410303"/>
    <w:rsid w:val="004B79B3"/>
    <w:rsid w:val="00560C8F"/>
    <w:rsid w:val="00564ECC"/>
    <w:rsid w:val="005A3753"/>
    <w:rsid w:val="005B0630"/>
    <w:rsid w:val="005B10FA"/>
    <w:rsid w:val="005B206C"/>
    <w:rsid w:val="0060379D"/>
    <w:rsid w:val="00645CD8"/>
    <w:rsid w:val="006D2E6E"/>
    <w:rsid w:val="006E19A0"/>
    <w:rsid w:val="006F4CC0"/>
    <w:rsid w:val="007D6F97"/>
    <w:rsid w:val="007E4156"/>
    <w:rsid w:val="008106F0"/>
    <w:rsid w:val="00830271"/>
    <w:rsid w:val="0087513D"/>
    <w:rsid w:val="008C1BCC"/>
    <w:rsid w:val="008F1BC7"/>
    <w:rsid w:val="009277C6"/>
    <w:rsid w:val="00967A13"/>
    <w:rsid w:val="00982E88"/>
    <w:rsid w:val="009A1E5D"/>
    <w:rsid w:val="009A212F"/>
    <w:rsid w:val="009B0D36"/>
    <w:rsid w:val="00A4075D"/>
    <w:rsid w:val="00A772AE"/>
    <w:rsid w:val="00B07662"/>
    <w:rsid w:val="00B13EA8"/>
    <w:rsid w:val="00B9121D"/>
    <w:rsid w:val="00BA12EE"/>
    <w:rsid w:val="00BA6210"/>
    <w:rsid w:val="00BB68E3"/>
    <w:rsid w:val="00BB6CAE"/>
    <w:rsid w:val="00C102FC"/>
    <w:rsid w:val="00C31593"/>
    <w:rsid w:val="00C6638A"/>
    <w:rsid w:val="00CA50CC"/>
    <w:rsid w:val="00CD661D"/>
    <w:rsid w:val="00D22C3B"/>
    <w:rsid w:val="00D27CC7"/>
    <w:rsid w:val="00DA4922"/>
    <w:rsid w:val="00DA5C7E"/>
    <w:rsid w:val="00DA6974"/>
    <w:rsid w:val="00DD527A"/>
    <w:rsid w:val="00DF5546"/>
    <w:rsid w:val="00E04894"/>
    <w:rsid w:val="00E13C93"/>
    <w:rsid w:val="00E74092"/>
    <w:rsid w:val="00E93C58"/>
    <w:rsid w:val="00EA1727"/>
    <w:rsid w:val="00EB389A"/>
    <w:rsid w:val="00EE240C"/>
    <w:rsid w:val="00EF641E"/>
    <w:rsid w:val="00EF6A29"/>
    <w:rsid w:val="00F00B7F"/>
    <w:rsid w:val="00F40F91"/>
    <w:rsid w:val="00FB5223"/>
    <w:rsid w:val="00FD6132"/>
    <w:rsid w:val="00FF25DA"/>
    <w:rsid w:val="01AD573E"/>
    <w:rsid w:val="027B26E1"/>
    <w:rsid w:val="04E15EEC"/>
    <w:rsid w:val="056D1029"/>
    <w:rsid w:val="05E331C0"/>
    <w:rsid w:val="060870F4"/>
    <w:rsid w:val="06B807D8"/>
    <w:rsid w:val="07067D58"/>
    <w:rsid w:val="07117EF5"/>
    <w:rsid w:val="071B2FDE"/>
    <w:rsid w:val="073C3FF5"/>
    <w:rsid w:val="07DE0639"/>
    <w:rsid w:val="07FA09CB"/>
    <w:rsid w:val="0808110C"/>
    <w:rsid w:val="080B0947"/>
    <w:rsid w:val="085A06A2"/>
    <w:rsid w:val="08984BE2"/>
    <w:rsid w:val="093F343F"/>
    <w:rsid w:val="0A0E5F18"/>
    <w:rsid w:val="0A434AEC"/>
    <w:rsid w:val="0A6336B8"/>
    <w:rsid w:val="0A825D1C"/>
    <w:rsid w:val="0AE32880"/>
    <w:rsid w:val="0BD92FB8"/>
    <w:rsid w:val="0CBF26C9"/>
    <w:rsid w:val="0D14481D"/>
    <w:rsid w:val="0D2511F6"/>
    <w:rsid w:val="0E1B0151"/>
    <w:rsid w:val="0EA317AE"/>
    <w:rsid w:val="101B0EE3"/>
    <w:rsid w:val="109A22A6"/>
    <w:rsid w:val="138079AF"/>
    <w:rsid w:val="13F77C42"/>
    <w:rsid w:val="14037D2A"/>
    <w:rsid w:val="140D50C4"/>
    <w:rsid w:val="14D40570"/>
    <w:rsid w:val="15573AAE"/>
    <w:rsid w:val="159D2019"/>
    <w:rsid w:val="15EA6DA8"/>
    <w:rsid w:val="15F164FB"/>
    <w:rsid w:val="16312184"/>
    <w:rsid w:val="16DB1AF8"/>
    <w:rsid w:val="172672DE"/>
    <w:rsid w:val="17A34B99"/>
    <w:rsid w:val="187A2DC9"/>
    <w:rsid w:val="18925A8E"/>
    <w:rsid w:val="18FC09CE"/>
    <w:rsid w:val="194A0248"/>
    <w:rsid w:val="19A325CF"/>
    <w:rsid w:val="19B31F5C"/>
    <w:rsid w:val="1A7E7370"/>
    <w:rsid w:val="1A8A7522"/>
    <w:rsid w:val="1A995A2D"/>
    <w:rsid w:val="1B1A1B91"/>
    <w:rsid w:val="1C510989"/>
    <w:rsid w:val="1C724426"/>
    <w:rsid w:val="1CA25786"/>
    <w:rsid w:val="1CD0523A"/>
    <w:rsid w:val="1D8C2C2E"/>
    <w:rsid w:val="1E4F0891"/>
    <w:rsid w:val="1EE0318C"/>
    <w:rsid w:val="1F287571"/>
    <w:rsid w:val="1F4B21D1"/>
    <w:rsid w:val="1F836A56"/>
    <w:rsid w:val="2062521D"/>
    <w:rsid w:val="20C16FEC"/>
    <w:rsid w:val="21056955"/>
    <w:rsid w:val="21124BDF"/>
    <w:rsid w:val="21AC4409"/>
    <w:rsid w:val="21C81DDA"/>
    <w:rsid w:val="22274738"/>
    <w:rsid w:val="22D724A9"/>
    <w:rsid w:val="23827156"/>
    <w:rsid w:val="24076E72"/>
    <w:rsid w:val="24560EAC"/>
    <w:rsid w:val="24FC3F3E"/>
    <w:rsid w:val="2514738C"/>
    <w:rsid w:val="253565BD"/>
    <w:rsid w:val="2685358C"/>
    <w:rsid w:val="27FE61D7"/>
    <w:rsid w:val="280A72E1"/>
    <w:rsid w:val="281D16DC"/>
    <w:rsid w:val="28B12FDA"/>
    <w:rsid w:val="28E82CCA"/>
    <w:rsid w:val="28EB0D6B"/>
    <w:rsid w:val="28F35BE5"/>
    <w:rsid w:val="298A3B88"/>
    <w:rsid w:val="2AF15685"/>
    <w:rsid w:val="2B3A7E63"/>
    <w:rsid w:val="2C4D2598"/>
    <w:rsid w:val="2C51431A"/>
    <w:rsid w:val="2CA27263"/>
    <w:rsid w:val="2CF36CBF"/>
    <w:rsid w:val="2D297AB8"/>
    <w:rsid w:val="2D9A722C"/>
    <w:rsid w:val="2D9F5F91"/>
    <w:rsid w:val="2DBE0CDE"/>
    <w:rsid w:val="2E6978E1"/>
    <w:rsid w:val="2EE73F61"/>
    <w:rsid w:val="2F4C62DB"/>
    <w:rsid w:val="2FEF01F0"/>
    <w:rsid w:val="303F3488"/>
    <w:rsid w:val="30C87734"/>
    <w:rsid w:val="30C9356C"/>
    <w:rsid w:val="32D24558"/>
    <w:rsid w:val="32EC6101"/>
    <w:rsid w:val="331075BD"/>
    <w:rsid w:val="3336549A"/>
    <w:rsid w:val="33A60922"/>
    <w:rsid w:val="33D00213"/>
    <w:rsid w:val="34AA468E"/>
    <w:rsid w:val="35201905"/>
    <w:rsid w:val="35633254"/>
    <w:rsid w:val="374C03C8"/>
    <w:rsid w:val="3770107D"/>
    <w:rsid w:val="37707CD8"/>
    <w:rsid w:val="385952AE"/>
    <w:rsid w:val="385D42AE"/>
    <w:rsid w:val="38F91915"/>
    <w:rsid w:val="38FF4045"/>
    <w:rsid w:val="3915506A"/>
    <w:rsid w:val="391D3C7B"/>
    <w:rsid w:val="39716821"/>
    <w:rsid w:val="397C75FA"/>
    <w:rsid w:val="39B12E17"/>
    <w:rsid w:val="39B43836"/>
    <w:rsid w:val="39FB56C0"/>
    <w:rsid w:val="3A0221BD"/>
    <w:rsid w:val="3A065204"/>
    <w:rsid w:val="3B231B35"/>
    <w:rsid w:val="3B8171C7"/>
    <w:rsid w:val="3C643B6D"/>
    <w:rsid w:val="3DAB226C"/>
    <w:rsid w:val="3E3E47E7"/>
    <w:rsid w:val="3E40180C"/>
    <w:rsid w:val="3E590880"/>
    <w:rsid w:val="3EB938C8"/>
    <w:rsid w:val="3F5C4B43"/>
    <w:rsid w:val="3F6C1AB0"/>
    <w:rsid w:val="3F777C6D"/>
    <w:rsid w:val="3FA17103"/>
    <w:rsid w:val="3FCB0789"/>
    <w:rsid w:val="403E00A3"/>
    <w:rsid w:val="40585ADE"/>
    <w:rsid w:val="40D4341E"/>
    <w:rsid w:val="40ED2526"/>
    <w:rsid w:val="413D59D8"/>
    <w:rsid w:val="42564875"/>
    <w:rsid w:val="43213E46"/>
    <w:rsid w:val="43D6242C"/>
    <w:rsid w:val="44357B28"/>
    <w:rsid w:val="46541ACF"/>
    <w:rsid w:val="4674757D"/>
    <w:rsid w:val="46BC5FAB"/>
    <w:rsid w:val="4723347D"/>
    <w:rsid w:val="479B170B"/>
    <w:rsid w:val="47A849BE"/>
    <w:rsid w:val="47B1017C"/>
    <w:rsid w:val="48B30731"/>
    <w:rsid w:val="49B53364"/>
    <w:rsid w:val="49CB0DC4"/>
    <w:rsid w:val="4A7D74DC"/>
    <w:rsid w:val="4BEB0F8C"/>
    <w:rsid w:val="4C254DB1"/>
    <w:rsid w:val="4C982217"/>
    <w:rsid w:val="4D6F007A"/>
    <w:rsid w:val="4E03170A"/>
    <w:rsid w:val="4E383AA3"/>
    <w:rsid w:val="4E460C7E"/>
    <w:rsid w:val="4F05771E"/>
    <w:rsid w:val="4F081DF8"/>
    <w:rsid w:val="4F6C45F7"/>
    <w:rsid w:val="4F6E2D92"/>
    <w:rsid w:val="4FC07C57"/>
    <w:rsid w:val="501D01CC"/>
    <w:rsid w:val="5048094F"/>
    <w:rsid w:val="506B7102"/>
    <w:rsid w:val="514C1E40"/>
    <w:rsid w:val="51F04AAE"/>
    <w:rsid w:val="527945F7"/>
    <w:rsid w:val="535E75FB"/>
    <w:rsid w:val="536A54A7"/>
    <w:rsid w:val="53E83FDF"/>
    <w:rsid w:val="541F6A98"/>
    <w:rsid w:val="54A11F53"/>
    <w:rsid w:val="55086FD1"/>
    <w:rsid w:val="552F287E"/>
    <w:rsid w:val="569647B0"/>
    <w:rsid w:val="579E7EE7"/>
    <w:rsid w:val="57B34021"/>
    <w:rsid w:val="57DC3469"/>
    <w:rsid w:val="585F6D18"/>
    <w:rsid w:val="58A43CF2"/>
    <w:rsid w:val="58AC4CBD"/>
    <w:rsid w:val="58DA65F4"/>
    <w:rsid w:val="59170968"/>
    <w:rsid w:val="59E15F2C"/>
    <w:rsid w:val="5A063515"/>
    <w:rsid w:val="5A551AB1"/>
    <w:rsid w:val="5A737EC6"/>
    <w:rsid w:val="5B7C07B9"/>
    <w:rsid w:val="5B8A15E5"/>
    <w:rsid w:val="5BF709E1"/>
    <w:rsid w:val="5C28296E"/>
    <w:rsid w:val="5CC26E3C"/>
    <w:rsid w:val="5D6804E4"/>
    <w:rsid w:val="5D6D4484"/>
    <w:rsid w:val="5DFD1C63"/>
    <w:rsid w:val="5E04231C"/>
    <w:rsid w:val="5F7176E3"/>
    <w:rsid w:val="5F8B0825"/>
    <w:rsid w:val="5FB84C59"/>
    <w:rsid w:val="5FE4753D"/>
    <w:rsid w:val="5FF85C78"/>
    <w:rsid w:val="604319BC"/>
    <w:rsid w:val="61B42D42"/>
    <w:rsid w:val="62F4228F"/>
    <w:rsid w:val="631B69F2"/>
    <w:rsid w:val="63342381"/>
    <w:rsid w:val="63BD0AC0"/>
    <w:rsid w:val="63C139AA"/>
    <w:rsid w:val="63DA1316"/>
    <w:rsid w:val="64C3145D"/>
    <w:rsid w:val="660F68F1"/>
    <w:rsid w:val="668B5AC3"/>
    <w:rsid w:val="675A25BB"/>
    <w:rsid w:val="68BF5165"/>
    <w:rsid w:val="68CE6878"/>
    <w:rsid w:val="68DE193B"/>
    <w:rsid w:val="696856C3"/>
    <w:rsid w:val="69CF21BE"/>
    <w:rsid w:val="6A3368E3"/>
    <w:rsid w:val="6B860E63"/>
    <w:rsid w:val="6B8D63AF"/>
    <w:rsid w:val="6B9E562C"/>
    <w:rsid w:val="6C65194C"/>
    <w:rsid w:val="6CA54F08"/>
    <w:rsid w:val="6D142731"/>
    <w:rsid w:val="6DD6104E"/>
    <w:rsid w:val="6E1931DF"/>
    <w:rsid w:val="6EA20550"/>
    <w:rsid w:val="6EF13E19"/>
    <w:rsid w:val="6FCE2C18"/>
    <w:rsid w:val="70643DB9"/>
    <w:rsid w:val="70850FA7"/>
    <w:rsid w:val="714224DF"/>
    <w:rsid w:val="714B5CA6"/>
    <w:rsid w:val="716F2C75"/>
    <w:rsid w:val="71A77CF1"/>
    <w:rsid w:val="71FC6265"/>
    <w:rsid w:val="7262381D"/>
    <w:rsid w:val="730F08E8"/>
    <w:rsid w:val="732563F7"/>
    <w:rsid w:val="73871AC0"/>
    <w:rsid w:val="73E7203D"/>
    <w:rsid w:val="74D37ECB"/>
    <w:rsid w:val="75FD1039"/>
    <w:rsid w:val="762F280C"/>
    <w:rsid w:val="765C07EC"/>
    <w:rsid w:val="76E32F6B"/>
    <w:rsid w:val="772D26CB"/>
    <w:rsid w:val="774E7F7A"/>
    <w:rsid w:val="77BF2228"/>
    <w:rsid w:val="77D37116"/>
    <w:rsid w:val="78EE43AE"/>
    <w:rsid w:val="79D01299"/>
    <w:rsid w:val="79DC587A"/>
    <w:rsid w:val="7B267C5F"/>
    <w:rsid w:val="7B4909FD"/>
    <w:rsid w:val="7BE60216"/>
    <w:rsid w:val="7C0C6545"/>
    <w:rsid w:val="7C3522B8"/>
    <w:rsid w:val="7C945CA8"/>
    <w:rsid w:val="7CB41C69"/>
    <w:rsid w:val="7CC0265F"/>
    <w:rsid w:val="7D2F01D9"/>
    <w:rsid w:val="7DFC3B04"/>
    <w:rsid w:val="7F84066C"/>
    <w:rsid w:val="7FB569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Calibri" w:hAnsi="Calibri" w:eastAsia="宋体" w:cs="Times New Roman"/>
      <w:b/>
      <w:kern w:val="44"/>
      <w:sz w:val="44"/>
      <w:szCs w:val="22"/>
    </w:rPr>
  </w:style>
  <w:style w:type="paragraph" w:styleId="4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ascii="仿宋_GB2312" w:eastAsia="仿宋_GB2312"/>
      <w:b/>
      <w:bCs/>
      <w:sz w:val="28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line="420" w:lineRule="exact"/>
    </w:pPr>
    <w:rPr>
      <w:sz w:val="24"/>
    </w:rPr>
  </w:style>
  <w:style w:type="paragraph" w:styleId="5">
    <w:name w:val="Normal Indent"/>
    <w:basedOn w:val="1"/>
    <w:next w:val="6"/>
    <w:qFormat/>
    <w:uiPriority w:val="0"/>
    <w:pPr>
      <w:ind w:firstLine="420"/>
    </w:pPr>
  </w:style>
  <w:style w:type="paragraph" w:styleId="6">
    <w:name w:val="Body Text First Indent 2"/>
    <w:basedOn w:val="7"/>
    <w:qFormat/>
    <w:uiPriority w:val="0"/>
    <w:pPr>
      <w:ind w:firstLine="420" w:firstLineChars="200"/>
    </w:pPr>
  </w:style>
  <w:style w:type="paragraph" w:styleId="7">
    <w:name w:val="Body Text Indent"/>
    <w:basedOn w:val="1"/>
    <w:qFormat/>
    <w:uiPriority w:val="99"/>
    <w:pPr>
      <w:spacing w:after="120"/>
      <w:ind w:left="420" w:leftChars="200"/>
    </w:pPr>
    <w:rPr>
      <w:kern w:val="0"/>
      <w:sz w:val="20"/>
    </w:rPr>
  </w:style>
  <w:style w:type="paragraph" w:styleId="8">
    <w:name w:val="Date"/>
    <w:basedOn w:val="1"/>
    <w:next w:val="1"/>
    <w:link w:val="28"/>
    <w:qFormat/>
    <w:uiPriority w:val="0"/>
    <w:pPr>
      <w:ind w:left="100" w:leftChars="2500"/>
    </w:pPr>
    <w:rPr>
      <w:rFonts w:asciiTheme="minorHAnsi" w:hAnsiTheme="minorHAnsi" w:eastAsiaTheme="minorEastAsia" w:cstheme="minorBidi"/>
      <w:szCs w:val="22"/>
    </w:rPr>
  </w:style>
  <w:style w:type="paragraph" w:styleId="9">
    <w:name w:val="Body Text Indent 2"/>
    <w:basedOn w:val="1"/>
    <w:link w:val="29"/>
    <w:qFormat/>
    <w:uiPriority w:val="0"/>
    <w:pPr>
      <w:spacing w:after="120" w:line="480" w:lineRule="auto"/>
      <w:ind w:left="420" w:leftChars="200"/>
    </w:pPr>
    <w:rPr>
      <w:rFonts w:asciiTheme="minorHAnsi" w:hAnsiTheme="minorHAnsi" w:eastAsiaTheme="minorEastAsia" w:cstheme="minorBidi"/>
      <w:szCs w:val="22"/>
    </w:rPr>
  </w:style>
  <w:style w:type="paragraph" w:styleId="10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5">
    <w:name w:val="Strong"/>
    <w:basedOn w:val="14"/>
    <w:qFormat/>
    <w:uiPriority w:val="22"/>
    <w:rPr>
      <w:b/>
      <w:bCs/>
    </w:rPr>
  </w:style>
  <w:style w:type="paragraph" w:customStyle="1" w:styleId="16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customStyle="1" w:styleId="17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一级条标题"/>
    <w:basedOn w:val="19"/>
    <w:next w:val="20"/>
    <w:qFormat/>
    <w:uiPriority w:val="0"/>
    <w:pPr>
      <w:spacing w:line="240" w:lineRule="auto"/>
      <w:ind w:left="420"/>
      <w:outlineLvl w:val="2"/>
    </w:pPr>
  </w:style>
  <w:style w:type="paragraph" w:customStyle="1" w:styleId="19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20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宋体"/>
      <w:sz w:val="21"/>
      <w:szCs w:val="21"/>
      <w:lang w:val="en-US" w:eastAsia="zh-CN" w:bidi="ar-SA"/>
    </w:rPr>
  </w:style>
  <w:style w:type="character" w:customStyle="1" w:styleId="21">
    <w:name w:val="页眉 字符"/>
    <w:basedOn w:val="14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字符"/>
    <w:basedOn w:val="14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字符"/>
    <w:basedOn w:val="14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25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character" w:customStyle="1" w:styleId="27">
    <w:name w:val="info-content-text"/>
    <w:basedOn w:val="14"/>
    <w:qFormat/>
    <w:uiPriority w:val="0"/>
  </w:style>
  <w:style w:type="character" w:customStyle="1" w:styleId="28">
    <w:name w:val="日期 字符"/>
    <w:basedOn w:val="14"/>
    <w:link w:val="8"/>
    <w:qFormat/>
    <w:uiPriority w:val="0"/>
    <w:rPr>
      <w:kern w:val="2"/>
      <w:sz w:val="21"/>
      <w:szCs w:val="22"/>
    </w:rPr>
  </w:style>
  <w:style w:type="character" w:customStyle="1" w:styleId="29">
    <w:name w:val="正文文本缩进 2 字符"/>
    <w:basedOn w:val="14"/>
    <w:link w:val="9"/>
    <w:qFormat/>
    <w:uiPriority w:val="0"/>
    <w:rPr>
      <w:kern w:val="2"/>
      <w:sz w:val="21"/>
      <w:szCs w:val="22"/>
    </w:rPr>
  </w:style>
  <w:style w:type="character" w:customStyle="1" w:styleId="30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31">
    <w:name w:val="f11"/>
    <w:qFormat/>
    <w:uiPriority w:val="0"/>
    <w:rPr>
      <w:sz w:val="20"/>
      <w:szCs w:val="20"/>
    </w:rPr>
  </w:style>
  <w:style w:type="character" w:customStyle="1" w:styleId="32">
    <w:name w:val="news_c_da1"/>
    <w:qFormat/>
    <w:uiPriority w:val="0"/>
    <w:rPr>
      <w:rFonts w:hint="default" w:ascii="ˎ̥" w:hAnsi="ˎ̥"/>
      <w:b/>
      <w:bCs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1172</Words>
  <Characters>1244</Characters>
  <Lines>65</Lines>
  <Paragraphs>18</Paragraphs>
  <TotalTime>1</TotalTime>
  <ScaleCrop>false</ScaleCrop>
  <LinksUpToDate>false</LinksUpToDate>
  <CharactersWithSpaces>1298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强子</cp:lastModifiedBy>
  <dcterms:modified xsi:type="dcterms:W3CDTF">2022-06-20T10:13:59Z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2052-11.1.0.11744</vt:lpwstr>
  </property>
</Properties>
</file>