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cs="楷体"/>
          <w:sz w:val="24"/>
          <w:szCs w:val="24"/>
        </w:rPr>
      </w:pPr>
      <w:r>
        <w:rPr>
          <w:rFonts w:hint="eastAsia" w:ascii="楷体" w:hAnsi="楷体" w:eastAsia="楷体" w:cs="楷体"/>
          <w:bCs/>
          <w:color w:val="000000"/>
          <w:sz w:val="24"/>
          <w:szCs w:val="24"/>
        </w:rPr>
        <w:t>管理体系审核记录表</w:t>
      </w:r>
    </w:p>
    <w:p>
      <w:pPr>
        <w:pStyle w:val="9"/>
        <w:rPr>
          <w:rFonts w:ascii="楷体" w:hAnsi="楷体" w:eastAsia="楷体" w:cs="楷体"/>
          <w:sz w:val="24"/>
          <w:szCs w:val="24"/>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960"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004" w:type="dxa"/>
            <w:vAlign w:val="center"/>
          </w:tcPr>
          <w:p>
            <w:pPr>
              <w:rPr>
                <w:rFonts w:hint="default" w:ascii="楷体" w:hAnsi="楷体" w:eastAsia="楷体" w:cs="楷体"/>
                <w:sz w:val="24"/>
                <w:szCs w:val="24"/>
                <w:lang w:val="en-US"/>
              </w:rPr>
            </w:pPr>
            <w:r>
              <w:rPr>
                <w:rFonts w:hint="eastAsia" w:ascii="楷体" w:hAnsi="楷体" w:eastAsia="楷体" w:cs="楷体"/>
                <w:sz w:val="24"/>
                <w:szCs w:val="24"/>
              </w:rPr>
              <w:t>受审核部门：</w:t>
            </w:r>
            <w:r>
              <w:rPr>
                <w:rFonts w:hint="eastAsia" w:ascii="楷体" w:hAnsi="楷体" w:eastAsia="楷体" w:cs="楷体"/>
                <w:sz w:val="24"/>
                <w:szCs w:val="24"/>
                <w:lang w:val="en-US" w:eastAsia="zh-CN"/>
              </w:rPr>
              <w:t>行政人事部</w:t>
            </w:r>
            <w:r>
              <w:rPr>
                <w:rFonts w:hint="eastAsia" w:ascii="楷体" w:hAnsi="楷体" w:eastAsia="楷体" w:cs="楷体"/>
                <w:sz w:val="24"/>
                <w:szCs w:val="24"/>
              </w:rPr>
              <w:t xml:space="preserve">   主管领导：</w:t>
            </w:r>
            <w:r>
              <w:rPr>
                <w:rFonts w:hint="eastAsia" w:ascii="楷体" w:hAnsi="楷体" w:eastAsia="楷体" w:cs="楷体"/>
                <w:sz w:val="24"/>
                <w:szCs w:val="24"/>
                <w:lang w:val="en-US" w:eastAsia="zh-CN"/>
              </w:rPr>
              <w:t>彭灿</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远程</w:t>
            </w:r>
            <w:r>
              <w:rPr>
                <w:rFonts w:hint="eastAsia" w:ascii="楷体" w:hAnsi="楷体" w:eastAsia="楷体" w:cs="楷体"/>
                <w:sz w:val="24"/>
                <w:szCs w:val="24"/>
              </w:rPr>
              <w:t>陪同人员：</w:t>
            </w:r>
            <w:r>
              <w:rPr>
                <w:rFonts w:hint="eastAsia" w:ascii="楷体" w:hAnsi="楷体" w:eastAsia="楷体" w:cs="楷体"/>
                <w:sz w:val="24"/>
                <w:szCs w:val="24"/>
                <w:lang w:val="en-US" w:eastAsia="zh-CN"/>
              </w:rPr>
              <w:t>彭灿</w:t>
            </w:r>
            <w:r>
              <w:rPr>
                <w:rFonts w:hint="eastAsia" w:ascii="楷体" w:hAnsi="楷体" w:eastAsia="楷体" w:cs="楷体"/>
                <w:sz w:val="24"/>
                <w:szCs w:val="24"/>
              </w:rPr>
              <w:t xml:space="preserve"> </w:t>
            </w:r>
          </w:p>
        </w:tc>
        <w:tc>
          <w:tcPr>
            <w:tcW w:w="158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spacing w:line="280" w:lineRule="exact"/>
              <w:rPr>
                <w:rFonts w:hint="default" w:ascii="楷体" w:hAnsi="楷体" w:eastAsia="楷体" w:cs="楷体"/>
                <w:sz w:val="24"/>
                <w:szCs w:val="24"/>
                <w:lang w:val="en-US" w:eastAsia="zh-CN"/>
              </w:rPr>
            </w:pPr>
            <w:r>
              <w:rPr>
                <w:rFonts w:hint="eastAsia" w:ascii="楷体" w:hAnsi="楷体" w:eastAsia="楷体" w:cs="楷体"/>
                <w:sz w:val="24"/>
                <w:szCs w:val="24"/>
              </w:rPr>
              <w:t>审核员：</w:t>
            </w:r>
            <w:r>
              <w:rPr>
                <w:rFonts w:hint="eastAsia" w:ascii="楷体" w:hAnsi="楷体" w:eastAsia="楷体" w:cs="楷体"/>
                <w:sz w:val="24"/>
                <w:szCs w:val="24"/>
                <w:lang w:val="en-US" w:eastAsia="zh-CN"/>
              </w:rPr>
              <w:t>陈琦</w:t>
            </w:r>
            <w:r>
              <w:rPr>
                <w:rFonts w:hint="eastAsia" w:ascii="楷体" w:hAnsi="楷体" w:eastAsia="楷体" w:cs="楷体"/>
                <w:sz w:val="24"/>
                <w:szCs w:val="24"/>
              </w:rPr>
              <w:t xml:space="preserve">   审核时间：2022年</w:t>
            </w:r>
            <w:r>
              <w:rPr>
                <w:rFonts w:hint="eastAsia" w:ascii="楷体" w:hAnsi="楷体" w:eastAsia="楷体" w:cs="楷体"/>
                <w:sz w:val="24"/>
                <w:szCs w:val="24"/>
                <w:lang w:val="en-US" w:eastAsia="zh-CN"/>
              </w:rPr>
              <w:t>6</w:t>
            </w:r>
            <w:r>
              <w:rPr>
                <w:rFonts w:hint="eastAsia" w:ascii="楷体" w:hAnsi="楷体" w:eastAsia="楷体" w:cs="楷体"/>
                <w:sz w:val="24"/>
                <w:szCs w:val="24"/>
              </w:rPr>
              <w:t>月</w:t>
            </w:r>
            <w:r>
              <w:rPr>
                <w:rFonts w:ascii="楷体" w:hAnsi="楷体" w:eastAsia="楷体" w:cs="楷体"/>
                <w:sz w:val="24"/>
                <w:szCs w:val="24"/>
              </w:rPr>
              <w:t>1</w:t>
            </w:r>
            <w:r>
              <w:rPr>
                <w:rFonts w:hint="eastAsia" w:ascii="楷体" w:hAnsi="楷体" w:eastAsia="楷体" w:cs="楷体"/>
                <w:sz w:val="24"/>
                <w:szCs w:val="24"/>
                <w:lang w:val="en-US" w:eastAsia="zh-CN"/>
              </w:rPr>
              <w:t>8</w:t>
            </w:r>
            <w:r>
              <w:rPr>
                <w:rFonts w:hint="eastAsia" w:ascii="楷体" w:hAnsi="楷体" w:eastAsia="楷体" w:cs="楷体"/>
                <w:sz w:val="24"/>
                <w:szCs w:val="24"/>
              </w:rPr>
              <w:t>日</w:t>
            </w:r>
            <w:r>
              <w:rPr>
                <w:rFonts w:hint="eastAsia" w:ascii="楷体" w:hAnsi="楷体" w:eastAsia="楷体" w:cs="楷体"/>
                <w:sz w:val="24"/>
                <w:szCs w:val="24"/>
                <w:lang w:val="en-US" w:eastAsia="zh-CN"/>
              </w:rPr>
              <w:t xml:space="preserve">   远程审核方式：语音电话、视频、微信等</w:t>
            </w:r>
          </w:p>
        </w:tc>
        <w:tc>
          <w:tcPr>
            <w:tcW w:w="158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960" w:type="dxa"/>
            <w:vMerge w:val="continue"/>
            <w:vAlign w:val="center"/>
          </w:tcPr>
          <w:p>
            <w:pPr>
              <w:rPr>
                <w:rFonts w:ascii="楷体" w:hAnsi="楷体" w:eastAsia="楷体" w:cs="楷体"/>
                <w:sz w:val="24"/>
                <w:szCs w:val="24"/>
              </w:rPr>
            </w:pPr>
          </w:p>
        </w:tc>
        <w:tc>
          <w:tcPr>
            <w:tcW w:w="10004" w:type="dxa"/>
            <w:vAlign w:val="center"/>
          </w:tcPr>
          <w:p>
            <w:pPr>
              <w:spacing w:line="280" w:lineRule="exact"/>
              <w:rPr>
                <w:rFonts w:hint="eastAsia"/>
                <w:b w:val="0"/>
                <w:bCs w:val="0"/>
                <w:lang w:val="en-US" w:eastAsia="zh-CN"/>
              </w:rPr>
            </w:pPr>
            <w:r>
              <w:rPr>
                <w:rFonts w:hint="eastAsia" w:ascii="楷体" w:hAnsi="楷体" w:eastAsia="楷体" w:cs="楷体"/>
                <w:sz w:val="24"/>
                <w:szCs w:val="24"/>
              </w:rPr>
              <w:t>审核条款：</w:t>
            </w:r>
            <w:r>
              <w:rPr>
                <w:rFonts w:ascii="宋体" w:hAnsi="宋体" w:cs="Arial"/>
                <w:b w:val="0"/>
                <w:bCs w:val="0"/>
                <w:sz w:val="21"/>
                <w:szCs w:val="21"/>
              </w:rPr>
              <w:t>QMS: 5.3</w:t>
            </w:r>
            <w:r>
              <w:rPr>
                <w:rFonts w:hint="eastAsia" w:ascii="宋体" w:hAnsi="宋体" w:cs="Arial"/>
                <w:b w:val="0"/>
                <w:bCs w:val="0"/>
                <w:sz w:val="21"/>
                <w:szCs w:val="21"/>
              </w:rPr>
              <w:t>组织的岗位、职责和权限、</w:t>
            </w:r>
            <w:r>
              <w:rPr>
                <w:rFonts w:ascii="宋体" w:hAnsi="宋体" w:cs="Arial"/>
                <w:b w:val="0"/>
                <w:bCs w:val="0"/>
                <w:sz w:val="21"/>
                <w:szCs w:val="21"/>
              </w:rPr>
              <w:t>6.2</w:t>
            </w:r>
            <w:r>
              <w:rPr>
                <w:rFonts w:hint="eastAsia" w:ascii="宋体" w:hAnsi="宋体" w:cs="Arial"/>
                <w:b w:val="0"/>
                <w:bCs w:val="0"/>
                <w:sz w:val="21"/>
                <w:szCs w:val="21"/>
              </w:rPr>
              <w:t>质量目标、</w:t>
            </w:r>
            <w:r>
              <w:rPr>
                <w:rFonts w:ascii="宋体" w:hAnsi="宋体" w:cs="Arial"/>
                <w:b w:val="0"/>
                <w:bCs w:val="0"/>
                <w:sz w:val="21"/>
                <w:szCs w:val="21"/>
              </w:rPr>
              <w:t>7.1.2</w:t>
            </w:r>
            <w:r>
              <w:rPr>
                <w:rFonts w:hint="eastAsia" w:ascii="宋体" w:hAnsi="宋体" w:cs="Arial"/>
                <w:b w:val="0"/>
                <w:bCs w:val="0"/>
                <w:sz w:val="21"/>
                <w:szCs w:val="21"/>
              </w:rPr>
              <w:t>人员、</w:t>
            </w:r>
            <w:r>
              <w:rPr>
                <w:rFonts w:hint="eastAsia" w:cs="Arial" w:asciiTheme="minorEastAsia" w:hAnsiTheme="minorEastAsia" w:eastAsiaTheme="minorEastAsia"/>
                <w:b w:val="0"/>
                <w:bCs w:val="0"/>
                <w:sz w:val="21"/>
                <w:szCs w:val="21"/>
              </w:rPr>
              <w:t>7.1.6组织知识、7.2能力、7.3意识、</w:t>
            </w:r>
            <w:r>
              <w:rPr>
                <w:rFonts w:hint="eastAsia" w:cs="Arial" w:asciiTheme="minorEastAsia" w:hAnsiTheme="minorEastAsia" w:eastAsiaTheme="minorEastAsia"/>
                <w:b w:val="0"/>
                <w:bCs w:val="0"/>
                <w:spacing w:val="-6"/>
                <w:sz w:val="21"/>
                <w:szCs w:val="21"/>
              </w:rPr>
              <w:t>7.4沟通/信息交流、</w:t>
            </w:r>
            <w:r>
              <w:rPr>
                <w:rFonts w:ascii="宋体" w:hAnsi="宋体" w:cs="Arial"/>
                <w:b w:val="0"/>
                <w:bCs w:val="0"/>
                <w:sz w:val="21"/>
                <w:szCs w:val="21"/>
              </w:rPr>
              <w:t>7.5.1</w:t>
            </w:r>
            <w:r>
              <w:rPr>
                <w:rFonts w:hint="eastAsia" w:ascii="宋体" w:hAnsi="宋体" w:cs="Arial"/>
                <w:b w:val="0"/>
                <w:bCs w:val="0"/>
                <w:sz w:val="21"/>
                <w:szCs w:val="21"/>
              </w:rPr>
              <w:t>形成文件的信息总则、</w:t>
            </w:r>
            <w:r>
              <w:rPr>
                <w:rFonts w:ascii="宋体" w:hAnsi="宋体" w:cs="Arial"/>
                <w:b w:val="0"/>
                <w:bCs w:val="0"/>
                <w:sz w:val="21"/>
                <w:szCs w:val="21"/>
              </w:rPr>
              <w:t>7.5.2</w:t>
            </w:r>
            <w:r>
              <w:rPr>
                <w:rFonts w:hint="eastAsia" w:ascii="宋体" w:hAnsi="宋体" w:cs="Arial"/>
                <w:b w:val="0"/>
                <w:bCs w:val="0"/>
                <w:sz w:val="21"/>
                <w:szCs w:val="21"/>
              </w:rPr>
              <w:t>形成文件的信息的创建</w:t>
            </w:r>
            <w:r>
              <w:rPr>
                <w:rFonts w:hint="eastAsia" w:cs="Arial" w:asciiTheme="minorEastAsia" w:hAnsiTheme="minorEastAsia" w:eastAsiaTheme="minorEastAsia"/>
                <w:b w:val="0"/>
                <w:bCs w:val="0"/>
                <w:sz w:val="21"/>
                <w:szCs w:val="21"/>
              </w:rPr>
              <w:t>和更新、7.5.3形成文件的信息的控制</w:t>
            </w:r>
            <w:r>
              <w:rPr>
                <w:rFonts w:hint="eastAsia" w:ascii="宋体" w:hAnsi="宋体" w:cs="Arial"/>
                <w:b w:val="0"/>
                <w:bCs w:val="0"/>
                <w:sz w:val="21"/>
                <w:szCs w:val="21"/>
                <w:lang w:eastAsia="zh-CN"/>
              </w:rPr>
              <w:t>、</w:t>
            </w:r>
            <w:r>
              <w:rPr>
                <w:rFonts w:hint="eastAsia" w:cs="Arial" w:asciiTheme="minorEastAsia" w:hAnsiTheme="minorEastAsia" w:eastAsiaTheme="minorEastAsia"/>
                <w:b w:val="0"/>
                <w:bCs w:val="0"/>
                <w:sz w:val="21"/>
                <w:szCs w:val="21"/>
              </w:rPr>
              <w:t>9.1.3分析与评价、9.2 内部审核、10.2不合</w:t>
            </w:r>
            <w:r>
              <w:rPr>
                <w:rFonts w:hint="eastAsia" w:cs="Arial" w:asciiTheme="minorEastAsia" w:hAnsiTheme="minorEastAsia" w:eastAsiaTheme="minorEastAsia"/>
                <w:b w:val="0"/>
                <w:bCs w:val="0"/>
                <w:sz w:val="21"/>
                <w:szCs w:val="21"/>
                <w:lang w:val="en-US" w:eastAsia="zh-CN"/>
              </w:rPr>
              <w:t>格</w:t>
            </w:r>
            <w:r>
              <w:rPr>
                <w:rFonts w:hint="eastAsia" w:cs="Arial" w:asciiTheme="minorEastAsia" w:hAnsiTheme="minorEastAsia" w:eastAsiaTheme="minorEastAsia"/>
                <w:b w:val="0"/>
                <w:bCs w:val="0"/>
                <w:sz w:val="21"/>
                <w:szCs w:val="21"/>
              </w:rPr>
              <w:t>和纠正措施</w:t>
            </w:r>
            <w:r>
              <w:rPr>
                <w:rFonts w:hint="eastAsia" w:cs="Arial" w:asciiTheme="minorEastAsia" w:hAnsiTheme="minorEastAsia" w:eastAsiaTheme="minorEastAsia"/>
                <w:b w:val="0"/>
                <w:bCs w:val="0"/>
                <w:sz w:val="21"/>
                <w:szCs w:val="21"/>
                <w:lang w:eastAsia="zh-CN"/>
              </w:rPr>
              <w:t>。</w:t>
            </w:r>
          </w:p>
          <w:p>
            <w:pPr>
              <w:spacing w:line="280" w:lineRule="exact"/>
              <w:rPr>
                <w:rFonts w:hint="eastAsia" w:cs="Arial" w:asciiTheme="minorEastAsia" w:hAnsiTheme="minorEastAsia" w:eastAsiaTheme="minorEastAsia"/>
                <w:b w:val="0"/>
                <w:bCs w:val="0"/>
                <w:sz w:val="21"/>
                <w:szCs w:val="21"/>
                <w:lang w:val="en-US" w:eastAsia="zh-CN"/>
              </w:rPr>
            </w:pPr>
            <w:r>
              <w:rPr>
                <w:rFonts w:hint="eastAsia" w:cs="Arial" w:asciiTheme="minorEastAsia" w:hAnsiTheme="minorEastAsia" w:eastAsiaTheme="minorEastAsia"/>
                <w:b w:val="0"/>
                <w:bCs w:val="0"/>
                <w:sz w:val="21"/>
                <w:szCs w:val="21"/>
              </w:rPr>
              <w:t>E/OMS</w:t>
            </w:r>
            <w:r>
              <w:rPr>
                <w:rFonts w:hint="eastAsia" w:cs="Arial" w:asciiTheme="minorEastAsia" w:hAnsiTheme="minorEastAsia" w:eastAsiaTheme="minorEastAsia"/>
                <w:b w:val="0"/>
                <w:bCs w:val="0"/>
                <w:sz w:val="21"/>
                <w:szCs w:val="21"/>
                <w:lang w:val="en-US" w:eastAsia="zh-CN"/>
              </w:rPr>
              <w:t>:</w:t>
            </w:r>
            <w:r>
              <w:rPr>
                <w:rFonts w:hint="eastAsia" w:cs="Arial" w:asciiTheme="minorEastAsia" w:hAnsiTheme="minorEastAsia" w:eastAsiaTheme="minorEastAsia"/>
                <w:b w:val="0"/>
                <w:bCs w:val="0"/>
                <w:sz w:val="21"/>
                <w:szCs w:val="21"/>
              </w:rPr>
              <w:t xml:space="preserve"> 5.3组织的岗位</w:t>
            </w:r>
            <w:r>
              <w:rPr>
                <w:rFonts w:hint="eastAsia" w:ascii="宋体" w:hAnsi="宋体" w:eastAsia="宋体" w:cs="Arial"/>
                <w:b w:val="0"/>
                <w:bCs w:val="0"/>
                <w:sz w:val="21"/>
                <w:szCs w:val="21"/>
              </w:rPr>
              <w:t>、职责和权限、6.1.2环境因素/危险源的辨识与评价、6.1.3合规义务、</w:t>
            </w:r>
            <w:r>
              <w:rPr>
                <w:rFonts w:hint="eastAsia" w:ascii="宋体" w:hAnsi="宋体" w:eastAsia="宋体" w:cs="Arial"/>
                <w:b w:val="0"/>
                <w:bCs w:val="0"/>
                <w:color w:val="auto"/>
                <w:sz w:val="21"/>
                <w:szCs w:val="21"/>
              </w:rPr>
              <w:t>6.1.4措施的策划</w:t>
            </w:r>
            <w:r>
              <w:rPr>
                <w:rFonts w:hint="eastAsia" w:ascii="宋体" w:hAnsi="宋体" w:eastAsia="宋体" w:cs="Arial"/>
                <w:b w:val="0"/>
                <w:bCs w:val="0"/>
                <w:color w:val="auto"/>
                <w:sz w:val="21"/>
                <w:szCs w:val="21"/>
                <w:lang w:eastAsia="zh-CN"/>
              </w:rPr>
              <w:t>、</w:t>
            </w:r>
            <w:r>
              <w:rPr>
                <w:rFonts w:hint="eastAsia" w:ascii="宋体" w:hAnsi="宋体" w:eastAsia="宋体" w:cs="Arial"/>
                <w:b w:val="0"/>
                <w:bCs w:val="0"/>
                <w:sz w:val="21"/>
                <w:szCs w:val="21"/>
              </w:rPr>
              <w:t>6.</w:t>
            </w:r>
            <w:r>
              <w:rPr>
                <w:rFonts w:hint="eastAsia" w:cs="Arial" w:asciiTheme="minorEastAsia" w:hAnsiTheme="minorEastAsia" w:eastAsiaTheme="minorEastAsia"/>
                <w:b w:val="0"/>
                <w:bCs w:val="0"/>
                <w:sz w:val="21"/>
                <w:szCs w:val="21"/>
              </w:rPr>
              <w:t>2.1环境/职业健康安全目标、6.2.2实现环境/职业健康安全目标措施的策划、7.2能力、7.3意识、</w:t>
            </w:r>
            <w:r>
              <w:rPr>
                <w:rFonts w:hint="eastAsia" w:cs="Arial" w:asciiTheme="minorEastAsia" w:hAnsiTheme="minorEastAsia" w:eastAsiaTheme="minorEastAsia"/>
                <w:b w:val="0"/>
                <w:bCs w:val="0"/>
                <w:spacing w:val="-6"/>
                <w:sz w:val="21"/>
                <w:szCs w:val="21"/>
              </w:rPr>
              <w:t>7.4沟通/信息交流、</w:t>
            </w:r>
            <w:r>
              <w:rPr>
                <w:rFonts w:hint="eastAsia" w:cs="Arial" w:asciiTheme="minorEastAsia" w:hAnsiTheme="minorEastAsia" w:eastAsiaTheme="minorEastAsia"/>
                <w:b w:val="0"/>
                <w:bCs w:val="0"/>
                <w:sz w:val="21"/>
                <w:szCs w:val="21"/>
              </w:rPr>
              <w:t>7.5.1形成文件的信息总则、7.5.2形成文件的信息的创建和更新、7.5.3形成文件的信息的控制、8.1运行策划和控制、8.2应急准备和响应、9.1.2合规性评价、9.2 内部审核</w:t>
            </w:r>
            <w:r>
              <w:rPr>
                <w:rFonts w:hint="eastAsia" w:cs="Arial" w:asciiTheme="minorEastAsia" w:hAnsiTheme="minorEastAsia" w:eastAsiaTheme="minorEastAsia"/>
                <w:b w:val="0"/>
                <w:bCs w:val="0"/>
                <w:sz w:val="21"/>
                <w:szCs w:val="21"/>
                <w:lang w:eastAsia="zh-CN"/>
              </w:rPr>
              <w:t>、</w:t>
            </w:r>
            <w:r>
              <w:rPr>
                <w:rFonts w:hint="eastAsia" w:cs="Arial" w:asciiTheme="minorEastAsia" w:hAnsiTheme="minorEastAsia" w:eastAsiaTheme="minorEastAsia"/>
                <w:b w:val="0"/>
                <w:bCs w:val="0"/>
                <w:sz w:val="21"/>
                <w:szCs w:val="21"/>
              </w:rPr>
              <w:t>10.2</w:t>
            </w:r>
            <w:r>
              <w:rPr>
                <w:rFonts w:hint="eastAsia" w:cs="Arial" w:asciiTheme="minorEastAsia" w:hAnsiTheme="minorEastAsia" w:eastAsiaTheme="minorEastAsia"/>
                <w:b w:val="0"/>
                <w:bCs w:val="0"/>
                <w:sz w:val="21"/>
                <w:szCs w:val="21"/>
                <w:lang w:val="en-US" w:eastAsia="zh-CN"/>
              </w:rPr>
              <w:t>事件、不符合</w:t>
            </w:r>
            <w:r>
              <w:rPr>
                <w:rFonts w:hint="eastAsia" w:cs="Arial" w:asciiTheme="minorEastAsia" w:hAnsiTheme="minorEastAsia" w:eastAsiaTheme="minorEastAsia"/>
                <w:b w:val="0"/>
                <w:bCs w:val="0"/>
                <w:sz w:val="21"/>
                <w:szCs w:val="21"/>
              </w:rPr>
              <w:t>和纠正措施</w:t>
            </w:r>
            <w:r>
              <w:rPr>
                <w:rFonts w:hint="eastAsia" w:cs="Arial" w:asciiTheme="minorEastAsia" w:hAnsiTheme="minorEastAsia" w:eastAsiaTheme="minorEastAsia"/>
                <w:b w:val="0"/>
                <w:bCs w:val="0"/>
                <w:sz w:val="21"/>
                <w:szCs w:val="21"/>
                <w:lang w:val="en-US" w:eastAsia="zh-CN"/>
              </w:rPr>
              <w:t>.</w:t>
            </w:r>
          </w:p>
          <w:p>
            <w:pPr>
              <w:rPr>
                <w:rFonts w:ascii="楷体" w:hAnsi="楷体" w:eastAsia="楷体" w:cs="楷体"/>
                <w:sz w:val="24"/>
                <w:szCs w:val="24"/>
              </w:rPr>
            </w:pPr>
            <w:r>
              <w:rPr>
                <w:rFonts w:hint="eastAsia" w:cs="Arial" w:asciiTheme="minorEastAsia" w:hAnsiTheme="minorEastAsia" w:eastAsiaTheme="minorEastAsia"/>
                <w:b w:val="0"/>
                <w:bCs w:val="0"/>
                <w:sz w:val="21"/>
                <w:szCs w:val="21"/>
              </w:rPr>
              <w:t>EMS</w:t>
            </w:r>
            <w:r>
              <w:rPr>
                <w:rFonts w:hint="eastAsia" w:cs="Arial" w:asciiTheme="minorEastAsia" w:hAnsiTheme="minorEastAsia" w:eastAsiaTheme="minorEastAsia"/>
                <w:b w:val="0"/>
                <w:bCs w:val="0"/>
                <w:sz w:val="21"/>
                <w:szCs w:val="21"/>
                <w:lang w:val="en-US" w:eastAsia="zh-CN"/>
              </w:rPr>
              <w:t>/</w:t>
            </w:r>
            <w:r>
              <w:rPr>
                <w:rFonts w:hint="eastAsia" w:cs="Arial" w:asciiTheme="minorEastAsia" w:hAnsiTheme="minorEastAsia" w:eastAsiaTheme="minorEastAsia"/>
                <w:b w:val="0"/>
                <w:bCs w:val="0"/>
                <w:sz w:val="21"/>
                <w:szCs w:val="21"/>
              </w:rPr>
              <w:t>OHSMS运行控制相关财务支出证据</w:t>
            </w:r>
            <w:r>
              <w:rPr>
                <w:rFonts w:hint="eastAsia" w:cs="Arial" w:asciiTheme="minorEastAsia" w:hAnsiTheme="minorEastAsia" w:eastAsiaTheme="minorEastAsia"/>
                <w:b w:val="0"/>
                <w:bCs w:val="0"/>
                <w:sz w:val="21"/>
                <w:szCs w:val="21"/>
                <w:lang w:val="en-US" w:eastAsia="zh-CN"/>
              </w:rPr>
              <w:t>；</w:t>
            </w:r>
          </w:p>
        </w:tc>
        <w:tc>
          <w:tcPr>
            <w:tcW w:w="158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职责和权限</w:t>
            </w:r>
          </w:p>
        </w:tc>
        <w:tc>
          <w:tcPr>
            <w:tcW w:w="960" w:type="dxa"/>
            <w:vAlign w:val="center"/>
          </w:tcPr>
          <w:p>
            <w:pPr>
              <w:rPr>
                <w:rFonts w:ascii="楷体" w:hAnsi="楷体" w:eastAsia="楷体" w:cs="楷体"/>
                <w:sz w:val="24"/>
                <w:szCs w:val="24"/>
              </w:rPr>
            </w:pPr>
            <w:r>
              <w:rPr>
                <w:rFonts w:ascii="楷体" w:hAnsi="楷体" w:eastAsia="楷体" w:cs="楷体"/>
                <w:sz w:val="24"/>
                <w:szCs w:val="24"/>
              </w:rPr>
              <w:t>QEO</w:t>
            </w:r>
            <w:r>
              <w:rPr>
                <w:rFonts w:hint="eastAsia" w:ascii="楷体" w:hAnsi="楷体" w:eastAsia="楷体" w:cs="楷体"/>
                <w:sz w:val="24"/>
                <w:szCs w:val="24"/>
              </w:rPr>
              <w:t>5.3</w:t>
            </w:r>
          </w:p>
        </w:tc>
        <w:tc>
          <w:tcPr>
            <w:tcW w:w="10004" w:type="dxa"/>
            <w:vAlign w:val="center"/>
          </w:tcPr>
          <w:p>
            <w:pPr>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经与主管行政人事部副总经理彭灿沟通，</w:t>
            </w:r>
            <w:r>
              <w:rPr>
                <w:rFonts w:hint="eastAsia" w:ascii="宋体" w:hAnsi="宋体" w:eastAsia="宋体" w:cs="宋体"/>
                <w:sz w:val="21"/>
                <w:szCs w:val="21"/>
              </w:rPr>
              <w:t>部门主要职责如下：</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做好人员培训工作（上岗资格要求）。</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组织员工培训并评审培训效果，建立员工培训档案。</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负责组织安排公司的记录管理。</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组织做好内部沟通。</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负责组织公司文件收发、记录与资料存档管理工作。</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负责组织收集、分发和宣贯国家有关的法律、法规、政策以及与公司服务有关的规范；</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根据公司各部门工作开展需要，制定公司人力发展规划，确保公司人力资源储备。</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负责组织质量、环境、职业健康体系文件和技术文件、资料、记录及外来文件的归档管理工作（包括处置）；</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组织、实施公司内、外质量、环境、业健康安全体系审核，纠正并控制质量、职业健康安全管理体系标准实施过程中的不合格项，参与管理评审；</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负责公司的环境因素识别汇总、评价及更新；</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负责组织对识别出的危险源按照要求进行运行控制检查、合规性评价、公司应急救援与演练。</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负责组织识别并编制本部门的环境因素和危险源。</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负责组织采购合同的登记</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负责组织合格供方的评定</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负责组织公司环境安全有关工作的完善</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负责组织公司环境安全日常运行检查</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负责组织安全目标的制定及进度检查执行</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负责组织安全法律法规收集及合规性评价</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负责组织建立各岗位的《岗位任职说明书》等职责文件，以明确各部门及全体工作人员在QES体系中的职责和权限。</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负责公司资金管理，质量环境及职业健康安全管理体系运行的资金保障；</w:t>
            </w:r>
          </w:p>
          <w:p>
            <w:pPr>
              <w:numPr>
                <w:ilvl w:val="0"/>
                <w:numId w:val="1"/>
              </w:numPr>
              <w:spacing w:line="360" w:lineRule="auto"/>
              <w:ind w:left="0" w:firstLine="0"/>
              <w:rPr>
                <w:rFonts w:hint="eastAsia" w:ascii="宋体" w:hAnsi="宋体" w:cs="宋体"/>
                <w:sz w:val="21"/>
                <w:szCs w:val="21"/>
              </w:rPr>
            </w:pPr>
            <w:r>
              <w:rPr>
                <w:rFonts w:hint="eastAsia" w:ascii="宋体" w:hAnsi="宋体" w:cs="宋体"/>
                <w:sz w:val="21"/>
                <w:szCs w:val="21"/>
              </w:rPr>
              <w:t>负责公司职业健康、环境体系运行的资金支持。</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提供岗位职责与任职要求，对岗位职责和任职条件进行了描述。</w:t>
            </w:r>
          </w:p>
          <w:p>
            <w:pPr>
              <w:numPr>
                <w:ilvl w:val="0"/>
                <w:numId w:val="0"/>
              </w:numPr>
              <w:spacing w:line="360" w:lineRule="auto"/>
              <w:ind w:leftChars="0" w:firstLine="420" w:firstLineChars="200"/>
              <w:rPr>
                <w:rFonts w:ascii="楷体" w:hAnsi="楷体" w:eastAsia="楷体" w:cs="楷体"/>
                <w:sz w:val="24"/>
                <w:szCs w:val="24"/>
              </w:rPr>
            </w:pPr>
            <w:r>
              <w:rPr>
                <w:rFonts w:hint="eastAsia" w:ascii="宋体" w:hAnsi="宋体" w:eastAsia="宋体" w:cs="宋体"/>
                <w:sz w:val="21"/>
                <w:szCs w:val="21"/>
              </w:rPr>
              <w:t>职责和权限与手册描述基本一致</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cs="Arial" w:asciiTheme="minorEastAsia" w:hAnsiTheme="minorEastAsia" w:eastAsiaTheme="minorEastAsia"/>
                <w:szCs w:val="21"/>
              </w:rPr>
              <w:t>环境因素/危险源的辨识与评价</w:t>
            </w:r>
          </w:p>
        </w:tc>
        <w:tc>
          <w:tcPr>
            <w:tcW w:w="960" w:type="dxa"/>
            <w:vAlign w:val="center"/>
          </w:tcPr>
          <w:p>
            <w:pPr>
              <w:rPr>
                <w:rFonts w:ascii="楷体" w:hAnsi="楷体" w:eastAsia="楷体" w:cs="楷体"/>
                <w:sz w:val="24"/>
                <w:szCs w:val="24"/>
              </w:rPr>
            </w:pPr>
            <w:r>
              <w:rPr>
                <w:rFonts w:ascii="楷体" w:hAnsi="楷体" w:eastAsia="楷体" w:cs="楷体"/>
                <w:sz w:val="24"/>
                <w:szCs w:val="24"/>
              </w:rPr>
              <w:t>EO:6.1.2</w:t>
            </w:r>
          </w:p>
        </w:tc>
        <w:tc>
          <w:tcPr>
            <w:tcW w:w="10004" w:type="dxa"/>
            <w:vAlign w:val="center"/>
          </w:tcPr>
          <w:p>
            <w:pPr>
              <w:ind w:firstLine="420" w:firstLineChars="200"/>
              <w:rPr>
                <w:rFonts w:ascii="楷体" w:hAnsi="楷体" w:eastAsia="楷体" w:cs="楷体"/>
                <w:sz w:val="24"/>
                <w:szCs w:val="24"/>
              </w:rPr>
            </w:pPr>
            <w:r>
              <w:rPr>
                <w:rFonts w:hint="eastAsia" w:ascii="宋体" w:hAnsi="宋体" w:eastAsia="宋体" w:cs="宋体"/>
                <w:sz w:val="21"/>
                <w:szCs w:val="21"/>
              </w:rPr>
              <w:t>制定《环境因素的识别与评价控制程序》、《</w:t>
            </w:r>
            <w:r>
              <w:rPr>
                <w:rFonts w:hint="eastAsia" w:ascii="宋体" w:hAnsi="宋体"/>
                <w:szCs w:val="21"/>
              </w:rPr>
              <w:t>危险源辨别和风险评价控制程序</w:t>
            </w:r>
            <w:r>
              <w:rPr>
                <w:rFonts w:hint="eastAsia" w:ascii="宋体" w:hAnsi="宋体" w:eastAsia="宋体" w:cs="宋体"/>
                <w:sz w:val="21"/>
                <w:szCs w:val="21"/>
              </w:rPr>
              <w:t>》。策划的方法为打分法、 调查表</w:t>
            </w:r>
            <w:r>
              <w:rPr>
                <w:rFonts w:hint="eastAsia" w:ascii="宋体" w:hAnsi="宋体" w:eastAsia="宋体" w:cs="宋体"/>
                <w:sz w:val="21"/>
                <w:szCs w:val="21"/>
                <w:lang w:eastAsia="zh-CN"/>
              </w:rPr>
              <w:t>、</w:t>
            </w:r>
            <w:r>
              <w:rPr>
                <w:rFonts w:hint="eastAsia" w:ascii="宋体" w:hAnsi="宋体" w:eastAsia="宋体" w:cs="宋体"/>
                <w:color w:val="auto"/>
                <w:sz w:val="21"/>
                <w:szCs w:val="21"/>
              </w:rPr>
              <w:t>是非判断法等</w:t>
            </w:r>
            <w:r>
              <w:rPr>
                <w:rFonts w:hint="eastAsia" w:ascii="宋体" w:hAnsi="宋体" w:eastAsia="宋体" w:cs="宋体"/>
                <w:sz w:val="21"/>
                <w:szCs w:val="21"/>
              </w:rPr>
              <w:t>。主要是对办公活动及业务过程进行了识别和评价，2021.</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进行识别和评价，提供“环境因素清单”共 </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项。按照区域、活动予以了识别和评价，经查包括空调使用、电脑使用、打印机使用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办公用品</w:t>
            </w:r>
            <w:r>
              <w:rPr>
                <w:rFonts w:hint="eastAsia" w:ascii="宋体" w:hAnsi="宋体" w:eastAsia="宋体" w:cs="宋体"/>
                <w:sz w:val="21"/>
                <w:szCs w:val="21"/>
              </w:rPr>
              <w:t>等办公过程固体废弃物排放、废弃灯管、</w:t>
            </w:r>
            <w:r>
              <w:rPr>
                <w:rFonts w:hint="eastAsia" w:ascii="宋体" w:hAnsi="宋体" w:eastAsia="宋体" w:cs="宋体"/>
                <w:sz w:val="21"/>
                <w:szCs w:val="21"/>
                <w:lang w:val="en-US" w:eastAsia="zh-CN"/>
              </w:rPr>
              <w:t>打印耗材</w:t>
            </w:r>
            <w:r>
              <w:rPr>
                <w:rFonts w:hint="eastAsia" w:ascii="宋体" w:hAnsi="宋体" w:eastAsia="宋体" w:cs="宋体"/>
                <w:sz w:val="21"/>
                <w:szCs w:val="21"/>
              </w:rPr>
              <w:t>等对环境的影响等。策划的方法主要是管理制度。经评价重大环境因素2 项：</w:t>
            </w:r>
            <w:r>
              <w:rPr>
                <w:rFonts w:hint="eastAsia"/>
                <w:szCs w:val="22"/>
                <w:lang w:val="en-US" w:eastAsia="zh-CN"/>
              </w:rPr>
              <w:t>潜在火灾和爆炸</w:t>
            </w:r>
            <w:r>
              <w:rPr>
                <w:rFonts w:hint="eastAsia" w:ascii="宋体" w:hAnsi="宋体" w:eastAsia="宋体" w:cs="宋体"/>
                <w:sz w:val="21"/>
                <w:szCs w:val="21"/>
                <w:lang w:eastAsia="zh-CN"/>
              </w:rPr>
              <w:t>、</w:t>
            </w:r>
            <w:r>
              <w:rPr>
                <w:rFonts w:hint="eastAsia"/>
                <w:lang w:eastAsia="zh-CN"/>
              </w:rPr>
              <w:t>固体废弃物</w:t>
            </w:r>
            <w:r>
              <w:rPr>
                <w:rFonts w:hint="eastAsia" w:ascii="宋体" w:hAnsi="宋体" w:eastAsia="宋体" w:cs="宋体"/>
                <w:sz w:val="21"/>
                <w:szCs w:val="21"/>
              </w:rPr>
              <w:t xml:space="preserve">，制定应急准备与响应程序进行控制；提供“危险源识别评价表”共 </w:t>
            </w:r>
            <w:r>
              <w:rPr>
                <w:rFonts w:hint="eastAsia" w:ascii="宋体" w:hAnsi="宋体" w:eastAsia="宋体" w:cs="宋体"/>
                <w:sz w:val="21"/>
                <w:szCs w:val="21"/>
                <w:lang w:val="en-US" w:eastAsia="zh-CN"/>
              </w:rPr>
              <w:t>25</w:t>
            </w:r>
            <w:r>
              <w:rPr>
                <w:rFonts w:hint="eastAsia" w:ascii="宋体" w:hAnsi="宋体" w:eastAsia="宋体" w:cs="宋体"/>
                <w:sz w:val="21"/>
                <w:szCs w:val="21"/>
              </w:rPr>
              <w:t>项，按照办公区域、活动和过程的予以了识别和评价，经查包括办公电器</w:t>
            </w:r>
            <w:r>
              <w:rPr>
                <w:rFonts w:hint="eastAsia" w:ascii="宋体" w:hAnsi="宋体" w:eastAsia="宋体" w:cs="宋体"/>
                <w:sz w:val="21"/>
                <w:szCs w:val="21"/>
                <w:lang w:val="en-US" w:eastAsia="zh-CN"/>
              </w:rPr>
              <w:t>操作</w:t>
            </w:r>
            <w:r>
              <w:rPr>
                <w:rFonts w:hint="eastAsia" w:ascii="宋体" w:hAnsi="宋体" w:eastAsia="宋体" w:cs="宋体"/>
                <w:sz w:val="21"/>
                <w:szCs w:val="21"/>
              </w:rPr>
              <w:t>、线路老化、电脑辐射、人员外出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用电、消防</w:t>
            </w:r>
            <w:r>
              <w:rPr>
                <w:rFonts w:hint="eastAsia" w:ascii="宋体" w:hAnsi="宋体" w:eastAsia="宋体" w:cs="宋体"/>
                <w:sz w:val="21"/>
                <w:szCs w:val="21"/>
              </w:rPr>
              <w:t>活动等过程可能产生的危险情况等，策划的方法主要是安全教育培训、进行检查和执行规章制度、制度目标和管理方案等。经评价</w:t>
            </w:r>
            <w:r>
              <w:rPr>
                <w:rFonts w:hint="eastAsia" w:ascii="宋体" w:hAnsi="宋体" w:eastAsia="宋体" w:cs="宋体"/>
                <w:sz w:val="21"/>
                <w:szCs w:val="21"/>
                <w:lang w:val="en-US" w:eastAsia="zh-CN"/>
              </w:rPr>
              <w:t>办公场所各部门</w:t>
            </w:r>
            <w:r>
              <w:rPr>
                <w:rFonts w:hint="eastAsia" w:ascii="宋体" w:hAnsi="宋体" w:eastAsia="宋体" w:cs="宋体"/>
                <w:sz w:val="21"/>
                <w:szCs w:val="21"/>
              </w:rPr>
              <w:t>重大危险源2项：潜在火灾</w:t>
            </w:r>
            <w:r>
              <w:rPr>
                <w:rFonts w:hint="eastAsia" w:ascii="宋体" w:hAnsi="宋体" w:eastAsia="宋体" w:cs="宋体"/>
                <w:sz w:val="21"/>
                <w:szCs w:val="21"/>
                <w:lang w:val="en-US" w:eastAsia="zh-CN"/>
              </w:rPr>
              <w:t>和爆炸</w:t>
            </w:r>
            <w:r>
              <w:rPr>
                <w:rFonts w:hint="eastAsia" w:ascii="宋体" w:hAnsi="宋体" w:eastAsia="宋体" w:cs="宋体"/>
                <w:sz w:val="21"/>
                <w:szCs w:val="21"/>
                <w:lang w:eastAsia="zh-CN"/>
              </w:rPr>
              <w:t>、</w:t>
            </w:r>
            <w:r>
              <w:rPr>
                <w:rFonts w:hint="eastAsia" w:ascii="宋体" w:hAnsi="宋体" w:eastAsia="宋体" w:cs="宋体"/>
                <w:sz w:val="21"/>
                <w:szCs w:val="21"/>
              </w:rPr>
              <w:t>触电。制定管理方案应急准备与响应程序进行控制，</w:t>
            </w:r>
            <w:r>
              <w:rPr>
                <w:rFonts w:hint="eastAsia" w:ascii="宋体" w:hAnsi="宋体" w:eastAsia="宋体" w:cs="宋体"/>
                <w:sz w:val="21"/>
                <w:szCs w:val="21"/>
                <w:lang w:val="en-US" w:eastAsia="zh-CN"/>
              </w:rPr>
              <w:t>通过电话沟通确认与</w:t>
            </w:r>
            <w:r>
              <w:rPr>
                <w:rFonts w:hint="eastAsia" w:ascii="宋体" w:hAnsi="宋体" w:eastAsia="宋体" w:cs="宋体"/>
                <w:sz w:val="21"/>
                <w:szCs w:val="21"/>
              </w:rPr>
              <w:t>观察</w:t>
            </w:r>
            <w:r>
              <w:rPr>
                <w:rFonts w:hint="eastAsia" w:ascii="宋体" w:hAnsi="宋体" w:eastAsia="宋体" w:cs="宋体"/>
                <w:sz w:val="21"/>
                <w:szCs w:val="21"/>
                <w:lang w:val="en-US" w:eastAsia="zh-CN"/>
              </w:rPr>
              <w:t>办公场所环境等确认</w:t>
            </w:r>
            <w:r>
              <w:rPr>
                <w:rFonts w:hint="eastAsia" w:ascii="宋体" w:hAnsi="宋体" w:eastAsia="宋体" w:cs="宋体"/>
                <w:sz w:val="21"/>
                <w:szCs w:val="21"/>
              </w:rPr>
              <w:t>环境因素和危险源识别评价基本有效。</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cs="Arial" w:asciiTheme="minorEastAsia" w:hAnsiTheme="minorEastAsia" w:eastAsiaTheme="minorEastAsia"/>
                <w:szCs w:val="21"/>
              </w:rPr>
            </w:pPr>
            <w:r>
              <w:rPr>
                <w:rFonts w:hint="eastAsia" w:cs="Arial" w:asciiTheme="minorEastAsia" w:hAnsiTheme="minorEastAsia" w:eastAsiaTheme="minorEastAsia"/>
                <w:szCs w:val="21"/>
              </w:rPr>
              <w:t>合规义务</w:t>
            </w:r>
          </w:p>
        </w:tc>
        <w:tc>
          <w:tcPr>
            <w:tcW w:w="960" w:type="dxa"/>
            <w:vAlign w:val="center"/>
          </w:tcPr>
          <w:p>
            <w:pPr>
              <w:rPr>
                <w:rFonts w:ascii="楷体" w:hAnsi="楷体" w:eastAsia="楷体" w:cs="楷体"/>
                <w:sz w:val="24"/>
                <w:szCs w:val="24"/>
              </w:rPr>
            </w:pPr>
            <w:r>
              <w:rPr>
                <w:rFonts w:ascii="楷体" w:hAnsi="楷体" w:eastAsia="楷体" w:cs="楷体"/>
                <w:sz w:val="24"/>
                <w:szCs w:val="24"/>
              </w:rPr>
              <w:t>EO:6.1.3</w:t>
            </w:r>
          </w:p>
        </w:tc>
        <w:tc>
          <w:tcPr>
            <w:tcW w:w="10004" w:type="dxa"/>
            <w:vAlign w:val="center"/>
          </w:tcPr>
          <w:p>
            <w:pPr>
              <w:jc w:val="left"/>
              <w:rPr>
                <w:rFonts w:ascii="宋体" w:hAnsi="宋体"/>
                <w:b/>
                <w:sz w:val="36"/>
                <w:szCs w:val="36"/>
              </w:rPr>
            </w:pPr>
            <w:r>
              <w:rPr>
                <w:rFonts w:ascii="楷体" w:hAnsi="楷体" w:eastAsia="楷体" w:cs="楷体"/>
                <w:sz w:val="24"/>
                <w:szCs w:val="24"/>
              </w:rPr>
              <w:t xml:space="preserve">   </w:t>
            </w:r>
            <w:r>
              <w:rPr>
                <w:rFonts w:hint="eastAsia" w:ascii="宋体" w:hAnsi="宋体" w:eastAsia="宋体" w:cs="宋体"/>
                <w:sz w:val="21"/>
                <w:szCs w:val="21"/>
              </w:rPr>
              <w:t>依据公司编制的《法律法规和其他要求获取、识别控制程序》，据此对环境和职业健康安全运行适用的法律法规进行识别，建立了法律法规获取的渠道，主要渠道有：上级主管部门、行业协会、互联网、环保机构的网站、</w:t>
            </w:r>
            <w:r>
              <w:rPr>
                <w:rFonts w:hint="eastAsia" w:ascii="宋体" w:hAnsi="宋体" w:eastAsia="宋体" w:cs="宋体"/>
                <w:sz w:val="21"/>
                <w:szCs w:val="21"/>
                <w:lang w:val="en-US" w:eastAsia="zh-CN"/>
              </w:rPr>
              <w:t>水利部</w:t>
            </w:r>
            <w:r>
              <w:rPr>
                <w:rFonts w:hint="eastAsia" w:ascii="宋体" w:hAnsi="宋体" w:eastAsia="宋体" w:cs="宋体"/>
                <w:sz w:val="21"/>
                <w:szCs w:val="21"/>
              </w:rPr>
              <w:t>相关网站、行业网站等；定期对法律法规信息的变化情况进行跟踪，并全公司范围内进行通报。 提供“法律法规及其它需求清单”，共收集与环境安全有关的法律法规</w:t>
            </w:r>
            <w:r>
              <w:rPr>
                <w:rFonts w:hint="eastAsia" w:ascii="宋体" w:hAnsi="宋体" w:eastAsia="宋体" w:cs="宋体"/>
                <w:sz w:val="21"/>
                <w:szCs w:val="21"/>
                <w:lang w:val="en-US" w:eastAsia="zh-CN"/>
              </w:rPr>
              <w:t>155</w:t>
            </w:r>
            <w:r>
              <w:rPr>
                <w:rFonts w:hint="eastAsia" w:ascii="宋体" w:hAnsi="宋体" w:eastAsia="宋体" w:cs="宋体"/>
                <w:sz w:val="21"/>
                <w:szCs w:val="21"/>
              </w:rPr>
              <w:t>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涵盖国家、地区、行业的标准法规要求等，基本覆盖完全，符合要求</w:t>
            </w:r>
            <w:r>
              <w:rPr>
                <w:rFonts w:hint="eastAsia" w:ascii="宋体" w:hAnsi="宋体" w:eastAsia="宋体" w:cs="宋体"/>
                <w:sz w:val="21"/>
                <w:szCs w:val="21"/>
              </w:rPr>
              <w:t>。</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cs="Arial" w:asciiTheme="minorEastAsia" w:hAnsiTheme="minorEastAsia" w:eastAsiaTheme="minorEastAsia"/>
                <w:szCs w:val="21"/>
              </w:rPr>
            </w:pPr>
            <w:r>
              <w:rPr>
                <w:rFonts w:hint="eastAsia" w:cs="Arial" w:asciiTheme="minorEastAsia" w:hAnsiTheme="minorEastAsia" w:eastAsiaTheme="minorEastAsia"/>
                <w:szCs w:val="21"/>
              </w:rPr>
              <w:t>措施的策划</w:t>
            </w:r>
          </w:p>
        </w:tc>
        <w:tc>
          <w:tcPr>
            <w:tcW w:w="960" w:type="dxa"/>
            <w:vAlign w:val="center"/>
          </w:tcPr>
          <w:p>
            <w:pPr>
              <w:rPr>
                <w:rFonts w:ascii="楷体" w:hAnsi="楷体" w:eastAsia="楷体" w:cs="楷体"/>
                <w:sz w:val="24"/>
                <w:szCs w:val="24"/>
              </w:rPr>
            </w:pPr>
            <w:r>
              <w:rPr>
                <w:rFonts w:ascii="楷体" w:hAnsi="楷体" w:eastAsia="楷体" w:cs="楷体"/>
                <w:sz w:val="24"/>
                <w:szCs w:val="24"/>
              </w:rPr>
              <w:t>EO:6.1.4</w:t>
            </w:r>
          </w:p>
        </w:tc>
        <w:tc>
          <w:tcPr>
            <w:tcW w:w="10004" w:type="dxa"/>
            <w:vAlign w:val="center"/>
          </w:tcPr>
          <w:p>
            <w:pPr>
              <w:ind w:firstLine="420" w:firstLineChars="200"/>
              <w:jc w:val="left"/>
              <w:rPr>
                <w:rFonts w:hint="eastAsia"/>
                <w:lang w:eastAsia="zh-CN"/>
              </w:rPr>
            </w:pPr>
            <w:r>
              <w:rPr>
                <w:rFonts w:hint="eastAsia"/>
                <w:lang w:val="en-US" w:eastAsia="zh-CN"/>
              </w:rPr>
              <w:t>通过沟通与文件检查，</w:t>
            </w:r>
            <w:r>
              <w:rPr>
                <w:rFonts w:hint="eastAsia"/>
              </w:rPr>
              <w:t>查本组织已确定了：重要环境因素、合规义务、风险和机遇</w:t>
            </w:r>
            <w:r>
              <w:rPr>
                <w:rFonts w:hint="eastAsia"/>
                <w:lang w:eastAsia="zh-CN"/>
              </w:rPr>
              <w:t>、</w:t>
            </w:r>
            <w:r>
              <w:rPr>
                <w:rFonts w:hint="eastAsia"/>
              </w:rPr>
              <w:t>应对法律法规要求和其他要求</w:t>
            </w:r>
            <w:r>
              <w:rPr>
                <w:rFonts w:hint="eastAsia"/>
                <w:lang w:eastAsia="zh-CN"/>
              </w:rPr>
              <w:t>、</w:t>
            </w:r>
            <w:r>
              <w:rPr>
                <w:rFonts w:hint="eastAsia"/>
              </w:rPr>
              <w:t>对紧急情况做准备和响应的相关信息；计划采取的措施并已形成文件化信息包括、具体涵盖：源头削减或消除（污染）、环境合理设计开发、过程、产品或技术的变更和有效利用，减少污染、再利用或循环使用；控制污染等；</w:t>
            </w:r>
            <w:r>
              <w:rPr>
                <w:rFonts w:hint="eastAsia"/>
                <w:lang w:val="en-US" w:eastAsia="zh-CN"/>
              </w:rPr>
              <w:t>法律法规的收集评价与落实，</w:t>
            </w:r>
            <w:r>
              <w:rPr>
                <w:rFonts w:hint="eastAsia"/>
              </w:rPr>
              <w:t>有措施有效性评价的内容、评价人符合规定</w:t>
            </w:r>
            <w:r>
              <w:rPr>
                <w:rFonts w:hint="eastAsia"/>
                <w:lang w:eastAsia="zh-CN"/>
              </w:rPr>
              <w:t>。</w:t>
            </w:r>
          </w:p>
          <w:p>
            <w:pPr>
              <w:ind w:firstLine="420" w:firstLineChars="200"/>
              <w:jc w:val="left"/>
              <w:rPr>
                <w:rFonts w:hint="eastAsia" w:eastAsia="宋体"/>
                <w:lang w:eastAsia="zh-CN"/>
              </w:rPr>
            </w:pPr>
            <w:r>
              <w:rPr>
                <w:rFonts w:hint="eastAsia"/>
              </w:rPr>
              <w:t>组织基本考虑控制的层级和</w:t>
            </w:r>
            <w:r>
              <w:rPr>
                <w:rFonts w:hint="eastAsia"/>
                <w:lang w:val="en-US" w:eastAsia="zh-CN"/>
              </w:rPr>
              <w:t>环境、</w:t>
            </w:r>
            <w:r>
              <w:rPr>
                <w:rFonts w:hint="eastAsia"/>
              </w:rPr>
              <w:t>职业健康安全管理体系的输出。且考虑了最佳操作实践、技术可选方案，财务、运行和经营要求。基本符合要求</w:t>
            </w:r>
            <w:r>
              <w:rPr>
                <w:rFonts w:hint="eastAsia"/>
                <w:lang w:eastAsia="zh-CN"/>
              </w:rPr>
              <w:t>。</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管理</w:t>
            </w:r>
          </w:p>
          <w:p>
            <w:pPr>
              <w:rPr>
                <w:rFonts w:ascii="楷体" w:hAnsi="楷体" w:eastAsia="楷体" w:cs="楷体"/>
                <w:sz w:val="24"/>
                <w:szCs w:val="24"/>
              </w:rPr>
            </w:pPr>
            <w:r>
              <w:rPr>
                <w:rFonts w:hint="eastAsia" w:ascii="楷体" w:hAnsi="楷体" w:eastAsia="楷体" w:cs="楷体"/>
                <w:sz w:val="24"/>
                <w:szCs w:val="24"/>
              </w:rPr>
              <w:t>目标</w:t>
            </w:r>
          </w:p>
        </w:tc>
        <w:tc>
          <w:tcPr>
            <w:tcW w:w="960" w:type="dxa"/>
            <w:vAlign w:val="center"/>
          </w:tcPr>
          <w:p>
            <w:pPr>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rPr>
              <w:t xml:space="preserve"> 6.2</w:t>
            </w:r>
          </w:p>
          <w:p>
            <w:pPr>
              <w:pStyle w:val="2"/>
            </w:pPr>
            <w:r>
              <w:rPr>
                <w:rFonts w:hint="eastAsia"/>
              </w:rPr>
              <w:t>E</w:t>
            </w:r>
            <w:r>
              <w:t>O</w:t>
            </w:r>
            <w:r>
              <w:rPr>
                <w:rFonts w:hint="eastAsia"/>
              </w:rPr>
              <w:t>：6</w:t>
            </w:r>
            <w:r>
              <w:t>.2.1</w:t>
            </w:r>
            <w:r>
              <w:rPr>
                <w:rFonts w:hint="eastAsia"/>
              </w:rPr>
              <w:t>、6</w:t>
            </w:r>
            <w:r>
              <w:t>.2.2</w:t>
            </w:r>
          </w:p>
        </w:tc>
        <w:tc>
          <w:tcPr>
            <w:tcW w:w="10004" w:type="dxa"/>
            <w:vAlign w:val="center"/>
          </w:tcPr>
          <w:p>
            <w:pPr>
              <w:widowControl/>
              <w:numPr>
                <w:ilvl w:val="0"/>
                <w:numId w:val="0"/>
              </w:numPr>
              <w:snapToGrid w:val="0"/>
              <w:spacing w:line="240" w:lineRule="auto"/>
              <w:ind w:right="-105" w:rightChars="-5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通过沟通与文件检查，确认其</w:t>
            </w:r>
            <w:r>
              <w:rPr>
                <w:rFonts w:hint="eastAsia" w:ascii="宋体" w:hAnsi="宋体" w:eastAsia="宋体" w:cs="宋体"/>
                <w:kern w:val="0"/>
                <w:sz w:val="21"/>
                <w:szCs w:val="21"/>
              </w:rPr>
              <w:t>分解到该部门的质量目标及完成情况如下：</w:t>
            </w:r>
          </w:p>
          <w:p>
            <w:pP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公司内部体系文件受控率100%；</w:t>
            </w:r>
            <w:r>
              <w:rPr>
                <w:rFonts w:hint="eastAsia" w:ascii="宋体" w:hAnsi="宋体" w:eastAsia="宋体" w:cs="宋体"/>
                <w:kern w:val="0"/>
                <w:sz w:val="21"/>
                <w:szCs w:val="21"/>
                <w:lang w:val="en-US" w:eastAsia="zh-CN"/>
              </w:rPr>
              <w:t xml:space="preserve">                                    </w:t>
            </w:r>
            <w:r>
              <w:rPr>
                <w:rFonts w:hint="eastAsia" w:ascii="宋体" w:hAnsi="宋体"/>
                <w:color w:val="auto"/>
                <w:kern w:val="0"/>
                <w:sz w:val="21"/>
                <w:szCs w:val="21"/>
                <w:lang w:val="en-US" w:eastAsia="zh-CN"/>
              </w:rPr>
              <w:t>受控率100%，达成；</w:t>
            </w:r>
          </w:p>
          <w:p>
            <w:pP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文件发放及时率100%；                                               </w:t>
            </w:r>
            <w:r>
              <w:rPr>
                <w:rFonts w:hint="eastAsia" w:ascii="宋体" w:hAnsi="宋体"/>
                <w:color w:val="auto"/>
                <w:kern w:val="0"/>
                <w:sz w:val="21"/>
                <w:szCs w:val="21"/>
                <w:lang w:val="en-US" w:eastAsia="zh-CN"/>
              </w:rPr>
              <w:t>100%，达成；</w:t>
            </w:r>
          </w:p>
          <w:p>
            <w:pP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3）培训计划完成100%；                                                 100%，达成；</w:t>
            </w:r>
          </w:p>
          <w:p>
            <w:pPr>
              <w:widowControl/>
              <w:numPr>
                <w:ilvl w:val="0"/>
                <w:numId w:val="2"/>
              </w:numPr>
              <w:snapToGrid w:val="0"/>
              <w:spacing w:line="240" w:lineRule="auto"/>
              <w:ind w:right="-105" w:rightChars="-5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避免危险有害废弃物违规排放，对其分类处理率100%；</w:t>
            </w:r>
            <w:r>
              <w:rPr>
                <w:rFonts w:hint="eastAsia" w:ascii="宋体" w:hAnsi="宋体" w:eastAsia="宋体" w:cs="宋体"/>
                <w:kern w:val="0"/>
                <w:sz w:val="21"/>
                <w:szCs w:val="21"/>
                <w:lang w:val="en-US" w:eastAsia="zh-CN"/>
              </w:rPr>
              <w:t xml:space="preserve">       无违规排放，</w:t>
            </w:r>
            <w:r>
              <w:rPr>
                <w:rFonts w:hint="eastAsia" w:ascii="宋体" w:hAnsi="宋体"/>
                <w:color w:val="auto"/>
                <w:kern w:val="0"/>
                <w:sz w:val="21"/>
                <w:szCs w:val="21"/>
                <w:lang w:val="en-US" w:eastAsia="zh-CN"/>
              </w:rPr>
              <w:t>分类处理率100%，达成；</w:t>
            </w:r>
          </w:p>
          <w:p>
            <w:pPr>
              <w:pStyle w:val="6"/>
              <w:numPr>
                <w:ilvl w:val="0"/>
                <w:numId w:val="2"/>
              </w:numPr>
              <w:ind w:left="0" w:leftChars="0"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年度火灾和重大安全事故（死亡、重伤）发生率为零；</w:t>
            </w:r>
            <w:r>
              <w:rPr>
                <w:rFonts w:hint="eastAsia" w:ascii="宋体" w:hAnsi="宋体" w:eastAsia="宋体" w:cs="宋体"/>
                <w:kern w:val="0"/>
                <w:sz w:val="21"/>
                <w:szCs w:val="21"/>
                <w:lang w:val="en-US" w:eastAsia="zh-CN"/>
              </w:rPr>
              <w:t xml:space="preserve">                  </w:t>
            </w:r>
            <w:r>
              <w:rPr>
                <w:rFonts w:hint="eastAsia" w:ascii="宋体" w:hAnsi="宋体"/>
                <w:color w:val="auto"/>
                <w:kern w:val="0"/>
                <w:sz w:val="21"/>
                <w:szCs w:val="21"/>
                <w:lang w:val="en-US" w:eastAsia="zh-CN"/>
              </w:rPr>
              <w:t>零事故，达成；</w:t>
            </w:r>
            <w:r>
              <w:rPr>
                <w:rFonts w:hint="eastAsia" w:ascii="宋体" w:hAnsi="宋体" w:eastAsia="宋体" w:cs="宋体"/>
                <w:kern w:val="0"/>
                <w:sz w:val="21"/>
                <w:szCs w:val="21"/>
                <w:lang w:val="en-US" w:eastAsia="zh-CN"/>
              </w:rPr>
              <w:t xml:space="preserve">     </w:t>
            </w:r>
          </w:p>
          <w:p>
            <w:pPr>
              <w:widowControl/>
              <w:numPr>
                <w:ilvl w:val="0"/>
                <w:numId w:val="0"/>
              </w:numPr>
              <w:snapToGrid w:val="0"/>
              <w:spacing w:line="240" w:lineRule="auto"/>
              <w:ind w:right="-105" w:rightChars="-5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考核日期：2022.2.23，目标全部完成。 </w:t>
            </w:r>
          </w:p>
          <w:p>
            <w:pPr>
              <w:pStyle w:val="2"/>
              <w:rPr>
                <w:rFonts w:ascii="楷体" w:hAnsi="楷体" w:eastAsia="楷体" w:cs="楷体"/>
                <w:sz w:val="24"/>
                <w:szCs w:val="24"/>
              </w:rPr>
            </w:pPr>
            <w:r>
              <w:rPr>
                <w:rFonts w:hint="eastAsia" w:ascii="宋体" w:hAnsi="宋体" w:eastAsia="宋体" w:cs="宋体"/>
                <w:bCs w:val="0"/>
                <w:spacing w:val="0"/>
                <w:kern w:val="0"/>
                <w:sz w:val="21"/>
                <w:szCs w:val="21"/>
                <w:lang w:val="en-US" w:eastAsia="zh-CN" w:bidi="ar-SA"/>
              </w:rPr>
              <w:t xml:space="preserve">     对质量、环境、职业健康安全目标进行了细化,确定实施的具体要求。建立有《环境目标指标及管理方案》和《职业健康安全目标管理方案》，其中包括有重要环境因素和重大危险源、目标 （指标）、措施、责任部门、相关部门、预算经费、期限等。 公司通过组织学习，文件下发等方式进行向员工和相关方进行宣传贯彻，并通过检查考核，检查方针和目标的实施情况。 2021年11月至今的目标均已完成，由行政人事部实施管理考核。 </w:t>
            </w:r>
            <w:r>
              <w:rPr>
                <w:rFonts w:hint="eastAsia" w:ascii="楷体" w:hAnsi="楷体" w:eastAsia="楷体" w:cs="楷体"/>
                <w:sz w:val="24"/>
                <w:szCs w:val="24"/>
              </w:rPr>
              <w:t xml:space="preserve">  </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人员</w:t>
            </w:r>
          </w:p>
          <w:p>
            <w:pPr>
              <w:rPr>
                <w:rFonts w:ascii="楷体" w:hAnsi="楷体" w:eastAsia="楷体" w:cs="楷体"/>
                <w:sz w:val="24"/>
                <w:szCs w:val="24"/>
              </w:rPr>
            </w:pPr>
            <w:r>
              <w:rPr>
                <w:rFonts w:hint="eastAsia" w:ascii="楷体" w:hAnsi="楷体" w:eastAsia="楷体" w:cs="楷体"/>
                <w:sz w:val="24"/>
                <w:szCs w:val="24"/>
              </w:rPr>
              <w:t>能力</w:t>
            </w:r>
          </w:p>
        </w:tc>
        <w:tc>
          <w:tcPr>
            <w:tcW w:w="960" w:type="dxa"/>
            <w:vAlign w:val="center"/>
          </w:tcPr>
          <w:p>
            <w:pPr>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rPr>
              <w:t>：7.1.2</w:t>
            </w:r>
          </w:p>
          <w:p>
            <w:pPr>
              <w:rPr>
                <w:rFonts w:ascii="楷体" w:hAnsi="楷体" w:eastAsia="楷体" w:cs="楷体"/>
                <w:sz w:val="24"/>
                <w:szCs w:val="24"/>
              </w:rPr>
            </w:pPr>
            <w:r>
              <w:rPr>
                <w:rFonts w:ascii="楷体" w:hAnsi="楷体" w:eastAsia="楷体" w:cs="楷体"/>
                <w:sz w:val="24"/>
                <w:szCs w:val="24"/>
              </w:rPr>
              <w:t>QEO</w:t>
            </w:r>
            <w:r>
              <w:rPr>
                <w:rFonts w:hint="eastAsia" w:ascii="楷体" w:hAnsi="楷体" w:eastAsia="楷体" w:cs="楷体"/>
                <w:sz w:val="24"/>
                <w:szCs w:val="24"/>
              </w:rPr>
              <w:t>：7.2</w:t>
            </w:r>
          </w:p>
          <w:p>
            <w:pPr>
              <w:rPr>
                <w:rFonts w:ascii="楷体" w:hAnsi="楷体" w:eastAsia="楷体" w:cs="楷体"/>
                <w:sz w:val="24"/>
                <w:szCs w:val="24"/>
              </w:rPr>
            </w:pPr>
          </w:p>
        </w:tc>
        <w:tc>
          <w:tcPr>
            <w:tcW w:w="10004" w:type="dxa"/>
            <w:vAlign w:val="center"/>
          </w:tcPr>
          <w:p>
            <w:pPr>
              <w:pStyle w:val="2"/>
              <w:rPr>
                <w:rFonts w:hint="eastAsia" w:ascii="宋体" w:hAnsi="宋体" w:eastAsia="宋体" w:cs="宋体"/>
                <w:bCs w:val="0"/>
                <w:spacing w:val="0"/>
                <w:kern w:val="0"/>
                <w:sz w:val="21"/>
                <w:szCs w:val="21"/>
                <w:lang w:val="en-US" w:eastAsia="zh-CN" w:bidi="ar-SA"/>
              </w:rPr>
            </w:pPr>
            <w:r>
              <w:rPr>
                <w:rFonts w:hint="eastAsia" w:ascii="宋体" w:hAnsi="宋体" w:eastAsia="宋体" w:cs="宋体"/>
                <w:bCs w:val="0"/>
                <w:spacing w:val="0"/>
                <w:kern w:val="0"/>
                <w:sz w:val="21"/>
                <w:szCs w:val="21"/>
                <w:lang w:val="en-US" w:eastAsia="zh-CN" w:bidi="ar-SA"/>
              </w:rPr>
              <w:t>已识别与QEO相关人员：各部门负责人、设计人员、咨询人员、业务人员、内审员、项目负责人等，提供了岗位职责与任职要求，制定有公司各级管理人员岗位职责、工程设计技术管理规定，新进员工制定岗前培训计划等。</w:t>
            </w:r>
          </w:p>
          <w:p>
            <w:pPr>
              <w:pStyle w:val="2"/>
              <w:rPr>
                <w:rFonts w:hint="eastAsia" w:ascii="宋体" w:hAnsi="宋体" w:eastAsia="宋体" w:cs="宋体"/>
                <w:bCs w:val="0"/>
                <w:spacing w:val="0"/>
                <w:kern w:val="0"/>
                <w:sz w:val="21"/>
                <w:szCs w:val="21"/>
                <w:lang w:val="en-US" w:eastAsia="zh-CN" w:bidi="ar-SA"/>
              </w:rPr>
            </w:pPr>
            <w:r>
              <w:rPr>
                <w:rFonts w:hint="eastAsia" w:ascii="宋体" w:hAnsi="宋体" w:eastAsia="宋体" w:cs="宋体"/>
                <w:bCs w:val="0"/>
                <w:spacing w:val="0"/>
                <w:kern w:val="0"/>
                <w:sz w:val="21"/>
                <w:szCs w:val="21"/>
                <w:lang w:val="en-US" w:eastAsia="zh-CN" w:bidi="ar-SA"/>
              </w:rPr>
              <w:t>人员能力评价在员工招聘时进行，不符合不予录用。主要评价专业、学历、工作经历、资质等内容。询问各部门负责人能力符合情况，均符合。</w:t>
            </w:r>
          </w:p>
          <w:p>
            <w:pPr>
              <w:pStyle w:val="2"/>
              <w:rPr>
                <w:rFonts w:hint="default" w:ascii="宋体" w:hAnsi="宋体" w:eastAsia="宋体" w:cs="宋体"/>
                <w:bCs w:val="0"/>
                <w:spacing w:val="0"/>
                <w:kern w:val="0"/>
                <w:sz w:val="21"/>
                <w:szCs w:val="21"/>
                <w:lang w:val="en-US" w:eastAsia="zh-CN" w:bidi="ar-SA"/>
              </w:rPr>
            </w:pPr>
            <w:r>
              <w:rPr>
                <w:rFonts w:hint="eastAsia" w:ascii="宋体" w:hAnsi="宋体" w:eastAsia="宋体" w:cs="宋体"/>
                <w:bCs w:val="0"/>
                <w:spacing w:val="0"/>
                <w:kern w:val="0"/>
                <w:sz w:val="21"/>
                <w:szCs w:val="21"/>
                <w:lang w:val="en-US" w:eastAsia="zh-CN" w:bidi="ar-SA"/>
              </w:rPr>
              <w:t>公司现有高级工程师10人，中级工程师6人，其中同时具备相应资质证书（咨询工程师，土木工程师、水利造价工程师、注册建造师等），人员以及能力满足要求。附部分人员资质：</w:t>
            </w:r>
          </w:p>
          <w:p>
            <w:pPr>
              <w:pStyle w:val="2"/>
            </w:pPr>
            <w:r>
              <w:drawing>
                <wp:inline distT="0" distB="0" distL="114300" distR="114300">
                  <wp:extent cx="2139950" cy="1499870"/>
                  <wp:effectExtent l="0" t="0" r="1270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139950" cy="149987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81555" cy="1524000"/>
                  <wp:effectExtent l="0" t="0" r="444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281555" cy="1524000"/>
                          </a:xfrm>
                          <a:prstGeom prst="rect">
                            <a:avLst/>
                          </a:prstGeom>
                          <a:noFill/>
                          <a:ln>
                            <a:noFill/>
                          </a:ln>
                        </pic:spPr>
                      </pic:pic>
                    </a:graphicData>
                  </a:graphic>
                </wp:inline>
              </w:drawing>
            </w:r>
          </w:p>
          <w:p>
            <w:pPr>
              <w:pStyle w:val="2"/>
              <w:rPr>
                <w:rFonts w:hint="eastAsia"/>
                <w:lang w:val="en-US" w:eastAsia="zh-CN"/>
              </w:rPr>
            </w:pPr>
          </w:p>
          <w:p>
            <w:pPr>
              <w:pStyle w:val="2"/>
              <w:rPr>
                <w:rFonts w:hint="default" w:ascii="宋体" w:hAnsi="宋体" w:eastAsia="宋体" w:cs="宋体"/>
                <w:bCs w:val="0"/>
                <w:spacing w:val="0"/>
                <w:kern w:val="0"/>
                <w:sz w:val="21"/>
                <w:szCs w:val="21"/>
                <w:lang w:val="en-US" w:eastAsia="zh-CN" w:bidi="ar-SA"/>
              </w:rPr>
            </w:pPr>
            <w:r>
              <w:drawing>
                <wp:inline distT="0" distB="0" distL="114300" distR="114300">
                  <wp:extent cx="2228215" cy="1576705"/>
                  <wp:effectExtent l="0" t="0" r="635" b="44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2228215" cy="1576705"/>
                          </a:xfrm>
                          <a:prstGeom prst="rect">
                            <a:avLst/>
                          </a:prstGeom>
                          <a:noFill/>
                          <a:ln>
                            <a:noFill/>
                          </a:ln>
                        </pic:spPr>
                      </pic:pic>
                    </a:graphicData>
                  </a:graphic>
                </wp:inline>
              </w:drawing>
            </w:r>
            <w:r>
              <w:rPr>
                <w:rFonts w:hint="eastAsia"/>
                <w:lang w:val="en-US" w:eastAsia="zh-CN"/>
              </w:rPr>
              <w:t xml:space="preserve">          </w:t>
            </w:r>
            <w:r>
              <w:rPr>
                <w:rFonts w:hint="default" w:ascii="宋体" w:hAnsi="宋体" w:eastAsia="宋体" w:cs="宋体"/>
                <w:bCs w:val="0"/>
                <w:spacing w:val="0"/>
                <w:kern w:val="0"/>
                <w:sz w:val="21"/>
                <w:szCs w:val="21"/>
                <w:lang w:val="en-US" w:eastAsia="zh-CN" w:bidi="ar-SA"/>
              </w:rPr>
              <w:drawing>
                <wp:inline distT="0" distB="0" distL="114300" distR="114300">
                  <wp:extent cx="2239645" cy="1537335"/>
                  <wp:effectExtent l="0" t="0" r="8255" b="5715"/>
                  <wp:docPr id="7" name="图片 7" descr="45ebd7f99c77fd676704e925dd4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5ebd7f99c77fd676704e925dd45772"/>
                          <pic:cNvPicPr>
                            <a:picLocks noChangeAspect="1"/>
                          </pic:cNvPicPr>
                        </pic:nvPicPr>
                        <pic:blipFill>
                          <a:blip r:embed="rId9"/>
                          <a:stretch>
                            <a:fillRect/>
                          </a:stretch>
                        </pic:blipFill>
                        <pic:spPr>
                          <a:xfrm>
                            <a:off x="0" y="0"/>
                            <a:ext cx="2239645" cy="1537335"/>
                          </a:xfrm>
                          <a:prstGeom prst="rect">
                            <a:avLst/>
                          </a:prstGeom>
                        </pic:spPr>
                      </pic:pic>
                    </a:graphicData>
                  </a:graphic>
                </wp:inline>
              </w:drawing>
            </w:r>
          </w:p>
          <w:p>
            <w:pPr>
              <w:pStyle w:val="2"/>
              <w:rPr>
                <w:rFonts w:hint="eastAsia" w:ascii="宋体" w:hAnsi="宋体" w:eastAsia="宋体" w:cs="宋体"/>
                <w:bCs w:val="0"/>
                <w:spacing w:val="0"/>
                <w:kern w:val="0"/>
                <w:sz w:val="21"/>
                <w:szCs w:val="21"/>
                <w:lang w:val="en-US" w:eastAsia="zh-CN" w:bidi="ar-SA"/>
              </w:rPr>
            </w:pPr>
          </w:p>
          <w:p>
            <w:pPr>
              <w:pStyle w:val="2"/>
              <w:rPr>
                <w:rFonts w:hint="eastAsia" w:ascii="宋体" w:hAnsi="宋体" w:eastAsia="宋体" w:cs="宋体"/>
                <w:bCs w:val="0"/>
                <w:spacing w:val="0"/>
                <w:kern w:val="0"/>
                <w:sz w:val="21"/>
                <w:szCs w:val="21"/>
                <w:lang w:val="en-US" w:eastAsia="zh-CN" w:bidi="ar-SA"/>
              </w:rPr>
            </w:pPr>
            <w:r>
              <w:rPr>
                <w:rFonts w:hint="eastAsia" w:ascii="宋体" w:hAnsi="宋体" w:eastAsia="宋体" w:cs="宋体"/>
                <w:bCs w:val="0"/>
                <w:spacing w:val="0"/>
                <w:kern w:val="0"/>
                <w:sz w:val="21"/>
                <w:szCs w:val="21"/>
                <w:lang w:val="en-US" w:eastAsia="zh-CN" w:bidi="ar-SA"/>
              </w:rPr>
              <w:t>查：《年度培训计划》，内容涵盖：三体系标准培训、体系文件讲解、</w:t>
            </w:r>
            <w:r>
              <w:rPr>
                <w:rFonts w:hint="eastAsia" w:ascii="宋体" w:hAnsi="宋体"/>
                <w:color w:val="auto"/>
                <w:sz w:val="21"/>
                <w:szCs w:val="21"/>
              </w:rPr>
              <w:t>环境因素</w:t>
            </w:r>
            <w:r>
              <w:rPr>
                <w:rFonts w:hint="eastAsia" w:ascii="宋体" w:hAnsi="宋体"/>
                <w:color w:val="auto"/>
                <w:sz w:val="21"/>
                <w:szCs w:val="21"/>
                <w:lang w:eastAsia="zh-CN"/>
              </w:rPr>
              <w:t>、</w:t>
            </w:r>
            <w:r>
              <w:rPr>
                <w:rFonts w:hint="eastAsia" w:ascii="宋体" w:hAnsi="宋体"/>
                <w:color w:val="auto"/>
                <w:sz w:val="21"/>
                <w:szCs w:val="21"/>
              </w:rPr>
              <w:t>危险源识别方法</w:t>
            </w:r>
            <w:r>
              <w:rPr>
                <w:rFonts w:hint="eastAsia" w:ascii="宋体" w:hAnsi="宋体" w:eastAsia="宋体" w:cs="宋体"/>
                <w:bCs w:val="0"/>
                <w:spacing w:val="0"/>
                <w:kern w:val="0"/>
                <w:sz w:val="21"/>
                <w:szCs w:val="21"/>
                <w:lang w:val="en-US" w:eastAsia="zh-CN" w:bidi="ar-SA"/>
              </w:rPr>
              <w:t>、</w:t>
            </w:r>
            <w:r>
              <w:rPr>
                <w:rFonts w:hint="eastAsia" w:ascii="宋体" w:hAnsi="宋体"/>
                <w:color w:val="auto"/>
                <w:sz w:val="21"/>
                <w:szCs w:val="21"/>
                <w:lang w:eastAsia="zh-CN"/>
              </w:rPr>
              <w:t>用电安全培训</w:t>
            </w:r>
            <w:r>
              <w:rPr>
                <w:rFonts w:hint="eastAsia" w:ascii="宋体" w:hAnsi="宋体" w:eastAsia="宋体" w:cs="宋体"/>
                <w:bCs w:val="0"/>
                <w:spacing w:val="0"/>
                <w:kern w:val="0"/>
                <w:sz w:val="21"/>
                <w:szCs w:val="21"/>
                <w:lang w:val="en-US" w:eastAsia="zh-CN" w:bidi="ar-SA"/>
              </w:rPr>
              <w:t>、</w:t>
            </w:r>
            <w:r>
              <w:rPr>
                <w:rFonts w:hint="eastAsia" w:ascii="宋体" w:hAnsi="宋体"/>
                <w:color w:val="auto"/>
                <w:sz w:val="21"/>
                <w:szCs w:val="21"/>
                <w:lang w:eastAsia="zh-CN"/>
              </w:rPr>
              <w:t>垃圾分类培训、</w:t>
            </w:r>
            <w:r>
              <w:rPr>
                <w:rFonts w:hint="eastAsia" w:ascii="宋体" w:hAnsi="宋体"/>
                <w:color w:val="auto"/>
                <w:szCs w:val="21"/>
              </w:rPr>
              <w:t>应急准备与响应要求</w:t>
            </w:r>
            <w:r>
              <w:rPr>
                <w:rFonts w:hint="eastAsia" w:ascii="宋体" w:hAnsi="宋体"/>
                <w:color w:val="auto"/>
                <w:szCs w:val="21"/>
                <w:lang w:eastAsia="zh-CN"/>
              </w:rPr>
              <w:t>、</w:t>
            </w:r>
            <w:r>
              <w:rPr>
                <w:rFonts w:hint="eastAsia" w:ascii="宋体" w:hAnsi="宋体"/>
                <w:color w:val="auto"/>
                <w:sz w:val="21"/>
                <w:szCs w:val="21"/>
              </w:rPr>
              <w:t>环境/职业健康安全法律法规</w:t>
            </w:r>
            <w:r>
              <w:rPr>
                <w:rFonts w:hint="eastAsia" w:ascii="宋体" w:hAnsi="宋体"/>
                <w:color w:val="auto"/>
                <w:sz w:val="21"/>
                <w:szCs w:val="21"/>
                <w:lang w:eastAsia="zh-CN"/>
              </w:rPr>
              <w:t>、</w:t>
            </w:r>
            <w:r>
              <w:rPr>
                <w:rFonts w:hint="eastAsia" w:ascii="宋体" w:hAnsi="宋体" w:eastAsia="宋体" w:cs="宋体"/>
                <w:bCs w:val="0"/>
                <w:spacing w:val="0"/>
                <w:kern w:val="0"/>
                <w:sz w:val="21"/>
                <w:szCs w:val="21"/>
                <w:lang w:val="en-US" w:eastAsia="zh-CN" w:bidi="ar-SA"/>
              </w:rPr>
              <w:t>内审员培训等。编写：</w:t>
            </w:r>
            <w:r>
              <w:rPr>
                <w:rFonts w:hint="eastAsia"/>
                <w:color w:val="auto"/>
                <w:sz w:val="24"/>
                <w:lang w:val="en-US" w:eastAsia="zh-CN"/>
              </w:rPr>
              <w:t>彭灿</w:t>
            </w:r>
            <w:r>
              <w:rPr>
                <w:rFonts w:hint="eastAsia" w:ascii="宋体" w:hAnsi="宋体" w:eastAsia="宋体" w:cs="宋体"/>
                <w:bCs w:val="0"/>
                <w:spacing w:val="0"/>
                <w:kern w:val="0"/>
                <w:sz w:val="21"/>
                <w:szCs w:val="21"/>
                <w:lang w:val="en-US" w:eastAsia="zh-CN" w:bidi="ar-SA"/>
              </w:rPr>
              <w:t xml:space="preserve">     2021.11.5     批准：</w:t>
            </w:r>
            <w:r>
              <w:rPr>
                <w:rFonts w:hint="eastAsia"/>
                <w:color w:val="auto"/>
                <w:sz w:val="24"/>
                <w:lang w:val="en-US" w:eastAsia="zh-CN"/>
              </w:rPr>
              <w:t>朱博华</w:t>
            </w:r>
            <w:r>
              <w:rPr>
                <w:rFonts w:hint="eastAsia" w:ascii="宋体" w:hAnsi="宋体" w:eastAsia="宋体" w:cs="宋体"/>
                <w:bCs w:val="0"/>
                <w:spacing w:val="0"/>
                <w:kern w:val="0"/>
                <w:sz w:val="21"/>
                <w:szCs w:val="21"/>
                <w:lang w:val="en-US" w:eastAsia="zh-CN" w:bidi="ar-SA"/>
              </w:rPr>
              <w:t xml:space="preserve">    2021.11.5</w:t>
            </w:r>
          </w:p>
          <w:p>
            <w:pPr>
              <w:rPr>
                <w:rFonts w:ascii="楷体" w:hAnsi="楷体" w:eastAsia="楷体" w:cs="楷体"/>
                <w:sz w:val="24"/>
                <w:szCs w:val="24"/>
              </w:rPr>
            </w:pP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val="en-US" w:eastAsia="zh-CN"/>
              </w:rPr>
              <w:t>查</w:t>
            </w:r>
            <w:r>
              <w:rPr>
                <w:rFonts w:hint="eastAsia" w:ascii="宋体" w:hAnsi="宋体" w:eastAsia="宋体" w:cs="Times New Roman"/>
                <w:color w:val="auto"/>
                <w:sz w:val="21"/>
                <w:szCs w:val="21"/>
                <w:lang w:eastAsia="zh-CN"/>
              </w:rPr>
              <w:t>《培训</w:t>
            </w:r>
            <w:r>
              <w:rPr>
                <w:rFonts w:hint="eastAsia" w:ascii="宋体" w:hAnsi="宋体" w:eastAsia="宋体" w:cs="Times New Roman"/>
                <w:color w:val="auto"/>
                <w:sz w:val="21"/>
                <w:szCs w:val="21"/>
                <w:lang w:val="en-US" w:eastAsia="zh-CN"/>
              </w:rPr>
              <w:t>实施记录</w:t>
            </w:r>
            <w:r>
              <w:rPr>
                <w:rFonts w:hint="eastAsia" w:ascii="宋体" w:hAnsi="宋体" w:eastAsia="宋体" w:cs="Times New Roman"/>
                <w:color w:val="auto"/>
                <w:sz w:val="21"/>
                <w:szCs w:val="21"/>
                <w:lang w:eastAsia="zh-CN"/>
              </w:rPr>
              <w:t xml:space="preserve">》 </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培训题目：质量/环境/职业健康安全管理体系标准知识</w:t>
            </w:r>
          </w:p>
          <w:p>
            <w:pPr>
              <w:spacing w:line="420" w:lineRule="exact"/>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培训内容：</w:t>
            </w:r>
          </w:p>
          <w:p>
            <w:pPr>
              <w:pStyle w:val="2"/>
              <w:ind w:firstLine="460" w:firstLineChars="200"/>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ISO9001:2015  ISO14001:2015  ISO 45001:2018质量/环境/职业健康安全管理体系标准的来历、版本信息；条款简要介绍；在</w:t>
            </w:r>
            <w:r>
              <w:rPr>
                <w:rFonts w:hint="eastAsia" w:ascii="宋体" w:hAnsi="宋体" w:eastAsia="宋体" w:cs="Times New Roman"/>
                <w:color w:val="auto"/>
                <w:sz w:val="21"/>
                <w:szCs w:val="21"/>
                <w:lang w:val="en-US" w:eastAsia="zh-CN"/>
              </w:rPr>
              <w:t>本</w:t>
            </w:r>
            <w:r>
              <w:rPr>
                <w:rFonts w:hint="eastAsia" w:ascii="宋体" w:hAnsi="宋体" w:eastAsia="宋体" w:cs="Times New Roman"/>
                <w:color w:val="auto"/>
                <w:sz w:val="21"/>
                <w:szCs w:val="21"/>
                <w:lang w:eastAsia="zh-CN"/>
              </w:rPr>
              <w:t>行业运行的作用和意义；各部门在实施标准过程中需要注意的问题；企业贯标后给日后的管理工作起到的主要作用等内容；</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培训后对参加培训人员进行口头问答测试。</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培训日期：202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lang w:eastAsia="zh-CN"/>
              </w:rPr>
              <w:t>年</w:t>
            </w:r>
            <w:r>
              <w:rPr>
                <w:rFonts w:hint="eastAsia" w:ascii="宋体" w:hAnsi="宋体" w:eastAsia="宋体" w:cs="Times New Roman"/>
                <w:color w:val="auto"/>
                <w:sz w:val="21"/>
                <w:szCs w:val="21"/>
                <w:lang w:val="en-US" w:eastAsia="zh-CN"/>
              </w:rPr>
              <w:t>11</w:t>
            </w:r>
            <w:r>
              <w:rPr>
                <w:rFonts w:hint="eastAsia" w:ascii="宋体" w:hAnsi="宋体" w:eastAsia="宋体" w:cs="Times New Roman"/>
                <w:color w:val="auto"/>
                <w:sz w:val="21"/>
                <w:szCs w:val="21"/>
                <w:lang w:eastAsia="zh-CN"/>
              </w:rPr>
              <w:t>月</w:t>
            </w:r>
            <w:r>
              <w:rPr>
                <w:rFonts w:hint="eastAsia" w:ascii="宋体" w:hAnsi="宋体" w:eastAsia="宋体" w:cs="Times New Roman"/>
                <w:color w:val="auto"/>
                <w:sz w:val="21"/>
                <w:szCs w:val="21"/>
                <w:lang w:val="en-US" w:eastAsia="zh-CN"/>
              </w:rPr>
              <w:t>12</w:t>
            </w:r>
            <w:r>
              <w:rPr>
                <w:rFonts w:hint="eastAsia" w:ascii="宋体" w:hAnsi="宋体" w:eastAsia="宋体" w:cs="Times New Roman"/>
                <w:color w:val="auto"/>
                <w:sz w:val="21"/>
                <w:szCs w:val="21"/>
                <w:lang w:eastAsia="zh-CN"/>
              </w:rPr>
              <w:t xml:space="preserve">日 </w:t>
            </w:r>
          </w:p>
          <w:p>
            <w:pPr>
              <w:pStyle w:val="2"/>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eastAsia="zh-CN"/>
              </w:rPr>
              <w:t>参加培训人员：</w:t>
            </w:r>
            <w:r>
              <w:rPr>
                <w:rFonts w:hint="eastAsia" w:ascii="宋体" w:hAnsi="宋体" w:eastAsia="宋体" w:cs="Times New Roman"/>
                <w:color w:val="auto"/>
                <w:sz w:val="21"/>
                <w:szCs w:val="21"/>
                <w:lang w:val="en-US" w:eastAsia="zh-CN"/>
              </w:rPr>
              <w:t>各部门主要负责人</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考核方</w:t>
            </w:r>
            <w:r>
              <w:rPr>
                <w:rFonts w:hint="eastAsia" w:ascii="宋体" w:hAnsi="宋体" w:eastAsia="宋体" w:cs="Times New Roman"/>
                <w:color w:val="auto"/>
                <w:sz w:val="21"/>
                <w:szCs w:val="21"/>
                <w:lang w:val="en-US" w:eastAsia="zh-CN"/>
              </w:rPr>
              <w:t xml:space="preserve">式：现场提问  </w:t>
            </w:r>
          </w:p>
          <w:p>
            <w:pPr>
              <w:pStyle w:val="2"/>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eastAsia="zh-CN"/>
              </w:rPr>
              <w:t>培训有效性评价：培训后，由培训老师对所有学员进行了口头考核，其均通过了考核，达到了培训目的，</w:t>
            </w:r>
            <w:r>
              <w:rPr>
                <w:rFonts w:hint="eastAsia" w:ascii="宋体" w:hAnsi="宋体" w:eastAsia="宋体" w:cs="Times New Roman"/>
                <w:color w:val="auto"/>
                <w:sz w:val="21"/>
                <w:szCs w:val="21"/>
                <w:lang w:val="en-US" w:eastAsia="zh-CN"/>
              </w:rPr>
              <w:t>效果良好，</w:t>
            </w:r>
            <w:r>
              <w:rPr>
                <w:rFonts w:hint="eastAsia" w:ascii="宋体" w:hAnsi="宋体" w:eastAsia="宋体" w:cs="Times New Roman"/>
                <w:color w:val="auto"/>
                <w:sz w:val="21"/>
                <w:szCs w:val="21"/>
                <w:lang w:eastAsia="zh-CN"/>
              </w:rPr>
              <w:t>本次培训有效。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lang w:eastAsia="zh-CN"/>
              </w:rPr>
              <w:t>评价人:</w:t>
            </w:r>
            <w:r>
              <w:rPr>
                <w:rFonts w:hint="eastAsia" w:ascii="宋体" w:hAnsi="宋体" w:eastAsia="宋体" w:cs="Times New Roman"/>
                <w:color w:val="auto"/>
                <w:sz w:val="21"/>
                <w:szCs w:val="21"/>
                <w:lang w:val="en-US" w:eastAsia="zh-CN"/>
              </w:rPr>
              <w:t xml:space="preserve">徐老师 </w:t>
            </w:r>
          </w:p>
          <w:p>
            <w:pPr>
              <w:rPr>
                <w:rFonts w:ascii="楷体" w:hAnsi="楷体" w:eastAsia="楷体" w:cs="楷体"/>
                <w:sz w:val="24"/>
                <w:szCs w:val="24"/>
              </w:rPr>
            </w:pP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val="en-US" w:eastAsia="zh-CN"/>
              </w:rPr>
              <w:t>查</w:t>
            </w:r>
            <w:r>
              <w:rPr>
                <w:rFonts w:hint="eastAsia" w:ascii="宋体" w:hAnsi="宋体" w:eastAsia="宋体" w:cs="Times New Roman"/>
                <w:color w:val="auto"/>
                <w:sz w:val="21"/>
                <w:szCs w:val="21"/>
                <w:lang w:eastAsia="zh-CN"/>
              </w:rPr>
              <w:t>《培训</w:t>
            </w:r>
            <w:r>
              <w:rPr>
                <w:rFonts w:hint="eastAsia" w:ascii="宋体" w:hAnsi="宋体" w:eastAsia="宋体" w:cs="Times New Roman"/>
                <w:color w:val="auto"/>
                <w:sz w:val="21"/>
                <w:szCs w:val="21"/>
                <w:lang w:val="en-US" w:eastAsia="zh-CN"/>
              </w:rPr>
              <w:t>实施记录</w:t>
            </w:r>
            <w:r>
              <w:rPr>
                <w:rFonts w:hint="eastAsia" w:ascii="宋体" w:hAnsi="宋体" w:eastAsia="宋体" w:cs="Times New Roman"/>
                <w:color w:val="auto"/>
                <w:sz w:val="21"/>
                <w:szCs w:val="21"/>
                <w:lang w:eastAsia="zh-CN"/>
              </w:rPr>
              <w:t xml:space="preserve">》 </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培训题目：垃圾分类</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培训方式：面授</w:t>
            </w:r>
          </w:p>
          <w:p>
            <w:pPr>
              <w:spacing w:line="420" w:lineRule="exact"/>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培训内容：</w:t>
            </w:r>
          </w:p>
          <w:p>
            <w:pPr>
              <w:spacing w:line="420" w:lineRule="exact"/>
              <w:ind w:firstLine="420" w:firstLineChars="200"/>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垃圾分类方法；垃圾分类的好处；怎样减少垃圾排放；培训后对参加培训人员进行口头问答测试。</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w:t>
            </w:r>
            <w:r>
              <w:rPr>
                <w:rFonts w:hint="eastAsia" w:ascii="宋体" w:hAnsi="宋体" w:eastAsia="宋体" w:cs="Times New Roman"/>
                <w:color w:val="auto"/>
                <w:sz w:val="21"/>
                <w:szCs w:val="21"/>
                <w:lang w:val="en-US" w:eastAsia="zh-CN"/>
              </w:rPr>
              <w:t>日期： 2021年12月17日</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参加培训人员：</w:t>
            </w:r>
            <w:r>
              <w:rPr>
                <w:rFonts w:hint="eastAsia" w:ascii="宋体" w:hAnsi="宋体" w:eastAsia="宋体" w:cs="Times New Roman"/>
                <w:color w:val="auto"/>
                <w:sz w:val="21"/>
                <w:szCs w:val="21"/>
                <w:lang w:val="en-US" w:eastAsia="zh-CN"/>
              </w:rPr>
              <w:t>各部门主要负责人</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 xml:space="preserve">考核方式：提问  </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培训有效性评价： 培训后，由培训老师对所有学员进行了口头考核，人员掌握了垃圾分类要求，其均通过了考核，</w:t>
            </w:r>
            <w:r>
              <w:rPr>
                <w:rFonts w:hint="eastAsia" w:ascii="宋体" w:hAnsi="宋体" w:eastAsia="宋体" w:cs="Times New Roman"/>
                <w:color w:val="auto"/>
                <w:sz w:val="21"/>
                <w:szCs w:val="21"/>
                <w:lang w:val="en-US" w:eastAsia="zh-CN"/>
              </w:rPr>
              <w:t>达到了培训目的，</w:t>
            </w:r>
            <w:r>
              <w:rPr>
                <w:rFonts w:hint="eastAsia" w:ascii="宋体" w:hAnsi="宋体" w:eastAsia="宋体" w:cs="Times New Roman"/>
                <w:color w:val="auto"/>
                <w:sz w:val="21"/>
                <w:szCs w:val="21"/>
                <w:lang w:eastAsia="zh-CN"/>
              </w:rPr>
              <w:t>培训有效。评价人:</w:t>
            </w:r>
            <w:r>
              <w:rPr>
                <w:rFonts w:hint="eastAsia" w:ascii="宋体" w:hAnsi="宋体" w:eastAsia="宋体" w:cs="Times New Roman"/>
                <w:color w:val="auto"/>
                <w:sz w:val="21"/>
                <w:szCs w:val="21"/>
                <w:lang w:val="en-US" w:eastAsia="zh-CN"/>
              </w:rPr>
              <w:t xml:space="preserve">徐老师 </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br w:type="textWrapping"/>
            </w:r>
            <w:r>
              <w:rPr>
                <w:rFonts w:hint="eastAsia" w:ascii="宋体" w:hAnsi="宋体" w:eastAsia="宋体" w:cs="Times New Roman"/>
                <w:color w:val="auto"/>
                <w:sz w:val="21"/>
                <w:szCs w:val="21"/>
                <w:lang w:eastAsia="zh-CN"/>
              </w:rPr>
              <w:t>抽《培训</w:t>
            </w:r>
            <w:r>
              <w:rPr>
                <w:rFonts w:hint="eastAsia" w:ascii="宋体" w:hAnsi="宋体" w:eastAsia="宋体" w:cs="Times New Roman"/>
                <w:color w:val="auto"/>
                <w:sz w:val="21"/>
                <w:szCs w:val="21"/>
                <w:lang w:val="en-US" w:eastAsia="zh-CN"/>
              </w:rPr>
              <w:t>实施记录</w:t>
            </w:r>
            <w:r>
              <w:rPr>
                <w:rFonts w:hint="eastAsia" w:ascii="宋体" w:hAnsi="宋体" w:eastAsia="宋体" w:cs="Times New Roman"/>
                <w:color w:val="auto"/>
                <w:sz w:val="21"/>
                <w:szCs w:val="21"/>
                <w:lang w:eastAsia="zh-CN"/>
              </w:rPr>
              <w:t xml:space="preserve">》 </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培训题目：用电安全培训</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培训方式：疫情期间线上培训</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培训内容：</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培训过程主要讲解了：电流对人体伤害；用电安全操作规；火灾，触电应急处理；</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培训日期：202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lang w:eastAsia="zh-CN"/>
              </w:rPr>
              <w:t>年</w:t>
            </w:r>
            <w:r>
              <w:rPr>
                <w:rFonts w:hint="eastAsia" w:ascii="宋体" w:hAnsi="宋体" w:eastAsia="宋体" w:cs="Times New Roman"/>
                <w:color w:val="auto"/>
                <w:sz w:val="21"/>
                <w:szCs w:val="21"/>
                <w:lang w:val="en-US" w:eastAsia="zh-CN"/>
              </w:rPr>
              <w:t>12</w:t>
            </w:r>
            <w:r>
              <w:rPr>
                <w:rFonts w:hint="eastAsia" w:ascii="宋体" w:hAnsi="宋体" w:eastAsia="宋体" w:cs="Times New Roman"/>
                <w:color w:val="auto"/>
                <w:sz w:val="21"/>
                <w:szCs w:val="21"/>
                <w:lang w:eastAsia="zh-CN"/>
              </w:rPr>
              <w:t>月</w:t>
            </w:r>
            <w:r>
              <w:rPr>
                <w:rFonts w:hint="eastAsia" w:ascii="宋体" w:hAnsi="宋体" w:eastAsia="宋体" w:cs="Times New Roman"/>
                <w:color w:val="auto"/>
                <w:sz w:val="21"/>
                <w:szCs w:val="21"/>
                <w:lang w:val="en-US" w:eastAsia="zh-CN"/>
              </w:rPr>
              <w:t>3</w:t>
            </w:r>
            <w:r>
              <w:rPr>
                <w:rFonts w:hint="eastAsia" w:ascii="宋体" w:hAnsi="宋体" w:eastAsia="宋体" w:cs="Times New Roman"/>
                <w:color w:val="auto"/>
                <w:sz w:val="21"/>
                <w:szCs w:val="21"/>
                <w:lang w:eastAsia="zh-CN"/>
              </w:rPr>
              <w:t>日</w:t>
            </w:r>
          </w:p>
          <w:p>
            <w:pPr>
              <w:pStyle w:val="2"/>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eastAsia="zh-CN"/>
              </w:rPr>
              <w:t>参加培训人员：</w:t>
            </w:r>
            <w:r>
              <w:rPr>
                <w:rFonts w:hint="eastAsia" w:ascii="宋体" w:hAnsi="宋体" w:eastAsia="宋体" w:cs="Times New Roman"/>
                <w:color w:val="auto"/>
                <w:sz w:val="21"/>
                <w:szCs w:val="21"/>
                <w:lang w:val="en-US" w:eastAsia="zh-CN"/>
              </w:rPr>
              <w:t>各部门主要负责人</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 xml:space="preserve">考核方式：提问  </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培训有效性评价：培训后，由培训老师对所有学员进行了口头考核，其均通过了考核，了解了公司环境、健康安全方针目标、控制手段的要点，达到了培训目的，本次培训有效。评价人:</w:t>
            </w:r>
            <w:r>
              <w:rPr>
                <w:rFonts w:hint="eastAsia" w:ascii="宋体" w:hAnsi="宋体" w:eastAsia="宋体" w:cs="Times New Roman"/>
                <w:color w:val="auto"/>
                <w:sz w:val="21"/>
                <w:szCs w:val="21"/>
                <w:lang w:val="en-US" w:eastAsia="zh-CN"/>
              </w:rPr>
              <w:t>徐老师</w:t>
            </w:r>
          </w:p>
          <w:p>
            <w:pPr>
              <w:pStyle w:val="2"/>
            </w:pPr>
          </w:p>
          <w:p>
            <w:pPr>
              <w:rPr>
                <w:rFonts w:ascii="楷体" w:hAnsi="楷体" w:eastAsia="楷体" w:cs="楷体"/>
                <w:sz w:val="24"/>
                <w:szCs w:val="24"/>
              </w:rPr>
            </w:pPr>
            <w:r>
              <w:rPr>
                <w:rFonts w:hint="eastAsia" w:ascii="宋体" w:hAnsi="宋体" w:eastAsia="宋体" w:cs="Times New Roman"/>
                <w:bCs/>
                <w:color w:val="auto"/>
                <w:spacing w:val="10"/>
                <w:kern w:val="2"/>
                <w:sz w:val="21"/>
                <w:szCs w:val="21"/>
                <w:lang w:val="en-US" w:eastAsia="zh-CN" w:bidi="ar-SA"/>
              </w:rPr>
              <w:t>另查其他培训记录，均符合要求。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组织知识</w:t>
            </w:r>
          </w:p>
        </w:tc>
        <w:tc>
          <w:tcPr>
            <w:tcW w:w="960" w:type="dxa"/>
            <w:vAlign w:val="center"/>
          </w:tcPr>
          <w:p>
            <w:pPr>
              <w:spacing w:line="360" w:lineRule="auto"/>
              <w:jc w:val="center"/>
              <w:rPr>
                <w:rFonts w:ascii="楷体" w:hAnsi="楷体" w:eastAsia="楷体" w:cs="楷体"/>
                <w:sz w:val="24"/>
                <w:szCs w:val="24"/>
              </w:rPr>
            </w:pPr>
            <w:r>
              <w:rPr>
                <w:rFonts w:hint="eastAsia" w:ascii="楷体" w:hAnsi="楷体" w:eastAsia="楷体" w:cs="楷体"/>
                <w:spacing w:val="-6"/>
                <w:sz w:val="24"/>
                <w:szCs w:val="24"/>
              </w:rPr>
              <w:t>Q:7.1.6</w:t>
            </w:r>
          </w:p>
        </w:tc>
        <w:tc>
          <w:tcPr>
            <w:tcW w:w="10004" w:type="dxa"/>
          </w:tcPr>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公司各部门按照职责从内外部各种渠道获得与其职责相关所需的知识，把知识形成各种规章制度用于指导公司的日常工作和管理，包括体系文件、支持性文件、各种记录表单。</w:t>
            </w:r>
          </w:p>
          <w:p>
            <w:pPr>
              <w:pStyle w:val="2"/>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eastAsia="zh-CN"/>
              </w:rPr>
              <w:t>从内部来源获取的有：知识产权、从经验获得的知识、从失败和成功项目中获得的教训、获取和分享未形成文件的知识和经验、过程、产品和服务的改进结果</w:t>
            </w:r>
            <w:r>
              <w:rPr>
                <w:rFonts w:hint="eastAsia" w:ascii="宋体" w:hAnsi="宋体" w:eastAsia="宋体" w:cs="Times New Roman"/>
                <w:color w:val="auto"/>
                <w:sz w:val="21"/>
                <w:szCs w:val="21"/>
                <w:lang w:val="en-US" w:eastAsia="zh-CN"/>
              </w:rPr>
              <w:t>等；</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外部来源获取有：标准、学术交流、专业会议以及从顾客和外部供方收集的知识等。</w:t>
            </w:r>
          </w:p>
          <w:p>
            <w:pPr>
              <w:pStyle w:val="2"/>
              <w:rPr>
                <w:rFonts w:ascii="楷体" w:hAnsi="楷体" w:eastAsia="楷体" w:cs="楷体"/>
                <w:sz w:val="24"/>
                <w:szCs w:val="24"/>
              </w:rPr>
            </w:pPr>
            <w:r>
              <w:rPr>
                <w:rFonts w:hint="eastAsia" w:ascii="宋体" w:hAnsi="宋体" w:eastAsia="宋体" w:cs="Times New Roman"/>
                <w:color w:val="auto"/>
                <w:sz w:val="21"/>
                <w:szCs w:val="21"/>
                <w:lang w:eastAsia="zh-CN"/>
              </w:rPr>
              <w:t>在应对变化的需求和趋势时，相关部门考虑现有的知识，确定如何获取更多的必要的额外知识，并根据变化的情况及时更新。</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意识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QEO7.3</w:t>
            </w:r>
          </w:p>
        </w:tc>
        <w:tc>
          <w:tcPr>
            <w:tcW w:w="10004" w:type="dxa"/>
            <w:vAlign w:val="center"/>
          </w:tcPr>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行政人事部负责组织，各部门负责在日常工作中具体实施，通过员工培训、内部</w:t>
            </w:r>
            <w:r>
              <w:rPr>
                <w:rFonts w:hint="eastAsia" w:ascii="宋体" w:hAnsi="宋体" w:eastAsia="宋体" w:cs="Times New Roman"/>
                <w:color w:val="auto"/>
                <w:sz w:val="21"/>
                <w:szCs w:val="21"/>
                <w:lang w:val="en-US" w:eastAsia="zh-CN"/>
              </w:rPr>
              <w:t>OA系统、</w:t>
            </w:r>
            <w:r>
              <w:rPr>
                <w:rFonts w:hint="eastAsia" w:ascii="宋体" w:hAnsi="宋体" w:eastAsia="宋体" w:cs="Times New Roman"/>
                <w:color w:val="auto"/>
                <w:sz w:val="21"/>
                <w:szCs w:val="21"/>
                <w:lang w:eastAsia="zh-CN"/>
              </w:rPr>
              <w:t>网络、日常工作检查、考核等方式来增强员工的质量、环</w:t>
            </w:r>
            <w:r>
              <w:rPr>
                <w:rFonts w:hint="eastAsia" w:ascii="宋体" w:hAnsi="宋体" w:eastAsia="宋体" w:cs="Times New Roman"/>
                <w:color w:val="auto"/>
                <w:sz w:val="21"/>
                <w:szCs w:val="21"/>
                <w:lang w:val="en-US" w:eastAsia="zh-CN"/>
              </w:rPr>
              <w:t>境</w:t>
            </w:r>
            <w:r>
              <w:rPr>
                <w:rFonts w:hint="eastAsia" w:ascii="宋体" w:hAnsi="宋体" w:eastAsia="宋体" w:cs="Times New Roman"/>
                <w:color w:val="auto"/>
                <w:sz w:val="21"/>
                <w:szCs w:val="21"/>
                <w:lang w:eastAsia="zh-CN"/>
              </w:rPr>
              <w:t>及职业健康安全意识，使公司人员知晓管理方针及相关的管理目标、对管理体系有效性的贡献，包括改进绩效的益处；以及不符合管理体系要求可能引发的后果。确保公司内所有部门和</w:t>
            </w:r>
            <w:r>
              <w:rPr>
                <w:rFonts w:hint="eastAsia" w:ascii="宋体" w:hAnsi="宋体" w:eastAsia="宋体" w:cs="Times New Roman"/>
                <w:color w:val="auto"/>
                <w:sz w:val="21"/>
                <w:szCs w:val="21"/>
                <w:lang w:val="en-US" w:eastAsia="zh-CN"/>
              </w:rPr>
              <w:t>员工</w:t>
            </w:r>
            <w:r>
              <w:rPr>
                <w:rFonts w:hint="eastAsia" w:ascii="宋体" w:hAnsi="宋体" w:eastAsia="宋体" w:cs="Times New Roman"/>
                <w:color w:val="auto"/>
                <w:sz w:val="21"/>
                <w:szCs w:val="21"/>
                <w:lang w:eastAsia="zh-CN"/>
              </w:rPr>
              <w:t>知晓各自应承担的相关责任，清楚自己所做的工作可能产生的负面影响、以及降低这些影响的控制措施和目标/指标，并在绩效考核的约束氛围中自觉实施。</w:t>
            </w:r>
          </w:p>
          <w:p>
            <w:pPr>
              <w:pStyle w:val="2"/>
              <w:rPr>
                <w:rFonts w:ascii="楷体" w:hAnsi="楷体" w:eastAsia="楷体" w:cs="楷体"/>
                <w:sz w:val="24"/>
                <w:szCs w:val="24"/>
              </w:rPr>
            </w:pPr>
            <w:r>
              <w:rPr>
                <w:rFonts w:hint="eastAsia" w:ascii="宋体" w:hAnsi="宋体" w:eastAsia="宋体" w:cs="Times New Roman"/>
                <w:color w:val="auto"/>
                <w:sz w:val="21"/>
                <w:szCs w:val="21"/>
                <w:lang w:val="en-US" w:eastAsia="zh-CN"/>
              </w:rPr>
              <w:t>通过微信语音连接设计所王叶转接其附近同事</w:t>
            </w:r>
            <w:r>
              <w:rPr>
                <w:rFonts w:hint="eastAsia" w:ascii="宋体" w:hAnsi="宋体" w:eastAsia="宋体" w:cs="Times New Roman"/>
                <w:color w:val="auto"/>
                <w:sz w:val="21"/>
                <w:szCs w:val="21"/>
                <w:lang w:eastAsia="zh-CN"/>
              </w:rPr>
              <w:t>，询问公司管理方针和目标，及对方针的了解，能够正确回答。</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沟通、参与和协商</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QEO7.4</w:t>
            </w:r>
          </w:p>
          <w:p>
            <w:pPr>
              <w:spacing w:line="280" w:lineRule="exact"/>
              <w:rPr>
                <w:rFonts w:ascii="楷体" w:hAnsi="楷体" w:eastAsia="楷体" w:cs="楷体"/>
                <w:sz w:val="24"/>
                <w:szCs w:val="24"/>
              </w:rPr>
            </w:pPr>
          </w:p>
        </w:tc>
        <w:tc>
          <w:tcPr>
            <w:tcW w:w="10004" w:type="dxa"/>
            <w:vAlign w:val="center"/>
          </w:tcPr>
          <w:p>
            <w:pPr>
              <w:ind w:firstLine="480" w:firstLineChars="200"/>
              <w:rPr>
                <w:rFonts w:ascii="楷体" w:hAnsi="楷体" w:eastAsia="楷体" w:cs="楷体"/>
                <w:sz w:val="24"/>
                <w:szCs w:val="24"/>
              </w:rPr>
            </w:pP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策划编制管理手册的相关章节规定了企业内、外部沟通，经查阅</w:t>
            </w:r>
            <w:r>
              <w:rPr>
                <w:rFonts w:hint="eastAsia" w:ascii="宋体" w:hAnsi="宋体" w:eastAsia="宋体" w:cs="Times New Roman"/>
                <w:color w:val="auto"/>
                <w:sz w:val="21"/>
                <w:szCs w:val="21"/>
                <w:lang w:val="en-US" w:eastAsia="zh-CN"/>
              </w:rPr>
              <w:t>文件</w:t>
            </w:r>
            <w:r>
              <w:rPr>
                <w:rFonts w:hint="eastAsia" w:ascii="宋体" w:hAnsi="宋体" w:eastAsia="宋体" w:cs="Times New Roman"/>
                <w:color w:val="auto"/>
                <w:sz w:val="21"/>
                <w:szCs w:val="21"/>
                <w:lang w:eastAsia="zh-CN"/>
              </w:rPr>
              <w:t>和</w:t>
            </w:r>
            <w:r>
              <w:rPr>
                <w:rFonts w:hint="eastAsia" w:ascii="宋体" w:hAnsi="宋体" w:eastAsia="宋体" w:cs="Times New Roman"/>
                <w:color w:val="auto"/>
                <w:sz w:val="21"/>
                <w:szCs w:val="21"/>
                <w:lang w:val="en-US" w:eastAsia="zh-CN"/>
              </w:rPr>
              <w:t>远程语音沟通</w:t>
            </w:r>
            <w:r>
              <w:rPr>
                <w:rFonts w:hint="eastAsia" w:ascii="宋体" w:hAnsi="宋体" w:eastAsia="宋体" w:cs="Times New Roman"/>
                <w:color w:val="auto"/>
                <w:sz w:val="21"/>
                <w:szCs w:val="21"/>
                <w:lang w:eastAsia="zh-CN"/>
              </w:rPr>
              <w:t>符合标准要求。</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总经理负责在公司建立畅通的沟通渠道。管理者代表是公司内部和外部信息交流和沟通的负责人。</w:t>
            </w:r>
            <w:r>
              <w:rPr>
                <w:rFonts w:hint="eastAsia" w:ascii="宋体" w:hAnsi="宋体" w:eastAsia="宋体" w:cs="Times New Roman"/>
                <w:color w:val="auto"/>
                <w:sz w:val="21"/>
                <w:szCs w:val="21"/>
                <w:lang w:val="en-US" w:eastAsia="zh-CN"/>
              </w:rPr>
              <w:t>行政人事部</w:t>
            </w:r>
            <w:r>
              <w:rPr>
                <w:rFonts w:hint="eastAsia" w:ascii="宋体" w:hAnsi="宋体" w:eastAsia="宋体" w:cs="Times New Roman"/>
                <w:color w:val="auto"/>
                <w:sz w:val="21"/>
                <w:szCs w:val="21"/>
                <w:lang w:eastAsia="zh-CN"/>
              </w:rPr>
              <w:t>是公司内部和外部信息交流和协商的归口部门。负责与上级主管部门及周边单位的信息交流；负责与管理体系、法律法规等有关的内部和外部信息交流；</w:t>
            </w:r>
            <w:r>
              <w:rPr>
                <w:rFonts w:hint="eastAsia" w:ascii="宋体" w:hAnsi="宋体" w:eastAsia="宋体" w:cs="Times New Roman"/>
                <w:color w:val="auto"/>
                <w:sz w:val="21"/>
                <w:szCs w:val="21"/>
                <w:lang w:val="en-US" w:eastAsia="zh-CN"/>
              </w:rPr>
              <w:t>经营部</w:t>
            </w:r>
            <w:r>
              <w:rPr>
                <w:rFonts w:hint="eastAsia" w:ascii="宋体" w:hAnsi="宋体" w:eastAsia="宋体" w:cs="Times New Roman"/>
                <w:color w:val="auto"/>
                <w:sz w:val="21"/>
                <w:szCs w:val="21"/>
                <w:lang w:eastAsia="zh-CN"/>
              </w:rPr>
              <w:t>负责与采购供方、客户等相关方之间的沟通。各部门收集到有关职业健康安全方面的信息，包括法律法规等，及时向</w:t>
            </w:r>
            <w:r>
              <w:rPr>
                <w:rFonts w:hint="eastAsia" w:ascii="宋体" w:hAnsi="宋体" w:eastAsia="宋体" w:cs="Times New Roman"/>
                <w:color w:val="auto"/>
                <w:sz w:val="21"/>
                <w:szCs w:val="21"/>
                <w:lang w:val="en-US" w:eastAsia="zh-CN"/>
              </w:rPr>
              <w:t>行政人事部</w:t>
            </w:r>
            <w:r>
              <w:rPr>
                <w:rFonts w:hint="eastAsia" w:ascii="宋体" w:hAnsi="宋体" w:eastAsia="宋体" w:cs="Times New Roman"/>
                <w:color w:val="auto"/>
                <w:sz w:val="21"/>
                <w:szCs w:val="21"/>
                <w:lang w:eastAsia="zh-CN"/>
              </w:rPr>
              <w:t>反馈。</w:t>
            </w:r>
            <w:r>
              <w:rPr>
                <w:rFonts w:hint="eastAsia" w:ascii="宋体" w:hAnsi="宋体" w:eastAsia="宋体" w:cs="Times New Roman"/>
                <w:color w:val="auto"/>
                <w:sz w:val="21"/>
                <w:szCs w:val="21"/>
                <w:lang w:val="en-US" w:eastAsia="zh-CN"/>
              </w:rPr>
              <w:t>经营部</w:t>
            </w:r>
            <w:r>
              <w:rPr>
                <w:rFonts w:hint="eastAsia" w:ascii="宋体" w:hAnsi="宋体" w:eastAsia="宋体" w:cs="Times New Roman"/>
                <w:color w:val="auto"/>
                <w:sz w:val="21"/>
                <w:szCs w:val="21"/>
                <w:lang w:eastAsia="zh-CN"/>
              </w:rPr>
              <w:t>负责顾客要求方面的有关事宜的沟通。</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目前各项沟通都较为及时、顺畅、效果较好。</w:t>
            </w:r>
          </w:p>
          <w:p>
            <w:pPr>
              <w:spacing w:line="280" w:lineRule="exact"/>
              <w:rPr>
                <w:rFonts w:ascii="楷体" w:hAnsi="楷体" w:eastAsia="楷体" w:cs="楷体"/>
                <w:sz w:val="24"/>
                <w:szCs w:val="24"/>
              </w:rPr>
            </w:pP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楷体" w:hAnsi="楷体" w:eastAsia="楷体" w:cs="楷体"/>
                <w:sz w:val="24"/>
                <w:szCs w:val="24"/>
              </w:rPr>
            </w:pPr>
            <w:r>
              <w:rPr>
                <w:rFonts w:hint="eastAsia" w:ascii="楷体" w:hAnsi="楷体" w:eastAsia="楷体" w:cs="楷体"/>
                <w:sz w:val="24"/>
                <w:szCs w:val="24"/>
              </w:rPr>
              <w:t>成文信息</w:t>
            </w:r>
          </w:p>
        </w:tc>
        <w:tc>
          <w:tcPr>
            <w:tcW w:w="960" w:type="dxa"/>
          </w:tcPr>
          <w:p>
            <w:pPr>
              <w:spacing w:line="360" w:lineRule="auto"/>
              <w:rPr>
                <w:rFonts w:ascii="楷体" w:hAnsi="楷体" w:eastAsia="楷体" w:cs="楷体"/>
                <w:sz w:val="24"/>
                <w:szCs w:val="24"/>
              </w:rPr>
            </w:pPr>
            <w:r>
              <w:rPr>
                <w:rFonts w:hint="eastAsia" w:ascii="楷体" w:hAnsi="楷体" w:eastAsia="楷体" w:cs="楷体"/>
                <w:sz w:val="24"/>
                <w:szCs w:val="24"/>
              </w:rPr>
              <w:t>QEO:7.5</w:t>
            </w:r>
          </w:p>
          <w:p>
            <w:pPr>
              <w:pStyle w:val="2"/>
              <w:rPr>
                <w:rFonts w:ascii="楷体" w:hAnsi="楷体" w:eastAsia="楷体" w:cs="楷体"/>
                <w:sz w:val="24"/>
                <w:szCs w:val="24"/>
              </w:rPr>
            </w:pPr>
          </w:p>
        </w:tc>
        <w:tc>
          <w:tcPr>
            <w:tcW w:w="10004" w:type="dxa"/>
          </w:tcPr>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为应对相应风险和机遇，公司依据GB/T19001-2016、GB/T24001-2016、GB/T45001-2020标准的要求并结合本公司的具体情况，采取PDCA的过程方法，建立、实施、保持并持续改进质量、环境、职业健康安全管理体系。</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策划了</w:t>
            </w:r>
            <w:r>
              <w:rPr>
                <w:rFonts w:hint="eastAsia" w:ascii="宋体" w:hAnsi="宋体" w:eastAsia="宋体" w:cs="Times New Roman"/>
                <w:color w:val="auto"/>
                <w:sz w:val="21"/>
                <w:szCs w:val="21"/>
                <w:lang w:val="en-US" w:eastAsia="zh-CN"/>
              </w:rPr>
              <w:t>项目</w:t>
            </w:r>
            <w:r>
              <w:rPr>
                <w:rFonts w:hint="eastAsia" w:ascii="宋体" w:hAnsi="宋体" w:eastAsia="宋体" w:cs="Times New Roman"/>
                <w:color w:val="auto"/>
                <w:sz w:val="21"/>
                <w:szCs w:val="21"/>
                <w:lang w:eastAsia="zh-CN"/>
              </w:rPr>
              <w:t>流程</w:t>
            </w:r>
            <w:r>
              <w:rPr>
                <w:rFonts w:hint="eastAsia" w:ascii="宋体" w:hAnsi="宋体" w:cs="Times New Roman"/>
                <w:color w:val="auto"/>
                <w:sz w:val="21"/>
                <w:szCs w:val="21"/>
                <w:lang w:eastAsia="zh-CN"/>
              </w:rPr>
              <w:t>；</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策划了与业务流程相关的环境因素、危险源辨识、风险评价的程序文件和控制措施；</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策划了公司的管理体系文件，包括：</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编制《管理手册》A/0版，管理体系于2021年</w:t>
            </w:r>
            <w:r>
              <w:rPr>
                <w:rFonts w:hint="eastAsia" w:ascii="宋体" w:hAnsi="宋体" w:eastAsia="宋体" w:cs="Times New Roman"/>
                <w:color w:val="auto"/>
                <w:sz w:val="21"/>
                <w:szCs w:val="21"/>
                <w:lang w:val="en-US" w:eastAsia="zh-CN"/>
              </w:rPr>
              <w:t>11</w:t>
            </w:r>
            <w:r>
              <w:rPr>
                <w:rFonts w:hint="eastAsia" w:ascii="宋体" w:hAnsi="宋体" w:eastAsia="宋体" w:cs="Times New Roman"/>
                <w:color w:val="auto"/>
                <w:sz w:val="21"/>
                <w:szCs w:val="21"/>
                <w:lang w:eastAsia="zh-CN"/>
              </w:rPr>
              <w:t>月</w:t>
            </w:r>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lang w:eastAsia="zh-CN"/>
              </w:rPr>
              <w:t>日发布实施；</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编制程序文件28个，版本号：A/0，2021年</w:t>
            </w:r>
            <w:r>
              <w:rPr>
                <w:rFonts w:hint="eastAsia" w:ascii="宋体" w:hAnsi="宋体" w:eastAsia="宋体" w:cs="Times New Roman"/>
                <w:color w:val="auto"/>
                <w:sz w:val="21"/>
                <w:szCs w:val="21"/>
                <w:lang w:val="en-US" w:eastAsia="zh-CN"/>
              </w:rPr>
              <w:t>11</w:t>
            </w:r>
            <w:r>
              <w:rPr>
                <w:rFonts w:hint="eastAsia" w:ascii="宋体" w:hAnsi="宋体" w:eastAsia="宋体" w:cs="Times New Roman"/>
                <w:color w:val="auto"/>
                <w:sz w:val="21"/>
                <w:szCs w:val="21"/>
                <w:lang w:eastAsia="zh-CN"/>
              </w:rPr>
              <w:t>月</w:t>
            </w:r>
            <w:bookmarkStart w:id="0" w:name="_GoBack"/>
            <w:bookmarkEnd w:id="0"/>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lang w:eastAsia="zh-CN"/>
              </w:rPr>
              <w:t>实施；</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编制管理制度</w:t>
            </w:r>
            <w:r>
              <w:rPr>
                <w:rFonts w:hint="eastAsia" w:ascii="宋体" w:hAnsi="宋体" w:eastAsia="宋体" w:cs="Times New Roman"/>
                <w:color w:val="auto"/>
                <w:sz w:val="21"/>
                <w:szCs w:val="21"/>
                <w:lang w:val="en-US" w:eastAsia="zh-CN"/>
              </w:rPr>
              <w:t>8</w:t>
            </w:r>
            <w:r>
              <w:rPr>
                <w:rFonts w:hint="eastAsia" w:ascii="宋体" w:hAnsi="宋体" w:eastAsia="宋体" w:cs="Times New Roman"/>
                <w:color w:val="auto"/>
                <w:sz w:val="21"/>
                <w:szCs w:val="21"/>
                <w:lang w:eastAsia="zh-CN"/>
              </w:rPr>
              <w:t>个，版本号：A/0，2021年</w:t>
            </w:r>
            <w:r>
              <w:rPr>
                <w:rFonts w:hint="eastAsia" w:ascii="宋体" w:hAnsi="宋体" w:eastAsia="宋体" w:cs="Times New Roman"/>
                <w:color w:val="auto"/>
                <w:sz w:val="21"/>
                <w:szCs w:val="21"/>
                <w:lang w:val="en-US" w:eastAsia="zh-CN"/>
              </w:rPr>
              <w:t>11</w:t>
            </w:r>
            <w:r>
              <w:rPr>
                <w:rFonts w:hint="eastAsia" w:ascii="宋体" w:hAnsi="宋体" w:eastAsia="宋体" w:cs="Times New Roman"/>
                <w:color w:val="auto"/>
                <w:sz w:val="21"/>
                <w:szCs w:val="21"/>
                <w:lang w:eastAsia="zh-CN"/>
              </w:rPr>
              <w:t>月</w:t>
            </w:r>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lang w:eastAsia="zh-CN"/>
              </w:rPr>
              <w:t>实施；</w:t>
            </w:r>
          </w:p>
          <w:p>
            <w:pPr>
              <w:pStyle w:val="2"/>
              <w:rPr>
                <w:rFonts w:hint="eastAsia" w:ascii="宋体" w:hAnsi="宋体" w:cs="Times New Roman"/>
                <w:sz w:val="24"/>
                <w:szCs w:val="24"/>
                <w:lang w:eastAsia="zh-CN"/>
              </w:rPr>
            </w:pPr>
            <w:r>
              <w:rPr>
                <w:rFonts w:hint="eastAsia" w:ascii="宋体" w:hAnsi="宋体" w:eastAsia="宋体" w:cs="Times New Roman"/>
                <w:color w:val="auto"/>
                <w:sz w:val="21"/>
                <w:szCs w:val="21"/>
                <w:lang w:eastAsia="zh-CN"/>
              </w:rPr>
              <w:t>编制有管理文件：岗位职责和能力要求、安全管理制度、劳动用品管理规定、节能管理制度、固体废弃物管理规定、会议管理制度、信息交流管理制度、财务制度。</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建立有外来文件清单，收集法律法规和技术标准、规范等；</w:t>
            </w:r>
            <w:r>
              <w:rPr>
                <w:rFonts w:hint="default" w:ascii="宋体" w:hAnsi="宋体" w:eastAsia="宋体" w:cs="Times New Roman"/>
                <w:color w:val="auto"/>
                <w:sz w:val="21"/>
                <w:szCs w:val="21"/>
                <w:lang w:eastAsia="zh-CN"/>
              </w:rPr>
              <w:t>《水利水电工程初步设计报告编制规程》（SL</w:t>
            </w:r>
            <w:r>
              <w:rPr>
                <w:rFonts w:hint="eastAsia" w:ascii="宋体" w:hAnsi="宋体" w:eastAsia="宋体" w:cs="Times New Roman"/>
                <w:color w:val="auto"/>
                <w:sz w:val="21"/>
                <w:szCs w:val="21"/>
                <w:lang w:val="en-US" w:eastAsia="zh-CN"/>
              </w:rPr>
              <w:t>/T</w:t>
            </w:r>
            <w:r>
              <w:rPr>
                <w:rFonts w:hint="default" w:ascii="宋体" w:hAnsi="宋体" w:eastAsia="宋体" w:cs="Times New Roman"/>
                <w:color w:val="auto"/>
                <w:sz w:val="21"/>
                <w:szCs w:val="21"/>
                <w:lang w:eastAsia="zh-CN"/>
              </w:rPr>
              <w:t xml:space="preserve"> 619</w:t>
            </w:r>
            <w:r>
              <w:rPr>
                <w:rFonts w:hint="eastAsia" w:ascii="宋体" w:hAnsi="宋体" w:eastAsia="宋体" w:cs="Times New Roman"/>
                <w:color w:val="auto"/>
                <w:sz w:val="21"/>
                <w:szCs w:val="21"/>
                <w:lang w:val="en-US" w:eastAsia="zh-CN"/>
              </w:rPr>
              <w:t>-2021</w:t>
            </w:r>
            <w:r>
              <w:rPr>
                <w:rFonts w:hint="default" w:ascii="宋体" w:hAnsi="宋体" w:eastAsia="宋体" w:cs="Times New Roman"/>
                <w:color w:val="auto"/>
                <w:sz w:val="21"/>
                <w:szCs w:val="21"/>
                <w:lang w:eastAsia="zh-CN"/>
              </w:rPr>
              <w:t>）；《堤防工程设计规范》（GB</w:t>
            </w:r>
            <w:r>
              <w:rPr>
                <w:rFonts w:hint="eastAsia" w:ascii="宋体" w:hAnsi="宋体" w:eastAsia="宋体" w:cs="Times New Roman"/>
                <w:color w:val="auto"/>
                <w:sz w:val="21"/>
                <w:szCs w:val="21"/>
                <w:lang w:val="en-US" w:eastAsia="zh-CN"/>
              </w:rPr>
              <w:t xml:space="preserve"> </w:t>
            </w:r>
            <w:r>
              <w:rPr>
                <w:rFonts w:hint="default" w:ascii="宋体" w:hAnsi="宋体" w:eastAsia="宋体" w:cs="Times New Roman"/>
                <w:color w:val="auto"/>
                <w:sz w:val="21"/>
                <w:szCs w:val="21"/>
                <w:lang w:eastAsia="zh-CN"/>
              </w:rPr>
              <w:t>50286</w:t>
            </w:r>
            <w:r>
              <w:rPr>
                <w:rFonts w:hint="eastAsia" w:ascii="宋体" w:hAnsi="宋体" w:eastAsia="宋体" w:cs="Times New Roman"/>
                <w:color w:val="auto"/>
                <w:sz w:val="21"/>
                <w:szCs w:val="21"/>
                <w:lang w:val="en-US" w:eastAsia="zh-CN"/>
              </w:rPr>
              <w:t>-2013</w:t>
            </w:r>
            <w:r>
              <w:rPr>
                <w:rFonts w:hint="default" w:ascii="宋体" w:hAnsi="宋体" w:eastAsia="宋体" w:cs="Times New Roman"/>
                <w:color w:val="auto"/>
                <w:sz w:val="21"/>
                <w:szCs w:val="21"/>
                <w:lang w:eastAsia="zh-CN"/>
              </w:rPr>
              <w:t>）；《堤防工程</w:t>
            </w:r>
            <w:r>
              <w:rPr>
                <w:rFonts w:hint="eastAsia" w:ascii="宋体" w:hAnsi="宋体" w:eastAsia="宋体" w:cs="Times New Roman"/>
                <w:color w:val="auto"/>
                <w:sz w:val="21"/>
                <w:szCs w:val="21"/>
                <w:lang w:eastAsia="zh-CN"/>
              </w:rPr>
              <w:t>管理</w:t>
            </w:r>
            <w:r>
              <w:rPr>
                <w:rFonts w:hint="default" w:ascii="宋体" w:hAnsi="宋体" w:eastAsia="宋体" w:cs="Times New Roman"/>
                <w:color w:val="auto"/>
                <w:sz w:val="21"/>
                <w:szCs w:val="21"/>
                <w:lang w:eastAsia="zh-CN"/>
              </w:rPr>
              <w:t>设计规范》（</w:t>
            </w:r>
            <w:r>
              <w:rPr>
                <w:rFonts w:hint="eastAsia" w:ascii="宋体" w:hAnsi="宋体" w:eastAsia="宋体" w:cs="Times New Roman"/>
                <w:color w:val="auto"/>
                <w:sz w:val="21"/>
                <w:szCs w:val="21"/>
                <w:lang w:val="en-US" w:eastAsia="zh-CN"/>
              </w:rPr>
              <w:t>SL/T171-2020</w:t>
            </w:r>
            <w:r>
              <w:rPr>
                <w:rFonts w:hint="default" w:ascii="宋体" w:hAnsi="宋体" w:eastAsia="宋体" w:cs="Times New Roman"/>
                <w:color w:val="auto"/>
                <w:sz w:val="21"/>
                <w:szCs w:val="21"/>
                <w:lang w:eastAsia="zh-CN"/>
              </w:rPr>
              <w:t>）《水工建筑物抗震设计</w:t>
            </w:r>
            <w:r>
              <w:rPr>
                <w:rFonts w:hint="eastAsia" w:ascii="宋体" w:hAnsi="宋体" w:eastAsia="宋体" w:cs="Times New Roman"/>
                <w:color w:val="auto"/>
                <w:sz w:val="21"/>
                <w:szCs w:val="21"/>
                <w:lang w:eastAsia="zh-CN"/>
              </w:rPr>
              <w:t>标准</w:t>
            </w:r>
            <w:r>
              <w:rPr>
                <w:rFonts w:hint="default"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GB 51247-2018</w:t>
            </w:r>
            <w:r>
              <w:rPr>
                <w:rFonts w:hint="default" w:ascii="宋体" w:hAnsi="宋体" w:eastAsia="宋体" w:cs="Times New Roman"/>
                <w:color w:val="auto"/>
                <w:sz w:val="21"/>
                <w:szCs w:val="21"/>
                <w:lang w:eastAsia="zh-CN"/>
              </w:rPr>
              <w:t>）；《水工建筑物荷载设计规范》（SL</w:t>
            </w:r>
            <w:r>
              <w:rPr>
                <w:rFonts w:hint="eastAsia" w:ascii="宋体" w:hAnsi="宋体" w:eastAsia="宋体" w:cs="Times New Roman"/>
                <w:color w:val="auto"/>
                <w:sz w:val="21"/>
                <w:szCs w:val="21"/>
                <w:lang w:val="en-US" w:eastAsia="zh-CN"/>
              </w:rPr>
              <w:t xml:space="preserve"> </w:t>
            </w:r>
            <w:r>
              <w:rPr>
                <w:rFonts w:hint="default" w:ascii="宋体" w:hAnsi="宋体" w:eastAsia="宋体" w:cs="Times New Roman"/>
                <w:color w:val="auto"/>
                <w:sz w:val="21"/>
                <w:szCs w:val="21"/>
                <w:lang w:eastAsia="zh-CN"/>
              </w:rPr>
              <w:t>744</w:t>
            </w:r>
            <w:r>
              <w:rPr>
                <w:rFonts w:hint="eastAsia" w:ascii="宋体" w:hAnsi="宋体" w:eastAsia="宋体" w:cs="Times New Roman"/>
                <w:color w:val="auto"/>
                <w:sz w:val="21"/>
                <w:szCs w:val="21"/>
                <w:lang w:val="en-US" w:eastAsia="zh-CN"/>
              </w:rPr>
              <w:t>-2016</w:t>
            </w:r>
            <w:r>
              <w:rPr>
                <w:rFonts w:hint="default" w:ascii="宋体" w:hAnsi="宋体" w:eastAsia="宋体" w:cs="Times New Roman"/>
                <w:color w:val="auto"/>
                <w:sz w:val="21"/>
                <w:szCs w:val="21"/>
                <w:lang w:eastAsia="zh-CN"/>
              </w:rPr>
              <w:t>）；《水工混凝土结构设计规范》（SL</w:t>
            </w:r>
            <w:r>
              <w:rPr>
                <w:rFonts w:hint="eastAsia" w:ascii="宋体" w:hAnsi="宋体" w:eastAsia="宋体" w:cs="Times New Roman"/>
                <w:color w:val="auto"/>
                <w:sz w:val="21"/>
                <w:szCs w:val="21"/>
                <w:lang w:val="en-US" w:eastAsia="zh-CN"/>
              </w:rPr>
              <w:t xml:space="preserve"> </w:t>
            </w:r>
            <w:r>
              <w:rPr>
                <w:rFonts w:hint="default" w:ascii="宋体" w:hAnsi="宋体" w:eastAsia="宋体" w:cs="Times New Roman"/>
                <w:color w:val="auto"/>
                <w:sz w:val="21"/>
                <w:szCs w:val="21"/>
                <w:lang w:eastAsia="zh-CN"/>
              </w:rPr>
              <w:t>191</w:t>
            </w:r>
            <w:r>
              <w:rPr>
                <w:rFonts w:hint="eastAsia" w:ascii="宋体" w:hAnsi="宋体" w:eastAsia="宋体" w:cs="Times New Roman"/>
                <w:color w:val="auto"/>
                <w:sz w:val="21"/>
                <w:szCs w:val="21"/>
                <w:lang w:val="en-US" w:eastAsia="zh-CN"/>
              </w:rPr>
              <w:t>-2008</w:t>
            </w:r>
            <w:r>
              <w:rPr>
                <w:rFonts w:hint="default" w:ascii="宋体" w:hAnsi="宋体" w:eastAsia="宋体" w:cs="Times New Roman"/>
                <w:color w:val="auto"/>
                <w:sz w:val="21"/>
                <w:szCs w:val="21"/>
                <w:lang w:eastAsia="zh-CN"/>
              </w:rPr>
              <w:t>）；《水工挡土墙设计规范》（SL</w:t>
            </w:r>
            <w:r>
              <w:rPr>
                <w:rFonts w:hint="eastAsia" w:ascii="宋体" w:hAnsi="宋体" w:eastAsia="宋体" w:cs="Times New Roman"/>
                <w:color w:val="auto"/>
                <w:sz w:val="21"/>
                <w:szCs w:val="21"/>
                <w:lang w:val="en-US" w:eastAsia="zh-CN"/>
              </w:rPr>
              <w:t xml:space="preserve"> </w:t>
            </w:r>
            <w:r>
              <w:rPr>
                <w:rFonts w:hint="default" w:ascii="宋体" w:hAnsi="宋体" w:eastAsia="宋体" w:cs="Times New Roman"/>
                <w:color w:val="auto"/>
                <w:sz w:val="21"/>
                <w:szCs w:val="21"/>
                <w:lang w:eastAsia="zh-CN"/>
              </w:rPr>
              <w:t>379</w:t>
            </w:r>
            <w:r>
              <w:rPr>
                <w:rFonts w:hint="eastAsia" w:ascii="宋体" w:hAnsi="宋体" w:eastAsia="宋体" w:cs="Times New Roman"/>
                <w:color w:val="auto"/>
                <w:sz w:val="21"/>
                <w:szCs w:val="21"/>
                <w:lang w:val="en-US" w:eastAsia="zh-CN"/>
              </w:rPr>
              <w:t>-2007</w:t>
            </w:r>
            <w:r>
              <w:rPr>
                <w:rFonts w:hint="default" w:ascii="宋体" w:hAnsi="宋体" w:eastAsia="宋体" w:cs="Times New Roman"/>
                <w:color w:val="auto"/>
                <w:sz w:val="21"/>
                <w:szCs w:val="21"/>
                <w:lang w:eastAsia="zh-CN"/>
              </w:rPr>
              <w:t>）；《水利水电工程项目建议书编制规程》（SL</w:t>
            </w:r>
            <w:r>
              <w:rPr>
                <w:rFonts w:hint="eastAsia" w:ascii="宋体" w:hAnsi="宋体" w:eastAsia="宋体" w:cs="Times New Roman"/>
                <w:color w:val="auto"/>
                <w:sz w:val="21"/>
                <w:szCs w:val="21"/>
                <w:lang w:val="en-US" w:eastAsia="zh-CN"/>
              </w:rPr>
              <w:t xml:space="preserve"> </w:t>
            </w:r>
            <w:r>
              <w:rPr>
                <w:rFonts w:hint="default" w:ascii="宋体" w:hAnsi="宋体" w:eastAsia="宋体" w:cs="Times New Roman"/>
                <w:color w:val="auto"/>
                <w:sz w:val="21"/>
                <w:szCs w:val="21"/>
                <w:lang w:eastAsia="zh-CN"/>
              </w:rPr>
              <w:t>617</w:t>
            </w:r>
            <w:r>
              <w:rPr>
                <w:rFonts w:hint="eastAsia" w:ascii="宋体" w:hAnsi="宋体" w:eastAsia="宋体" w:cs="Times New Roman"/>
                <w:color w:val="auto"/>
                <w:sz w:val="21"/>
                <w:szCs w:val="21"/>
                <w:lang w:val="en-US" w:eastAsia="zh-CN"/>
              </w:rPr>
              <w:t>-2021</w:t>
            </w:r>
            <w:r>
              <w:rPr>
                <w:rFonts w:hint="default" w:ascii="宋体" w:hAnsi="宋体" w:eastAsia="宋体" w:cs="Times New Roman"/>
                <w:color w:val="auto"/>
                <w:sz w:val="21"/>
                <w:szCs w:val="21"/>
                <w:lang w:eastAsia="zh-CN"/>
              </w:rPr>
              <w:t>）；《水利水电工程</w:t>
            </w:r>
            <w:r>
              <w:rPr>
                <w:rFonts w:hint="eastAsia" w:ascii="宋体" w:hAnsi="宋体" w:eastAsia="宋体" w:cs="Times New Roman"/>
                <w:color w:val="auto"/>
                <w:sz w:val="21"/>
                <w:szCs w:val="21"/>
                <w:lang w:val="en-US" w:eastAsia="zh-Hans"/>
              </w:rPr>
              <w:t>可行性研究报告</w:t>
            </w:r>
            <w:r>
              <w:rPr>
                <w:rFonts w:hint="default" w:ascii="宋体" w:hAnsi="宋体" w:eastAsia="宋体" w:cs="Times New Roman"/>
                <w:color w:val="auto"/>
                <w:sz w:val="21"/>
                <w:szCs w:val="21"/>
                <w:lang w:eastAsia="zh-CN"/>
              </w:rPr>
              <w:t>编制规程》（SL</w:t>
            </w:r>
            <w:r>
              <w:rPr>
                <w:rFonts w:hint="eastAsia" w:ascii="宋体" w:hAnsi="宋体" w:eastAsia="宋体" w:cs="Times New Roman"/>
                <w:color w:val="auto"/>
                <w:sz w:val="21"/>
                <w:szCs w:val="21"/>
                <w:lang w:val="en-US" w:eastAsia="zh-CN"/>
              </w:rPr>
              <w:t xml:space="preserve"> </w:t>
            </w:r>
            <w:r>
              <w:rPr>
                <w:rFonts w:hint="default" w:ascii="宋体" w:hAnsi="宋体" w:eastAsia="宋体" w:cs="Times New Roman"/>
                <w:color w:val="auto"/>
                <w:sz w:val="21"/>
                <w:szCs w:val="21"/>
                <w:lang w:eastAsia="zh-CN"/>
              </w:rPr>
              <w:t>618</w:t>
            </w:r>
            <w:r>
              <w:rPr>
                <w:rFonts w:hint="eastAsia" w:ascii="宋体" w:hAnsi="宋体" w:eastAsia="宋体" w:cs="Times New Roman"/>
                <w:color w:val="auto"/>
                <w:sz w:val="21"/>
                <w:szCs w:val="21"/>
                <w:lang w:val="en-US" w:eastAsia="zh-CN"/>
              </w:rPr>
              <w:t>-2021</w:t>
            </w:r>
            <w:r>
              <w:rPr>
                <w:rFonts w:hint="default" w:ascii="宋体" w:hAnsi="宋体" w:eastAsia="宋体" w:cs="Times New Roman"/>
                <w:color w:val="auto"/>
                <w:sz w:val="21"/>
                <w:szCs w:val="21"/>
                <w:lang w:eastAsia="zh-CN"/>
              </w:rPr>
              <w:t>）《水利水电工程等级划分及洪水标准》（SL 252</w:t>
            </w:r>
            <w:r>
              <w:rPr>
                <w:rFonts w:hint="eastAsia" w:ascii="宋体" w:hAnsi="宋体" w:eastAsia="宋体" w:cs="Times New Roman"/>
                <w:color w:val="auto"/>
                <w:sz w:val="21"/>
                <w:szCs w:val="21"/>
                <w:lang w:val="en-US" w:eastAsia="zh-CN"/>
              </w:rPr>
              <w:t>-2017</w:t>
            </w:r>
            <w:r>
              <w:rPr>
                <w:rFonts w:hint="default" w:ascii="宋体" w:hAnsi="宋体" w:eastAsia="宋体" w:cs="Times New Roman"/>
                <w:color w:val="auto"/>
                <w:sz w:val="21"/>
                <w:szCs w:val="21"/>
                <w:lang w:eastAsia="zh-CN"/>
              </w:rPr>
              <w:t>）；《防洪标准》（GB</w:t>
            </w:r>
            <w:r>
              <w:rPr>
                <w:rFonts w:hint="eastAsia" w:ascii="宋体" w:hAnsi="宋体" w:eastAsia="宋体" w:cs="Times New Roman"/>
                <w:color w:val="auto"/>
                <w:sz w:val="21"/>
                <w:szCs w:val="21"/>
                <w:lang w:val="en-US" w:eastAsia="zh-CN"/>
              </w:rPr>
              <w:t xml:space="preserve"> </w:t>
            </w:r>
            <w:r>
              <w:rPr>
                <w:rFonts w:hint="default" w:ascii="宋体" w:hAnsi="宋体" w:eastAsia="宋体" w:cs="Times New Roman"/>
                <w:color w:val="auto"/>
                <w:sz w:val="21"/>
                <w:szCs w:val="21"/>
                <w:lang w:eastAsia="zh-CN"/>
              </w:rPr>
              <w:t>50201</w:t>
            </w:r>
            <w:r>
              <w:rPr>
                <w:rFonts w:hint="eastAsia" w:ascii="宋体" w:hAnsi="宋体" w:eastAsia="宋体" w:cs="Times New Roman"/>
                <w:color w:val="auto"/>
                <w:sz w:val="21"/>
                <w:szCs w:val="21"/>
                <w:lang w:val="en-US" w:eastAsia="zh-CN"/>
              </w:rPr>
              <w:t>-201</w:t>
            </w:r>
            <w:r>
              <w:rPr>
                <w:rFonts w:hint="default" w:ascii="宋体" w:hAnsi="宋体" w:eastAsia="宋体" w:cs="Times New Roman"/>
                <w:color w:val="auto"/>
                <w:sz w:val="21"/>
                <w:szCs w:val="21"/>
                <w:lang w:eastAsia="zh-CN"/>
              </w:rPr>
              <w:t>4）；《治涝标准》（DB</w:t>
            </w:r>
            <w:r>
              <w:rPr>
                <w:rFonts w:hint="eastAsia" w:ascii="宋体" w:hAnsi="宋体" w:eastAsia="宋体" w:cs="Times New Roman"/>
                <w:color w:val="auto"/>
                <w:sz w:val="21"/>
                <w:szCs w:val="21"/>
                <w:lang w:val="en-US" w:eastAsia="zh-CN"/>
              </w:rPr>
              <w:t xml:space="preserve"> </w:t>
            </w:r>
            <w:r>
              <w:rPr>
                <w:rFonts w:hint="default" w:ascii="宋体" w:hAnsi="宋体" w:eastAsia="宋体" w:cs="Times New Roman"/>
                <w:color w:val="auto"/>
                <w:sz w:val="21"/>
                <w:szCs w:val="21"/>
                <w:lang w:eastAsia="zh-CN"/>
              </w:rPr>
              <w:t>31/T 1121</w:t>
            </w:r>
            <w:r>
              <w:rPr>
                <w:rFonts w:hint="eastAsia" w:ascii="宋体" w:hAnsi="宋体" w:eastAsia="宋体" w:cs="Times New Roman"/>
                <w:color w:val="auto"/>
                <w:sz w:val="21"/>
                <w:szCs w:val="21"/>
                <w:lang w:val="en-US" w:eastAsia="zh-CN"/>
              </w:rPr>
              <w:t>-2018</w:t>
            </w:r>
            <w:r>
              <w:rPr>
                <w:rFonts w:hint="default" w:ascii="宋体" w:hAnsi="宋体" w:eastAsia="宋体" w:cs="Times New Roman"/>
                <w:color w:val="auto"/>
                <w:sz w:val="21"/>
                <w:szCs w:val="21"/>
                <w:lang w:eastAsia="zh-CN"/>
              </w:rPr>
              <w:t>）《生产建设项目水土保持技术标准》（GB 50433</w:t>
            </w:r>
            <w:r>
              <w:rPr>
                <w:rFonts w:hint="eastAsia" w:ascii="宋体" w:hAnsi="宋体" w:eastAsia="宋体" w:cs="Times New Roman"/>
                <w:color w:val="auto"/>
                <w:sz w:val="21"/>
                <w:szCs w:val="21"/>
                <w:lang w:val="en-US" w:eastAsia="zh-CN"/>
              </w:rPr>
              <w:t>-2018</w:t>
            </w:r>
            <w:r>
              <w:rPr>
                <w:rFonts w:hint="default" w:ascii="宋体" w:hAnsi="宋体" w:eastAsia="宋体" w:cs="Times New Roman"/>
                <w:color w:val="auto"/>
                <w:sz w:val="21"/>
                <w:szCs w:val="21"/>
                <w:lang w:eastAsia="zh-CN"/>
              </w:rPr>
              <w:t>）；《生产建设项目水土流失防治标准》（GB/T 50434</w:t>
            </w:r>
            <w:r>
              <w:rPr>
                <w:rFonts w:hint="eastAsia" w:ascii="宋体" w:hAnsi="宋体" w:eastAsia="宋体" w:cs="Times New Roman"/>
                <w:color w:val="auto"/>
                <w:sz w:val="21"/>
                <w:szCs w:val="21"/>
                <w:lang w:val="en-US" w:eastAsia="zh-CN"/>
              </w:rPr>
              <w:t>-2018</w:t>
            </w:r>
            <w:r>
              <w:rPr>
                <w:rFonts w:hint="default" w:ascii="宋体" w:hAnsi="宋体" w:eastAsia="宋体" w:cs="Times New Roman"/>
                <w:color w:val="auto"/>
                <w:sz w:val="21"/>
                <w:szCs w:val="21"/>
                <w:lang w:eastAsia="zh-CN"/>
              </w:rPr>
              <w:t>）</w:t>
            </w:r>
            <w:r>
              <w:rPr>
                <w:rFonts w:hint="eastAsia" w:ascii="宋体" w:hAnsi="宋体" w:eastAsia="宋体" w:cs="Times New Roman"/>
                <w:color w:val="auto"/>
                <w:sz w:val="21"/>
                <w:szCs w:val="21"/>
                <w:lang w:eastAsia="zh-CN"/>
              </w:rPr>
              <w:t>等</w:t>
            </w:r>
            <w:r>
              <w:rPr>
                <w:rFonts w:hint="eastAsia" w:ascii="宋体" w:hAnsi="宋体" w:eastAsia="宋体" w:cs="Times New Roman"/>
                <w:color w:val="auto"/>
                <w:sz w:val="21"/>
                <w:szCs w:val="21"/>
                <w:lang w:val="en-US" w:eastAsia="zh-CN"/>
              </w:rPr>
              <w:t>总计45</w:t>
            </w:r>
            <w:r>
              <w:rPr>
                <w:rFonts w:hint="eastAsia" w:ascii="宋体" w:hAnsi="宋体" w:eastAsia="宋体" w:cs="Times New Roman"/>
                <w:color w:val="auto"/>
                <w:sz w:val="21"/>
                <w:szCs w:val="21"/>
                <w:lang w:eastAsia="zh-CN"/>
              </w:rPr>
              <w:t>个。</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建立环境、职业健康安全法律法规和其他要求清单，</w:t>
            </w:r>
            <w:r>
              <w:rPr>
                <w:rFonts w:hint="eastAsia" w:ascii="宋体" w:hAnsi="宋体" w:eastAsia="宋体" w:cs="Times New Roman"/>
                <w:color w:val="auto"/>
                <w:sz w:val="21"/>
                <w:szCs w:val="21"/>
                <w:lang w:val="en-US" w:eastAsia="zh-CN"/>
              </w:rPr>
              <w:t>包含国家、地方与行业要求等总计</w:t>
            </w:r>
            <w:r>
              <w:rPr>
                <w:rFonts w:hint="eastAsia" w:ascii="宋体" w:hAnsi="宋体" w:eastAsia="宋体" w:cs="Times New Roman"/>
                <w:color w:val="auto"/>
                <w:sz w:val="21"/>
                <w:szCs w:val="21"/>
                <w:lang w:eastAsia="zh-CN"/>
              </w:rPr>
              <w:t>共</w:t>
            </w:r>
            <w:r>
              <w:rPr>
                <w:rFonts w:hint="eastAsia" w:ascii="宋体" w:hAnsi="宋体" w:eastAsia="宋体" w:cs="Times New Roman"/>
                <w:color w:val="auto"/>
                <w:sz w:val="21"/>
                <w:szCs w:val="21"/>
                <w:lang w:val="en-US" w:eastAsia="zh-CN"/>
              </w:rPr>
              <w:t>155</w:t>
            </w:r>
            <w:r>
              <w:rPr>
                <w:rFonts w:hint="eastAsia" w:ascii="宋体" w:hAnsi="宋体" w:eastAsia="宋体" w:cs="Times New Roman"/>
                <w:color w:val="auto"/>
                <w:sz w:val="21"/>
                <w:szCs w:val="21"/>
                <w:lang w:eastAsia="zh-CN"/>
              </w:rPr>
              <w:t>个。</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文件化管理体系目前基本满足要求。</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在编制体系文件时，对文件进行标识，主要有文件名称/编制</w:t>
            </w:r>
            <w:r>
              <w:rPr>
                <w:rFonts w:hint="eastAsia" w:ascii="宋体" w:hAnsi="宋体" w:eastAsia="宋体" w:cs="Times New Roman"/>
                <w:color w:val="auto"/>
                <w:sz w:val="21"/>
                <w:szCs w:val="21"/>
                <w:lang w:val="en-US" w:eastAsia="zh-CN"/>
              </w:rPr>
              <w:t>/批准</w:t>
            </w:r>
            <w:r>
              <w:rPr>
                <w:rFonts w:hint="eastAsia" w:ascii="宋体" w:hAnsi="宋体" w:eastAsia="宋体" w:cs="Times New Roman"/>
                <w:color w:val="auto"/>
                <w:sz w:val="21"/>
                <w:szCs w:val="21"/>
                <w:lang w:eastAsia="zh-CN"/>
              </w:rPr>
              <w:t>/日期/文件编号等，经查管理手册/程序文件基本符合标准要求。</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管理体系文件经过总经理</w:t>
            </w:r>
            <w:r>
              <w:rPr>
                <w:rFonts w:hint="eastAsia" w:ascii="宋体" w:hAnsi="宋体" w:eastAsia="宋体" w:cs="Times New Roman"/>
                <w:color w:val="auto"/>
                <w:sz w:val="21"/>
                <w:szCs w:val="21"/>
                <w:lang w:val="en-US" w:eastAsia="zh-CN"/>
              </w:rPr>
              <w:t>批准</w:t>
            </w:r>
            <w:r>
              <w:rPr>
                <w:rFonts w:hint="eastAsia" w:ascii="宋体" w:hAnsi="宋体" w:eastAsia="宋体" w:cs="Times New Roman"/>
                <w:color w:val="auto"/>
                <w:sz w:val="21"/>
                <w:szCs w:val="21"/>
                <w:lang w:eastAsia="zh-CN"/>
              </w:rPr>
              <w:t>实施发布，经评审，目前文件和目录均适用。符合要求。</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编制《文件控制程序》、《记录控制程序》内容符合基本标准要求。</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抽查：受控文件清单、</w:t>
            </w:r>
            <w:r>
              <w:rPr>
                <w:rFonts w:hint="eastAsia" w:ascii="宋体" w:hAnsi="宋体" w:eastAsia="宋体" w:cs="Times New Roman"/>
                <w:color w:val="auto"/>
                <w:sz w:val="21"/>
                <w:szCs w:val="21"/>
                <w:lang w:val="en-US" w:eastAsia="zh-CN"/>
              </w:rPr>
              <w:t>内审计划、</w:t>
            </w:r>
            <w:r>
              <w:rPr>
                <w:rFonts w:hint="eastAsia" w:ascii="宋体" w:hAnsi="宋体" w:eastAsia="宋体" w:cs="Times New Roman"/>
                <w:color w:val="auto"/>
                <w:sz w:val="21"/>
                <w:szCs w:val="21"/>
                <w:lang w:eastAsia="zh-CN"/>
              </w:rPr>
              <w:t>管理评审计划、培训计划、环境因素、职业健康安全危险源识别与评价表等，其成文信息标识清晰，填写基本齐全、清晰，成文信息在文件柜中分类编目保存，成文信息的贮存和保护符合要求，检索方便。</w:t>
            </w:r>
          </w:p>
          <w:p>
            <w:pPr>
              <w:pStyle w:val="2"/>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成文信息由各部门负责保存，以便查阅。</w:t>
            </w:r>
          </w:p>
          <w:p>
            <w:pPr>
              <w:pStyle w:val="2"/>
              <w:rPr>
                <w:rFonts w:ascii="楷体" w:hAnsi="楷体" w:eastAsia="楷体" w:cs="楷体"/>
                <w:sz w:val="24"/>
                <w:szCs w:val="24"/>
              </w:rPr>
            </w:pPr>
            <w:r>
              <w:rPr>
                <w:rFonts w:hint="eastAsia" w:ascii="宋体" w:hAnsi="宋体" w:eastAsia="宋体" w:cs="Times New Roman"/>
                <w:color w:val="auto"/>
                <w:sz w:val="21"/>
                <w:szCs w:val="21"/>
                <w:lang w:eastAsia="zh-CN"/>
              </w:rPr>
              <w:t>经查，基本符合标准要求。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运行的策划</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0</w:t>
            </w:r>
            <w:r>
              <w:rPr>
                <w:rFonts w:hint="eastAsia" w:ascii="楷体" w:hAnsi="楷体" w:eastAsia="楷体" w:cs="楷体"/>
                <w:sz w:val="24"/>
                <w:szCs w:val="24"/>
              </w:rPr>
              <w:t>：8</w:t>
            </w:r>
            <w:r>
              <w:rPr>
                <w:rFonts w:ascii="楷体" w:hAnsi="楷体" w:eastAsia="楷体" w:cs="楷体"/>
                <w:sz w:val="24"/>
                <w:szCs w:val="24"/>
              </w:rPr>
              <w:t>.1</w:t>
            </w:r>
          </w:p>
        </w:tc>
        <w:tc>
          <w:tcPr>
            <w:tcW w:w="10004" w:type="dxa"/>
            <w:shd w:val="clear" w:color="auto" w:fill="auto"/>
            <w:vAlign w:val="center"/>
          </w:tcPr>
          <w:p>
            <w:pPr>
              <w:spacing w:line="360" w:lineRule="auto"/>
              <w:ind w:firstLine="420" w:firstLineChars="200"/>
              <w:rPr>
                <w:rFonts w:ascii="宋体" w:hAnsi="宋体"/>
                <w:szCs w:val="21"/>
              </w:rPr>
            </w:pPr>
            <w:r>
              <w:rPr>
                <w:rFonts w:hint="eastAsia" w:ascii="宋体" w:hAnsi="宋体"/>
                <w:szCs w:val="21"/>
              </w:rPr>
              <w:t>公司制</w:t>
            </w:r>
            <w:r>
              <w:rPr>
                <w:rFonts w:hint="eastAsia" w:ascii="宋体" w:hAnsi="宋体" w:eastAsia="宋体" w:cs="Times New Roman"/>
                <w:szCs w:val="21"/>
              </w:rPr>
              <w:t>定并实施了《废弃物管理控制程序》、《事件调查处理控制程序》、《交通安全控制程序》、《应急准备与响应控制程序》、《安全消防制度》、《废弃物管理办法》、《节能降耗管理办法》等环境</w:t>
            </w:r>
            <w:r>
              <w:rPr>
                <w:rFonts w:hint="eastAsia" w:ascii="宋体" w:hAnsi="宋体" w:eastAsia="宋体" w:cs="Times New Roman"/>
                <w:szCs w:val="21"/>
                <w:lang w:val="en-US" w:eastAsia="zh-CN"/>
              </w:rPr>
              <w:t>职业健康安全</w:t>
            </w:r>
            <w:r>
              <w:rPr>
                <w:rFonts w:hint="eastAsia" w:ascii="宋体" w:hAnsi="宋体"/>
                <w:szCs w:val="21"/>
              </w:rPr>
              <w:t>管理</w:t>
            </w:r>
            <w:r>
              <w:rPr>
                <w:rFonts w:hint="eastAsia" w:ascii="宋体" w:hAnsi="宋体"/>
                <w:szCs w:val="21"/>
                <w:lang w:val="en-US" w:eastAsia="zh-CN"/>
              </w:rPr>
              <w:t>文件</w:t>
            </w:r>
            <w:r>
              <w:rPr>
                <w:rFonts w:hint="eastAsia" w:ascii="宋体" w:hAnsi="宋体"/>
                <w:szCs w:val="21"/>
              </w:rPr>
              <w:t>。</w:t>
            </w:r>
          </w:p>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经沟通询问以及查看文件和现场录像视频，拍照等方式，确认行政人事部</w:t>
            </w:r>
            <w:r>
              <w:rPr>
                <w:rFonts w:hint="eastAsia" w:ascii="宋体" w:hAnsi="宋体"/>
                <w:szCs w:val="21"/>
              </w:rPr>
              <w:t>按公司要求人走关灯，办公室内电脑要求人走后电源切断。办公室内垃圾主要包含</w:t>
            </w:r>
            <w:r>
              <w:rPr>
                <w:rFonts w:hint="eastAsia" w:ascii="宋体" w:hAnsi="宋体"/>
                <w:szCs w:val="21"/>
                <w:lang w:val="en-US" w:eastAsia="zh-CN"/>
              </w:rPr>
              <w:t>生活垃圾、</w:t>
            </w:r>
            <w:r>
              <w:rPr>
                <w:rFonts w:hint="eastAsia" w:ascii="宋体" w:hAnsi="宋体"/>
                <w:szCs w:val="21"/>
              </w:rPr>
              <w:t>可回收垃圾、废纸</w:t>
            </w:r>
            <w:r>
              <w:rPr>
                <w:rFonts w:hint="eastAsia" w:ascii="宋体" w:hAnsi="宋体"/>
                <w:szCs w:val="21"/>
                <w:lang w:val="en-US" w:eastAsia="zh-CN"/>
              </w:rPr>
              <w:t>等</w:t>
            </w:r>
            <w:r>
              <w:rPr>
                <w:rFonts w:hint="eastAsia" w:ascii="宋体" w:hAnsi="宋体"/>
                <w:szCs w:val="21"/>
              </w:rPr>
              <w:t>。公司配置了垃圾箱，统一处理。</w:t>
            </w:r>
            <w:r>
              <w:rPr>
                <w:rFonts w:hint="eastAsia" w:ascii="宋体" w:hAnsi="宋体"/>
                <w:szCs w:val="21"/>
                <w:lang w:val="en-US" w:eastAsia="zh-CN"/>
              </w:rPr>
              <w:t>办公打印耗材等由供应商回收处置。</w:t>
            </w:r>
          </w:p>
          <w:p>
            <w:pPr>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办公区</w:t>
            </w:r>
            <w:r>
              <w:rPr>
                <w:rFonts w:hint="eastAsia" w:ascii="宋体" w:hAnsi="宋体"/>
                <w:szCs w:val="21"/>
              </w:rPr>
              <w:t>内主要是电的使用，电器有漏电保护器，经常对电路、电源进行检查，没有露电现象发生。</w:t>
            </w:r>
            <w:r>
              <w:rPr>
                <w:rFonts w:hint="eastAsia" w:ascii="宋体" w:hAnsi="宋体"/>
                <w:szCs w:val="21"/>
                <w:lang w:val="en-US" w:eastAsia="zh-CN"/>
              </w:rPr>
              <w:t>通过视频与重点区域拍照查看</w:t>
            </w:r>
            <w:r>
              <w:rPr>
                <w:rFonts w:hint="eastAsia" w:ascii="宋体" w:hAnsi="宋体"/>
                <w:szCs w:val="21"/>
              </w:rPr>
              <w:t>办公区域消防栓、灭火器正常，电线、电气插座完整，未见破损</w:t>
            </w:r>
            <w:r>
              <w:rPr>
                <w:rFonts w:hint="eastAsia" w:ascii="宋体" w:hAnsi="宋体"/>
                <w:szCs w:val="21"/>
                <w:lang w:eastAsia="zh-CN"/>
              </w:rPr>
              <w:t>；</w:t>
            </w:r>
            <w:r>
              <w:rPr>
                <w:rFonts w:hint="eastAsia" w:ascii="宋体" w:hAnsi="宋体"/>
                <w:szCs w:val="21"/>
                <w:lang w:val="en-US" w:eastAsia="zh-CN"/>
              </w:rPr>
              <w:t>公司办公环境较好，布局清晰，无明显安全隐患。管理符合要求。</w:t>
            </w:r>
          </w:p>
          <w:p>
            <w:pPr>
              <w:pStyle w:val="2"/>
              <w:ind w:firstLine="460" w:firstLineChars="200"/>
              <w:rPr>
                <w:rFonts w:hint="default"/>
                <w:lang w:val="en-US"/>
              </w:rPr>
            </w:pPr>
            <w:r>
              <w:rPr>
                <w:rFonts w:hint="eastAsia" w:ascii="宋体" w:hAnsi="宋体" w:cs="宋体"/>
                <w:color w:val="auto"/>
                <w:szCs w:val="21"/>
                <w:lang w:val="en-US" w:eastAsia="zh-CN"/>
              </w:rPr>
              <w:t>公司定期对部门员工安排常规体检</w:t>
            </w:r>
            <w:r>
              <w:rPr>
                <w:rFonts w:hint="eastAsia" w:ascii="宋体" w:hAnsi="宋体"/>
                <w:szCs w:val="21"/>
                <w:lang w:val="en-US" w:eastAsia="zh-CN"/>
              </w:rPr>
              <w:t>。上次体检为2021年9月，员工分批进行体验。</w:t>
            </w:r>
          </w:p>
          <w:p>
            <w:pPr>
              <w:pStyle w:val="2"/>
              <w:rPr>
                <w:rFonts w:hint="default" w:ascii="宋体" w:hAnsi="宋体" w:eastAsia="宋体"/>
                <w:szCs w:val="21"/>
                <w:lang w:val="en-US" w:eastAsia="zh-CN"/>
              </w:rPr>
            </w:pPr>
            <w:r>
              <w:rPr>
                <w:rFonts w:hint="eastAsia" w:ascii="宋体" w:hAnsi="宋体"/>
                <w:szCs w:val="21"/>
              </w:rPr>
              <w:t>部门运行控制能结合产品生命周期方法，基本符合规定要求。</w:t>
            </w:r>
            <w:r>
              <w:rPr>
                <w:rFonts w:hint="eastAsia" w:ascii="宋体" w:hAnsi="宋体"/>
                <w:szCs w:val="21"/>
                <w:lang w:val="en-US" w:eastAsia="zh-CN"/>
              </w:rPr>
              <w:t>附：办公场所全景图片</w:t>
            </w:r>
          </w:p>
          <w:p>
            <w:pPr>
              <w:pStyle w:val="2"/>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6203315" cy="1643380"/>
                  <wp:effectExtent l="0" t="0" r="6985" b="13970"/>
                  <wp:docPr id="11" name="图片 11" descr="cea29c0684778be547c0651be1709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ea29c0684778be547c0651be1709b6"/>
                          <pic:cNvPicPr>
                            <a:picLocks noChangeAspect="1"/>
                          </pic:cNvPicPr>
                        </pic:nvPicPr>
                        <pic:blipFill>
                          <a:blip r:embed="rId10"/>
                          <a:stretch>
                            <a:fillRect/>
                          </a:stretch>
                        </pic:blipFill>
                        <pic:spPr>
                          <a:xfrm>
                            <a:off x="0" y="0"/>
                            <a:ext cx="6203315" cy="1643380"/>
                          </a:xfrm>
                          <a:prstGeom prst="rect">
                            <a:avLst/>
                          </a:prstGeom>
                        </pic:spPr>
                      </pic:pic>
                    </a:graphicData>
                  </a:graphic>
                </wp:inline>
              </w:drawing>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应急准备和响应</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O:8.2</w:t>
            </w:r>
          </w:p>
        </w:tc>
        <w:tc>
          <w:tcPr>
            <w:tcW w:w="10004" w:type="dxa"/>
            <w:vAlign w:val="center"/>
          </w:tcPr>
          <w:p>
            <w:pPr>
              <w:pStyle w:val="2"/>
              <w:ind w:firstLine="46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公司编制针对不同的紧急情况或潜在的事故，制定《触电-紧急事故应急预案》、《火灾应急预案》等应急预案，定期演练。查阅相关文件记录，规定了应急小组成员、成立应急救援队、小组分工、应急演练等内容。经查符合要求。</w:t>
            </w:r>
          </w:p>
          <w:p>
            <w:pPr>
              <w:pStyle w:val="2"/>
              <w:ind w:firstLine="46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提供了触电和火灾应急演练记录，实施时间为2022年1月7日，提供了演练记录及效果评估表，对应急准备和响应预案的可行性进行评审。</w:t>
            </w:r>
          </w:p>
          <w:p>
            <w:pPr>
              <w:pStyle w:val="2"/>
              <w:ind w:firstLine="460" w:firstLineChars="200"/>
              <w:rPr>
                <w:rFonts w:hint="eastAsia" w:ascii="宋体" w:hAnsi="宋体" w:eastAsia="宋体" w:cs="Times New Roman"/>
                <w:szCs w:val="21"/>
              </w:rPr>
            </w:pPr>
            <w:r>
              <w:rPr>
                <w:rFonts w:hint="eastAsia"/>
              </w:rPr>
              <w:t>目前未发生火灾、人身伤害等事故。</w:t>
            </w:r>
            <w:r>
              <w:rPr>
                <w:rFonts w:hint="eastAsia" w:ascii="宋体" w:hAnsi="宋体" w:eastAsia="宋体" w:cs="Times New Roman"/>
                <w:szCs w:val="21"/>
              </w:rPr>
              <w:t>现场查看</w:t>
            </w:r>
            <w:r>
              <w:rPr>
                <w:rFonts w:hint="eastAsia" w:ascii="宋体" w:hAnsi="宋体" w:eastAsia="宋体" w:cs="Times New Roman"/>
                <w:szCs w:val="21"/>
                <w:lang w:val="en-US" w:eastAsia="zh-CN"/>
              </w:rPr>
              <w:t>办公区</w:t>
            </w:r>
            <w:r>
              <w:rPr>
                <w:rFonts w:hint="eastAsia" w:ascii="宋体" w:hAnsi="宋体" w:eastAsia="宋体" w:cs="Times New Roman"/>
                <w:szCs w:val="21"/>
              </w:rPr>
              <w:t>有灭火器若干个，</w:t>
            </w:r>
            <w:r>
              <w:rPr>
                <w:rFonts w:hint="eastAsia" w:ascii="宋体" w:hAnsi="宋体" w:cs="Times New Roman"/>
                <w:szCs w:val="21"/>
                <w:lang w:val="en-US" w:eastAsia="zh-CN"/>
              </w:rPr>
              <w:t>按区域分布，</w:t>
            </w:r>
            <w:r>
              <w:rPr>
                <w:rFonts w:hint="eastAsia" w:ascii="宋体" w:hAnsi="宋体" w:eastAsia="宋体" w:cs="Times New Roman"/>
                <w:szCs w:val="21"/>
              </w:rPr>
              <w:t>状态良好。</w:t>
            </w:r>
          </w:p>
          <w:p>
            <w:pPr>
              <w:pStyle w:val="2"/>
              <w:ind w:firstLine="460" w:firstLineChars="200"/>
              <w:rPr>
                <w:rFonts w:hint="default" w:ascii="宋体" w:hAnsi="宋体" w:eastAsia="宋体" w:cs="Times New Roman"/>
                <w:szCs w:val="21"/>
                <w:lang w:val="en-US" w:eastAsia="zh-CN"/>
              </w:rPr>
            </w:pPr>
            <w:r>
              <w:rPr>
                <w:rFonts w:hint="eastAsia" w:ascii="宋体" w:hAnsi="宋体" w:eastAsia="宋体" w:cs="Times New Roman"/>
                <w:b w:val="0"/>
                <w:bCs/>
                <w:color w:val="0000FF"/>
                <w:szCs w:val="21"/>
                <w:lang w:val="en-US" w:eastAsia="zh-CN"/>
              </w:rPr>
              <w:t>结合国内与上海市当前新冠疫情防控情况，公司未针对当前工作影响较大的新冠疫情制定应急预案。</w:t>
            </w:r>
          </w:p>
        </w:tc>
        <w:tc>
          <w:tcPr>
            <w:tcW w:w="1585" w:type="dxa"/>
          </w:tcPr>
          <w:p>
            <w:pPr>
              <w:rPr>
                <w:rFonts w:ascii="楷体" w:hAnsi="楷体" w:eastAsia="楷体" w:cs="楷体"/>
                <w:sz w:val="24"/>
                <w:szCs w:val="24"/>
              </w:rPr>
            </w:pPr>
            <w:r>
              <w:rPr>
                <w:rFonts w:hint="eastAsia" w:ascii="楷体" w:hAnsi="楷体" w:eastAsia="楷体" w:cs="楷体"/>
                <w:sz w:val="24"/>
                <w:szCs w:val="24"/>
                <w:lang w:val="en-US" w:eastAsia="zh-CN"/>
              </w:rPr>
              <w:t>不</w:t>
            </w: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合规性评价</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w:t>
            </w:r>
            <w:r>
              <w:rPr>
                <w:rFonts w:ascii="楷体" w:hAnsi="楷体" w:eastAsia="楷体" w:cs="楷体"/>
                <w:sz w:val="24"/>
                <w:szCs w:val="24"/>
              </w:rPr>
              <w:t>O:9.1.2</w:t>
            </w:r>
          </w:p>
        </w:tc>
        <w:tc>
          <w:tcPr>
            <w:tcW w:w="10004" w:type="dxa"/>
            <w:shd w:val="clear" w:color="auto" w:fill="auto"/>
            <w:vAlign w:val="center"/>
          </w:tcPr>
          <w:p>
            <w:pPr>
              <w:pStyle w:val="2"/>
              <w:ind w:firstLine="460" w:firstLineChars="200"/>
              <w:rPr>
                <w:rFonts w:hint="eastAsia" w:ascii="宋体" w:hAnsi="宋体" w:eastAsia="宋体" w:cs="Times New Roman"/>
                <w:b w:val="0"/>
                <w:bCs/>
                <w:szCs w:val="21"/>
                <w:lang w:val="en-US" w:eastAsia="zh-CN"/>
              </w:rPr>
            </w:pPr>
            <w:r>
              <w:rPr>
                <w:rFonts w:hint="eastAsia" w:ascii="宋体" w:hAnsi="宋体" w:eastAsia="宋体" w:cs="Times New Roman"/>
                <w:b w:val="0"/>
                <w:bCs/>
                <w:szCs w:val="21"/>
                <w:lang w:val="en-US" w:eastAsia="zh-CN"/>
              </w:rPr>
              <w:t>制定了《合规性评价控制程序》规定了评价的职责、权限、评价的方法、频次。</w:t>
            </w:r>
          </w:p>
          <w:p>
            <w:pPr>
              <w:pStyle w:val="2"/>
              <w:ind w:firstLine="460" w:firstLineChars="200"/>
              <w:rPr>
                <w:rFonts w:ascii="楷体" w:hAnsi="楷体" w:eastAsia="楷体" w:cs="楷体"/>
                <w:sz w:val="24"/>
                <w:szCs w:val="24"/>
              </w:rPr>
            </w:pPr>
            <w:r>
              <w:rPr>
                <w:rFonts w:hint="eastAsia" w:ascii="宋体" w:hAnsi="宋体" w:eastAsia="宋体" w:cs="Times New Roman"/>
                <w:b w:val="0"/>
                <w:bCs/>
                <w:szCs w:val="21"/>
                <w:lang w:val="en-US" w:eastAsia="zh-CN"/>
              </w:rPr>
              <w:t>提供的《合规性评价报告》，对有关环境和职业健康安全方面的法律法规以遵循的其他要求进行了合规性评价，评价时间：2021年11月5日，参加人员：</w:t>
            </w:r>
            <w:r>
              <w:rPr>
                <w:rFonts w:hint="eastAsia" w:ascii="宋体" w:hAnsi="宋体" w:cs="宋体"/>
                <w:sz w:val="21"/>
                <w:szCs w:val="21"/>
                <w:lang w:val="en-US" w:eastAsia="zh-CN"/>
              </w:rPr>
              <w:t>朱博华、陆艳</w:t>
            </w:r>
            <w:r>
              <w:rPr>
                <w:rFonts w:hint="eastAsia" w:ascii="Times New Roman" w:hAnsi="Times New Roman" w:eastAsia="宋体" w:cs="Times New Roman"/>
                <w:iCs w:val="0"/>
                <w:kern w:val="2"/>
                <w:sz w:val="24"/>
                <w:szCs w:val="24"/>
                <w:lang w:val="en-US" w:eastAsia="zh-CN" w:bidi="ar-SA"/>
              </w:rPr>
              <w:t>、</w:t>
            </w:r>
            <w:r>
              <w:rPr>
                <w:rFonts w:hint="eastAsia" w:ascii="宋体" w:hAnsi="宋体" w:cs="宋体"/>
                <w:sz w:val="21"/>
                <w:szCs w:val="21"/>
                <w:lang w:val="en-US" w:eastAsia="zh-CN"/>
              </w:rPr>
              <w:t>彭灿</w:t>
            </w:r>
            <w:r>
              <w:rPr>
                <w:rFonts w:hint="eastAsia" w:ascii="Times New Roman" w:hAnsi="Times New Roman" w:eastAsia="宋体" w:cs="Times New Roman"/>
                <w:iCs w:val="0"/>
                <w:kern w:val="2"/>
                <w:sz w:val="24"/>
                <w:szCs w:val="24"/>
                <w:lang w:val="en-US" w:eastAsia="zh-CN" w:bidi="ar-SA"/>
              </w:rPr>
              <w:t>、</w:t>
            </w:r>
            <w:r>
              <w:rPr>
                <w:rFonts w:hint="eastAsia" w:ascii="宋体" w:hAnsi="宋体" w:cs="宋体"/>
                <w:sz w:val="21"/>
                <w:szCs w:val="21"/>
                <w:lang w:val="en-US" w:eastAsia="zh-CN"/>
              </w:rPr>
              <w:t>应纯侃、韩才冬、邓雪辉</w:t>
            </w:r>
            <w:r>
              <w:rPr>
                <w:rFonts w:hint="eastAsia" w:ascii="宋体" w:hAnsi="宋体" w:eastAsia="宋体" w:cs="Times New Roman"/>
                <w:b w:val="0"/>
                <w:bCs/>
                <w:szCs w:val="21"/>
                <w:lang w:val="en-US" w:eastAsia="zh-CN"/>
              </w:rPr>
              <w:t>等人员。总经理作为组长，按照服务活动所涉及的法律法规和其他要求进行了分析和评价，经查包括环境影响及危险源的控制等及相关的要求（评价的环境和职业健康安全法律法规和其他要求155部，经查包括中华人民共和国环境保护法，中华人民共和国职业病防治法，中华人民共和国道路交通安全法等</w:t>
            </w:r>
            <w:r>
              <w:rPr>
                <w:rFonts w:hint="eastAsia" w:ascii="宋体" w:hAnsi="宋体" w:eastAsia="宋体" w:cs="Times New Roman"/>
                <w:color w:val="auto"/>
                <w:sz w:val="21"/>
                <w:szCs w:val="21"/>
                <w:lang w:val="en-US" w:eastAsia="zh-CN"/>
              </w:rPr>
              <w:t>国家、地方与行业要求等</w:t>
            </w:r>
            <w:r>
              <w:rPr>
                <w:rFonts w:hint="eastAsia" w:ascii="宋体" w:hAnsi="宋体" w:eastAsia="宋体" w:cs="Times New Roman"/>
                <w:b w:val="0"/>
                <w:bCs/>
                <w:szCs w:val="21"/>
                <w:lang w:val="en-US" w:eastAsia="zh-CN"/>
              </w:rPr>
              <w:t>），记录过程详尽，未发生过职业健康安全环境事件、事故，未有相关单位和个人投诉等，结论合规，未有违反法律法规等情况的发生，对法律法规的和其他要求的日常检查一步加强，提出了相关的建议。</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分析和评价</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Q</w:t>
            </w:r>
            <w:r>
              <w:rPr>
                <w:rFonts w:ascii="楷体" w:hAnsi="楷体" w:eastAsia="楷体" w:cs="楷体"/>
                <w:sz w:val="24"/>
                <w:szCs w:val="24"/>
              </w:rPr>
              <w:t>:9.1.3</w:t>
            </w:r>
          </w:p>
        </w:tc>
        <w:tc>
          <w:tcPr>
            <w:tcW w:w="10004" w:type="dxa"/>
            <w:vAlign w:val="center"/>
          </w:tcPr>
          <w:p>
            <w:pPr>
              <w:rPr>
                <w:rFonts w:ascii="宋体" w:hAnsi="宋体"/>
                <w:b/>
                <w:bCs/>
                <w:sz w:val="36"/>
              </w:rPr>
            </w:pPr>
            <w:r>
              <w:rPr>
                <w:rFonts w:hint="eastAsia" w:ascii="宋体" w:hAnsi="宋体" w:eastAsia="宋体" w:cs="Times New Roman"/>
                <w:b w:val="0"/>
                <w:bCs/>
                <w:spacing w:val="10"/>
                <w:kern w:val="2"/>
                <w:sz w:val="21"/>
                <w:szCs w:val="21"/>
                <w:lang w:val="en-US" w:eastAsia="zh-CN" w:bidi="ar-SA"/>
              </w:rPr>
              <w:t>公司数据包括：经营状况、管理体系运行、顾客满意等过程的数据分析。查自公司管理体系运行以来，已经进行搜集信息和数据的活动：管理目标考核、顾客满意度调查。调查表用于顾客满意度调查；用于市场调查。公司通过对管理目标的状态评价服务的符合性良好；对顾客满意度评价为达到目标要求。通过内审评审公司管理体系的策划已有效实施；通过管理评审评价公司应对风险和机遇所采取措施有效，管理体系有效绩效良好，评价出管理体系改进的需求有利于进一步提高顾客满意。</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ascii="楷体" w:hAnsi="楷体" w:eastAsia="楷体" w:cs="楷体"/>
                <w:sz w:val="24"/>
                <w:szCs w:val="24"/>
              </w:rPr>
            </w:pPr>
            <w:r>
              <w:rPr>
                <w:rFonts w:hint="eastAsia" w:ascii="楷体" w:hAnsi="楷体" w:eastAsia="楷体" w:cs="楷体"/>
                <w:sz w:val="24"/>
                <w:szCs w:val="24"/>
              </w:rPr>
              <w:t>内审</w:t>
            </w:r>
          </w:p>
        </w:tc>
        <w:tc>
          <w:tcPr>
            <w:tcW w:w="960" w:type="dxa"/>
            <w:vAlign w:val="center"/>
          </w:tcPr>
          <w:p>
            <w:pPr>
              <w:rPr>
                <w:rFonts w:ascii="楷体" w:hAnsi="楷体" w:eastAsia="楷体" w:cs="楷体"/>
                <w:sz w:val="24"/>
                <w:szCs w:val="24"/>
              </w:rPr>
            </w:pPr>
            <w:r>
              <w:rPr>
                <w:rFonts w:hint="eastAsia" w:ascii="楷体" w:hAnsi="楷体" w:eastAsia="楷体" w:cs="楷体"/>
                <w:spacing w:val="-6"/>
                <w:sz w:val="24"/>
                <w:szCs w:val="24"/>
              </w:rPr>
              <w:t>QEO:</w:t>
            </w:r>
            <w:r>
              <w:rPr>
                <w:rFonts w:hint="eastAsia" w:ascii="楷体" w:hAnsi="楷体" w:eastAsia="楷体" w:cs="楷体"/>
                <w:sz w:val="24"/>
                <w:szCs w:val="24"/>
              </w:rPr>
              <w:t>9.2</w:t>
            </w:r>
          </w:p>
        </w:tc>
        <w:tc>
          <w:tcPr>
            <w:tcW w:w="10004" w:type="dxa"/>
            <w:vAlign w:val="center"/>
          </w:tcPr>
          <w:p>
            <w:pPr>
              <w:rPr>
                <w:rFonts w:hint="eastAsia"/>
                <w:lang w:val="en-US" w:eastAsia="zh-CN"/>
              </w:rPr>
            </w:pPr>
            <w:r>
              <w:rPr>
                <w:rFonts w:hint="eastAsia"/>
                <w:lang w:val="en-US" w:eastAsia="zh-CN"/>
              </w:rPr>
              <w:t>公司制定了《内审控制程序》，文件规定每年至少进行一次内部审核，间隔时间不超过12个月。规定了审核的策划、实施、形成记录以及报告结果的要求。</w:t>
            </w:r>
          </w:p>
          <w:p>
            <w:pPr>
              <w:rPr>
                <w:rFonts w:hint="eastAsia"/>
                <w:lang w:val="en-US" w:eastAsia="zh-CN"/>
              </w:rPr>
            </w:pPr>
            <w:r>
              <w:rPr>
                <w:rFonts w:hint="eastAsia"/>
                <w:lang w:val="en-US" w:eastAsia="zh-CN"/>
              </w:rPr>
              <w:t>提供了《内审计划》，审核目的，性质、范围、依据、审核时间、受审部门、日程安排、审核组长和成员等内容。</w:t>
            </w:r>
          </w:p>
          <w:p>
            <w:pPr>
              <w:rPr>
                <w:rFonts w:hint="eastAsia"/>
                <w:lang w:val="en-US" w:eastAsia="zh-CN"/>
              </w:rPr>
            </w:pPr>
            <w:r>
              <w:rPr>
                <w:rFonts w:hint="eastAsia"/>
                <w:lang w:val="en-US" w:eastAsia="zh-CN"/>
              </w:rPr>
              <w:t>内审时间：2022年2月25日。</w:t>
            </w:r>
          </w:p>
          <w:p>
            <w:pPr>
              <w:rPr>
                <w:rFonts w:hint="eastAsia"/>
                <w:lang w:val="en-US" w:eastAsia="zh-CN"/>
              </w:rPr>
            </w:pPr>
            <w:r>
              <w:rPr>
                <w:rFonts w:hint="eastAsia"/>
                <w:lang w:val="en-US" w:eastAsia="zh-CN"/>
              </w:rPr>
              <w:t>依据GB/T19001-2016、GB/T24001-2016、GB/T45001-2020标准，管理手册和体系、相关法律、法规和其它要求文件。计划由总经理批准后实施。</w:t>
            </w:r>
          </w:p>
          <w:p>
            <w:pPr>
              <w:rPr>
                <w:rFonts w:hint="eastAsia"/>
                <w:lang w:val="en-US" w:eastAsia="zh-CN"/>
              </w:rPr>
            </w:pPr>
            <w:r>
              <w:rPr>
                <w:rFonts w:hint="eastAsia"/>
                <w:lang w:val="en-US" w:eastAsia="zh-CN"/>
              </w:rPr>
              <w:t xml:space="preserve">公司按计划实施了内审。提供了内审员任命书，写明了内审员任职要求及审核要求。内审员的安排考虑了审核过程的客观性和公正性。  </w:t>
            </w:r>
          </w:p>
          <w:p>
            <w:pPr>
              <w:rPr>
                <w:rFonts w:hint="eastAsia"/>
                <w:lang w:val="en-US" w:eastAsia="zh-CN"/>
              </w:rPr>
            </w:pPr>
            <w:r>
              <w:rPr>
                <w:rFonts w:hint="eastAsia"/>
                <w:lang w:val="en-US" w:eastAsia="zh-CN"/>
              </w:rPr>
              <w:t>提供了内部审核检查表。内审不符合1项，不符合Q7.1.6，已整改并且验收合格。</w:t>
            </w:r>
          </w:p>
          <w:p>
            <w:pPr>
              <w:rPr>
                <w:rFonts w:hint="eastAsia"/>
                <w:lang w:val="en-US" w:eastAsia="zh-CN"/>
              </w:rPr>
            </w:pPr>
            <w:r>
              <w:rPr>
                <w:rFonts w:hint="eastAsia"/>
                <w:lang w:val="en-US" w:eastAsia="zh-CN"/>
              </w:rPr>
              <w:t>内审报告结论：公司贯彻实施质量、环境、职业健康安全管理体系以来，各项管理目标得到了一定的分解和落实，各级人员的质量意识、环保意识、安全意识、追求顾客满意的意识及法制观念明显增强，能明确并较好履行各自的管理职能和工作职责，对环境因素、危险源的辩识与评价基本充分、适宜，现有控制措施基本实施有效，应急准备能力较充分，相关人力、设备资源管理完好，能满足资质证书范围内的工程设计；资信证书范围内的工程咨询；水土保持方案编制、水土保持监测、水土保持设施验收的质量、环境、职业健康安全管理活动。实施与管理的需要，有效控制了不符合项的产生，质量、环境、职业健康安全管理方针与目标是适合公司实际的，质量、环境、职业健康安全管理管理体系基本符合标准及体系文件的要求、运行基本有效。</w:t>
            </w:r>
          </w:p>
          <w:p>
            <w:pPr>
              <w:pStyle w:val="2"/>
              <w:rPr>
                <w:rFonts w:hint="default"/>
                <w:lang w:val="en-US" w:eastAsia="zh-CN"/>
              </w:rPr>
            </w:pPr>
            <w:r>
              <w:rPr>
                <w:rFonts w:hint="eastAsia"/>
                <w:lang w:val="en-US" w:eastAsia="zh-CN"/>
              </w:rPr>
              <w:t>附内审签到表：</w:t>
            </w:r>
          </w:p>
          <w:p>
            <w:pPr>
              <w:jc w:val="center"/>
              <w:rPr>
                <w:rFonts w:ascii="楷体" w:hAnsi="楷体" w:eastAsia="楷体" w:cs="楷体"/>
                <w:sz w:val="24"/>
                <w:szCs w:val="24"/>
              </w:rPr>
            </w:pPr>
            <w:r>
              <w:rPr>
                <w:rFonts w:hint="eastAsia" w:eastAsia="宋体"/>
                <w:lang w:eastAsia="zh-CN"/>
              </w:rPr>
              <w:drawing>
                <wp:inline distT="0" distB="0" distL="114300" distR="114300">
                  <wp:extent cx="3277235" cy="2756535"/>
                  <wp:effectExtent l="0" t="0" r="18415" b="5715"/>
                  <wp:docPr id="13" name="图片 13" descr="165557659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55576595569"/>
                          <pic:cNvPicPr>
                            <a:picLocks noChangeAspect="1"/>
                          </pic:cNvPicPr>
                        </pic:nvPicPr>
                        <pic:blipFill>
                          <a:blip r:embed="rId11"/>
                          <a:stretch>
                            <a:fillRect/>
                          </a:stretch>
                        </pic:blipFill>
                        <pic:spPr>
                          <a:xfrm>
                            <a:off x="0" y="0"/>
                            <a:ext cx="3277235" cy="2756535"/>
                          </a:xfrm>
                          <a:prstGeom prst="rect">
                            <a:avLst/>
                          </a:prstGeom>
                        </pic:spPr>
                      </pic:pic>
                    </a:graphicData>
                  </a:graphic>
                </wp:inline>
              </w:drawing>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楷体" w:hAnsi="楷体" w:eastAsia="楷体" w:cs="楷体"/>
                <w:spacing w:val="-6"/>
                <w:sz w:val="24"/>
                <w:szCs w:val="24"/>
              </w:rPr>
            </w:pPr>
            <w:r>
              <w:rPr>
                <w:rFonts w:hint="eastAsia" w:ascii="楷体" w:hAnsi="楷体" w:eastAsia="楷体" w:cs="楷体"/>
                <w:spacing w:val="-6"/>
                <w:sz w:val="24"/>
                <w:szCs w:val="24"/>
              </w:rPr>
              <w:t>不合格和纠正措施</w:t>
            </w:r>
          </w:p>
        </w:tc>
        <w:tc>
          <w:tcPr>
            <w:tcW w:w="960" w:type="dxa"/>
          </w:tcPr>
          <w:p>
            <w:pPr>
              <w:spacing w:line="360" w:lineRule="auto"/>
              <w:jc w:val="center"/>
              <w:rPr>
                <w:rFonts w:ascii="楷体" w:hAnsi="楷体" w:eastAsia="楷体" w:cs="楷体"/>
                <w:spacing w:val="-6"/>
                <w:sz w:val="24"/>
                <w:szCs w:val="24"/>
              </w:rPr>
            </w:pPr>
            <w:r>
              <w:rPr>
                <w:rFonts w:hint="eastAsia" w:ascii="楷体" w:hAnsi="楷体" w:eastAsia="楷体" w:cs="楷体"/>
                <w:spacing w:val="-6"/>
                <w:sz w:val="24"/>
                <w:szCs w:val="24"/>
              </w:rPr>
              <w:t>QEO:10.2</w:t>
            </w:r>
          </w:p>
        </w:tc>
        <w:tc>
          <w:tcPr>
            <w:tcW w:w="10004" w:type="dxa"/>
          </w:tcPr>
          <w:p>
            <w:pPr>
              <w:pStyle w:val="6"/>
              <w:spacing w:after="0" w:line="360" w:lineRule="auto"/>
              <w:ind w:firstLine="480"/>
              <w:rPr>
                <w:rFonts w:hint="eastAsia" w:ascii="宋体" w:hAnsi="宋体" w:eastAsia="宋体" w:cs="Times New Roman"/>
                <w:szCs w:val="21"/>
              </w:rPr>
            </w:pPr>
            <w:r>
              <w:rPr>
                <w:rFonts w:hint="eastAsia" w:ascii="宋体" w:hAnsi="宋体" w:eastAsia="宋体" w:cs="Times New Roman"/>
                <w:szCs w:val="21"/>
              </w:rPr>
              <w:t>公司建立</w:t>
            </w:r>
            <w:r>
              <w:rPr>
                <w:rFonts w:hint="eastAsia" w:ascii="宋体" w:hAnsi="宋体" w:eastAsia="宋体" w:cs="Times New Roman"/>
                <w:szCs w:val="21"/>
                <w:lang w:eastAsia="zh-CN"/>
              </w:rPr>
              <w:t>《</w:t>
            </w:r>
            <w:r>
              <w:rPr>
                <w:rFonts w:hint="eastAsia" w:ascii="宋体" w:hAnsi="宋体" w:eastAsia="宋体" w:cs="Times New Roman"/>
                <w:szCs w:val="21"/>
              </w:rPr>
              <w:t>纠正措施控制程序</w:t>
            </w:r>
            <w:r>
              <w:rPr>
                <w:rFonts w:hint="eastAsia" w:ascii="宋体" w:hAnsi="宋体" w:eastAsia="宋体" w:cs="Times New Roman"/>
                <w:szCs w:val="21"/>
                <w:lang w:eastAsia="zh-CN"/>
              </w:rPr>
              <w:t>》《</w:t>
            </w:r>
            <w:r>
              <w:rPr>
                <w:rFonts w:hint="eastAsia" w:ascii="宋体" w:hAnsi="宋体" w:eastAsia="宋体" w:cs="Times New Roman"/>
                <w:szCs w:val="21"/>
              </w:rPr>
              <w:t>预防措施控制程序</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等</w:t>
            </w:r>
            <w:r>
              <w:rPr>
                <w:rFonts w:hint="eastAsia" w:ascii="宋体" w:hAnsi="宋体" w:eastAsia="宋体" w:cs="Times New Roman"/>
                <w:szCs w:val="21"/>
              </w:rPr>
              <w:t>文件</w:t>
            </w:r>
            <w:r>
              <w:rPr>
                <w:rFonts w:hint="eastAsia" w:ascii="宋体" w:hAnsi="宋体" w:eastAsia="宋体" w:cs="Times New Roman"/>
                <w:szCs w:val="21"/>
                <w:lang w:eastAsia="zh-CN"/>
              </w:rPr>
              <w:t>，</w:t>
            </w:r>
            <w:r>
              <w:rPr>
                <w:rFonts w:hint="eastAsia" w:ascii="宋体" w:hAnsi="宋体" w:eastAsia="宋体" w:cs="Times New Roman"/>
                <w:szCs w:val="21"/>
              </w:rPr>
              <w:t>对纠正预防措施识别、评审、验证，事故事件报告、调查、处理等进行了策划。</w:t>
            </w:r>
          </w:p>
          <w:p>
            <w:pPr>
              <w:pStyle w:val="6"/>
              <w:spacing w:after="0" w:line="360" w:lineRule="auto"/>
              <w:ind w:firstLine="480"/>
              <w:rPr>
                <w:rFonts w:hint="eastAsia" w:ascii="宋体" w:hAnsi="宋体" w:eastAsia="宋体" w:cs="Times New Roman"/>
                <w:szCs w:val="21"/>
              </w:rPr>
            </w:pPr>
            <w:r>
              <w:rPr>
                <w:rFonts w:hint="eastAsia" w:ascii="宋体" w:hAnsi="宋体" w:eastAsia="宋体" w:cs="Times New Roman"/>
                <w:szCs w:val="21"/>
              </w:rPr>
              <w:t>对日常检查和内审、管理评审中提出的不合格项进行了原因分析，并策划纠正措施并实施，对所采取的纠正措施进行验证。</w:t>
            </w:r>
          </w:p>
          <w:p>
            <w:pPr>
              <w:pStyle w:val="6"/>
              <w:spacing w:after="0" w:line="360" w:lineRule="auto"/>
              <w:ind w:firstLine="480"/>
              <w:rPr>
                <w:rFonts w:hint="eastAsia" w:ascii="宋体" w:hAnsi="宋体" w:eastAsia="宋体" w:cs="Times New Roman"/>
                <w:szCs w:val="21"/>
              </w:rPr>
            </w:pPr>
            <w:r>
              <w:rPr>
                <w:rFonts w:hint="eastAsia" w:ascii="宋体" w:hAnsi="宋体" w:eastAsia="宋体" w:cs="Times New Roman"/>
                <w:kern w:val="2"/>
                <w:sz w:val="21"/>
                <w:szCs w:val="21"/>
                <w:lang w:val="en-US" w:eastAsia="zh-CN" w:bidi="ar-SA"/>
              </w:rPr>
              <w:t>经与负责人沟通和查阅文件确认，</w:t>
            </w:r>
            <w:r>
              <w:rPr>
                <w:rFonts w:hint="eastAsia" w:ascii="宋体" w:hAnsi="宋体" w:eastAsia="宋体" w:cs="Times New Roman"/>
                <w:szCs w:val="21"/>
              </w:rPr>
              <w:t>体系运行以来公司按照体系的要求，通过运行控制、加强培训，以及开展管理评审活动等方式采取预防措施，防止不符合/不合格的发生，不符合得到了有效控制。通过分析实际存在的或潜在的不符合的原因，制定纠正和预防措施，并验证其效果，以防止不符合的发生／再发生，实现持续改进绩效的目的。</w:t>
            </w:r>
          </w:p>
          <w:p>
            <w:pPr>
              <w:pStyle w:val="6"/>
              <w:spacing w:after="0" w:line="360" w:lineRule="auto"/>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公司设计咨询服务过程中未发生过质量、环境和安全等事故。事件调查暂未发生。 行政人事部负责纠正措施的归口管理。对内审和日常检查发现的不合格项，责任部门根据不合格事实描述进行原因分析，制定纠正措施计划并组织实施，在本次审核过程中未发现类似问题。 通过分析和评价、合规性评价、内部审核和管理评审的结果，确定和选择改进机会，并采取必要措施，以满足服务对象要求、增强服务对象及相关方满意、实现管理体系的预期结果。 </w:t>
            </w:r>
          </w:p>
          <w:p>
            <w:pPr>
              <w:pStyle w:val="6"/>
              <w:spacing w:after="0" w:line="360" w:lineRule="auto"/>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改进的方法包括：纠正、纠正措施、持续改进、突破性变更、革新和重组。 持续改进是公司的永恒目标。公司通过管理方针、管理目标、审核结果、数据分析、纠正措施和预防措施以及管理评审，实现管理体系有效性的不断改进，以达到增强顾客满意，促进管理体系正常运行并持续改进。 </w:t>
            </w:r>
          </w:p>
          <w:p>
            <w:pPr>
              <w:pStyle w:val="6"/>
              <w:spacing w:after="0" w:line="360" w:lineRule="auto"/>
              <w:ind w:firstLine="480"/>
              <w:rPr>
                <w:rFonts w:hint="eastAsia" w:ascii="宋体" w:hAnsi="宋体" w:eastAsia="宋体" w:cs="Times New Roman"/>
                <w:szCs w:val="21"/>
              </w:rPr>
            </w:pPr>
            <w:r>
              <w:rPr>
                <w:rFonts w:hint="eastAsia" w:ascii="宋体" w:hAnsi="宋体" w:eastAsia="宋体" w:cs="Times New Roman"/>
                <w:szCs w:val="21"/>
              </w:rPr>
              <w:t>公司成立以来没有发生重大质量、环境、职业健康安全事故和投诉处罚。</w:t>
            </w:r>
          </w:p>
          <w:p>
            <w:pPr>
              <w:pStyle w:val="6"/>
              <w:spacing w:after="0" w:line="360" w:lineRule="auto"/>
              <w:ind w:firstLine="480"/>
              <w:rPr>
                <w:rFonts w:ascii="楷体" w:hAnsi="楷体" w:eastAsia="楷体" w:cs="楷体"/>
                <w:sz w:val="24"/>
                <w:szCs w:val="24"/>
              </w:rPr>
            </w:pPr>
            <w:r>
              <w:rPr>
                <w:rFonts w:hint="eastAsia" w:ascii="宋体" w:hAnsi="宋体" w:eastAsia="宋体" w:cs="Times New Roman"/>
                <w:szCs w:val="21"/>
              </w:rPr>
              <w:t>基本符合标准规定要求。</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楷体" w:hAnsi="楷体" w:eastAsia="楷体" w:cs="楷体"/>
                <w:spacing w:val="-6"/>
                <w:sz w:val="24"/>
                <w:szCs w:val="24"/>
              </w:rPr>
            </w:pPr>
          </w:p>
        </w:tc>
        <w:tc>
          <w:tcPr>
            <w:tcW w:w="960" w:type="dxa"/>
          </w:tcPr>
          <w:p>
            <w:pPr>
              <w:spacing w:line="360" w:lineRule="auto"/>
              <w:jc w:val="center"/>
              <w:rPr>
                <w:rFonts w:ascii="楷体" w:hAnsi="楷体" w:eastAsia="楷体" w:cs="楷体"/>
                <w:spacing w:val="-6"/>
                <w:sz w:val="24"/>
                <w:szCs w:val="24"/>
              </w:rPr>
            </w:pPr>
            <w:r>
              <w:rPr>
                <w:rFonts w:hint="eastAsia" w:ascii="楷体" w:hAnsi="楷体" w:eastAsia="楷体" w:cs="楷体"/>
                <w:spacing w:val="-6"/>
                <w:sz w:val="24"/>
                <w:szCs w:val="24"/>
              </w:rPr>
              <w:t>财务数据</w:t>
            </w:r>
          </w:p>
        </w:tc>
        <w:tc>
          <w:tcPr>
            <w:tcW w:w="10004" w:type="dxa"/>
          </w:tcPr>
          <w:p>
            <w:pPr>
              <w:pStyle w:val="6"/>
              <w:spacing w:after="0" w:line="360" w:lineRule="auto"/>
              <w:ind w:firstLine="480"/>
              <w:rPr>
                <w:rFonts w:ascii="楷体" w:hAnsi="楷体" w:eastAsia="楷体" w:cs="楷体"/>
                <w:sz w:val="24"/>
                <w:szCs w:val="24"/>
              </w:rPr>
            </w:pPr>
            <w:r>
              <w:rPr>
                <w:rFonts w:hint="eastAsia" w:ascii="宋体" w:hAnsi="宋体" w:eastAsia="宋体" w:cs="Times New Roman"/>
                <w:szCs w:val="21"/>
              </w:rPr>
              <w:t>环保和安全</w:t>
            </w:r>
            <w:r>
              <w:rPr>
                <w:rFonts w:hint="eastAsia" w:ascii="宋体" w:hAnsi="宋体" w:eastAsia="宋体" w:cs="Times New Roman"/>
                <w:szCs w:val="21"/>
                <w:lang w:val="en-US" w:eastAsia="zh-CN"/>
              </w:rPr>
              <w:t>年度</w:t>
            </w:r>
            <w:r>
              <w:rPr>
                <w:rFonts w:hint="eastAsia" w:ascii="宋体" w:hAnsi="宋体" w:eastAsia="宋体" w:cs="Times New Roman"/>
                <w:szCs w:val="21"/>
              </w:rPr>
              <w:t>投入费用共支出环境安全费用</w:t>
            </w:r>
            <w:r>
              <w:rPr>
                <w:rFonts w:hint="eastAsia" w:ascii="宋体" w:hAnsi="宋体" w:eastAsia="宋体" w:cs="Times New Roman"/>
                <w:szCs w:val="21"/>
                <w:lang w:val="en-US" w:eastAsia="zh-CN"/>
              </w:rPr>
              <w:t>41976</w:t>
            </w:r>
            <w:r>
              <w:rPr>
                <w:rFonts w:hint="eastAsia" w:ascii="宋体" w:hAnsi="宋体" w:eastAsia="宋体" w:cs="Times New Roman"/>
                <w:szCs w:val="21"/>
              </w:rPr>
              <w:t>元</w:t>
            </w:r>
            <w:r>
              <w:rPr>
                <w:rFonts w:hint="eastAsia" w:ascii="宋体" w:hAnsi="宋体" w:eastAsia="宋体" w:cs="Times New Roman"/>
                <w:szCs w:val="21"/>
                <w:lang w:eastAsia="zh-CN"/>
              </w:rPr>
              <w:t>，</w:t>
            </w:r>
            <w:r>
              <w:rPr>
                <w:rFonts w:hint="eastAsia" w:ascii="宋体" w:hAnsi="宋体" w:eastAsia="宋体" w:cs="Times New Roman"/>
                <w:szCs w:val="21"/>
              </w:rPr>
              <w:t>包含：培训费、应急演练费用、人员劳保费用支出等。环保和安全投资已经到位。</w:t>
            </w:r>
          </w:p>
        </w:tc>
        <w:tc>
          <w:tcPr>
            <w:tcW w:w="1585" w:type="dxa"/>
          </w:tcPr>
          <w:p>
            <w:pPr>
              <w:rPr>
                <w:rFonts w:ascii="楷体" w:hAnsi="楷体" w:eastAsia="楷体" w:cs="楷体"/>
                <w:sz w:val="24"/>
                <w:szCs w:val="24"/>
              </w:rPr>
            </w:pPr>
            <w:r>
              <w:rPr>
                <w:rFonts w:hint="eastAsia" w:ascii="楷体" w:hAnsi="楷体" w:eastAsia="楷体" w:cs="楷体"/>
                <w:sz w:val="24"/>
                <w:szCs w:val="24"/>
              </w:rPr>
              <w:t>符合</w:t>
            </w:r>
          </w:p>
        </w:tc>
      </w:tr>
    </w:tbl>
    <w:p>
      <w:pPr>
        <w:rPr>
          <w:rFonts w:ascii="楷体" w:hAnsi="楷体" w:eastAsia="楷体" w:cs="楷体"/>
          <w:sz w:val="24"/>
          <w:szCs w:val="24"/>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590DB"/>
    <w:multiLevelType w:val="singleLevel"/>
    <w:tmpl w:val="F2D590DB"/>
    <w:lvl w:ilvl="0" w:tentative="0">
      <w:start w:val="1"/>
      <w:numFmt w:val="decimal"/>
      <w:lvlText w:val="（%1)"/>
      <w:lvlJc w:val="left"/>
      <w:pPr>
        <w:tabs>
          <w:tab w:val="left" w:pos="420"/>
        </w:tabs>
        <w:ind w:left="425" w:hanging="425"/>
      </w:pPr>
      <w:rPr>
        <w:rFonts w:hint="default"/>
      </w:rPr>
    </w:lvl>
  </w:abstractNum>
  <w:abstractNum w:abstractNumId="1">
    <w:nsid w:val="7C294981"/>
    <w:multiLevelType w:val="singleLevel"/>
    <w:tmpl w:val="7C29498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NiZmUxYjVmNTkxYjI0YTFkZjc1MjE1NDdlNzgifQ=="/>
  </w:docVars>
  <w:rsids>
    <w:rsidRoot w:val="009C7DD5"/>
    <w:rsid w:val="0000434F"/>
    <w:rsid w:val="00023CD7"/>
    <w:rsid w:val="00073995"/>
    <w:rsid w:val="00080365"/>
    <w:rsid w:val="00096F8C"/>
    <w:rsid w:val="000B3AE6"/>
    <w:rsid w:val="000C15DF"/>
    <w:rsid w:val="000C234A"/>
    <w:rsid w:val="000D7B6C"/>
    <w:rsid w:val="0015337E"/>
    <w:rsid w:val="0017733F"/>
    <w:rsid w:val="002115DF"/>
    <w:rsid w:val="002157F0"/>
    <w:rsid w:val="002461A3"/>
    <w:rsid w:val="00296222"/>
    <w:rsid w:val="002B2424"/>
    <w:rsid w:val="002C2E48"/>
    <w:rsid w:val="003351F9"/>
    <w:rsid w:val="003355C9"/>
    <w:rsid w:val="00370DC6"/>
    <w:rsid w:val="00371106"/>
    <w:rsid w:val="003920E6"/>
    <w:rsid w:val="003B22E2"/>
    <w:rsid w:val="003C1BEE"/>
    <w:rsid w:val="003C36F6"/>
    <w:rsid w:val="003C5B06"/>
    <w:rsid w:val="003E4758"/>
    <w:rsid w:val="004274AF"/>
    <w:rsid w:val="004343E5"/>
    <w:rsid w:val="00473DED"/>
    <w:rsid w:val="004A4462"/>
    <w:rsid w:val="004A6DC8"/>
    <w:rsid w:val="004B006F"/>
    <w:rsid w:val="004B79B3"/>
    <w:rsid w:val="004E31BE"/>
    <w:rsid w:val="004E6CBF"/>
    <w:rsid w:val="004E6F27"/>
    <w:rsid w:val="004F1721"/>
    <w:rsid w:val="004F3E2F"/>
    <w:rsid w:val="004F44CC"/>
    <w:rsid w:val="004F56BE"/>
    <w:rsid w:val="005014F5"/>
    <w:rsid w:val="00503F3E"/>
    <w:rsid w:val="0051492E"/>
    <w:rsid w:val="00524D7E"/>
    <w:rsid w:val="00534FD6"/>
    <w:rsid w:val="005D496A"/>
    <w:rsid w:val="005F0E0D"/>
    <w:rsid w:val="00667460"/>
    <w:rsid w:val="006868B1"/>
    <w:rsid w:val="00694770"/>
    <w:rsid w:val="006A442A"/>
    <w:rsid w:val="006D3103"/>
    <w:rsid w:val="006E6583"/>
    <w:rsid w:val="00717008"/>
    <w:rsid w:val="00730878"/>
    <w:rsid w:val="007343FC"/>
    <w:rsid w:val="00747648"/>
    <w:rsid w:val="0077259C"/>
    <w:rsid w:val="007951A5"/>
    <w:rsid w:val="007A43DF"/>
    <w:rsid w:val="007A5AB4"/>
    <w:rsid w:val="007C1671"/>
    <w:rsid w:val="007D4EAA"/>
    <w:rsid w:val="007F5DDC"/>
    <w:rsid w:val="0082740A"/>
    <w:rsid w:val="00862951"/>
    <w:rsid w:val="00864FA2"/>
    <w:rsid w:val="008A60C5"/>
    <w:rsid w:val="008F3BB2"/>
    <w:rsid w:val="00901424"/>
    <w:rsid w:val="0090545B"/>
    <w:rsid w:val="00920A07"/>
    <w:rsid w:val="009268F9"/>
    <w:rsid w:val="00933FF8"/>
    <w:rsid w:val="00996FF2"/>
    <w:rsid w:val="009971CE"/>
    <w:rsid w:val="00997613"/>
    <w:rsid w:val="009A609F"/>
    <w:rsid w:val="009C0735"/>
    <w:rsid w:val="009C7DD5"/>
    <w:rsid w:val="009E398B"/>
    <w:rsid w:val="009E572F"/>
    <w:rsid w:val="00A022B9"/>
    <w:rsid w:val="00A34A42"/>
    <w:rsid w:val="00A4526A"/>
    <w:rsid w:val="00A5489E"/>
    <w:rsid w:val="00AA009C"/>
    <w:rsid w:val="00AB5E0D"/>
    <w:rsid w:val="00AB78A0"/>
    <w:rsid w:val="00AE2F60"/>
    <w:rsid w:val="00B43766"/>
    <w:rsid w:val="00B5658B"/>
    <w:rsid w:val="00B721AA"/>
    <w:rsid w:val="00B96DBF"/>
    <w:rsid w:val="00BA5252"/>
    <w:rsid w:val="00BB525C"/>
    <w:rsid w:val="00BC0D3D"/>
    <w:rsid w:val="00BF2190"/>
    <w:rsid w:val="00C61091"/>
    <w:rsid w:val="00C83A9D"/>
    <w:rsid w:val="00CA617D"/>
    <w:rsid w:val="00CB1F8E"/>
    <w:rsid w:val="00D214D7"/>
    <w:rsid w:val="00D35B62"/>
    <w:rsid w:val="00D35DCD"/>
    <w:rsid w:val="00D42CCD"/>
    <w:rsid w:val="00D449FE"/>
    <w:rsid w:val="00D90844"/>
    <w:rsid w:val="00DA5638"/>
    <w:rsid w:val="00DB7132"/>
    <w:rsid w:val="00DC733D"/>
    <w:rsid w:val="00DD1AE5"/>
    <w:rsid w:val="00DF2A29"/>
    <w:rsid w:val="00DF4C85"/>
    <w:rsid w:val="00E1080C"/>
    <w:rsid w:val="00E10A3F"/>
    <w:rsid w:val="00E349F2"/>
    <w:rsid w:val="00E437EE"/>
    <w:rsid w:val="00E722C5"/>
    <w:rsid w:val="00E86E9F"/>
    <w:rsid w:val="00E872BA"/>
    <w:rsid w:val="00EA4DF2"/>
    <w:rsid w:val="00EB756D"/>
    <w:rsid w:val="00EC26FC"/>
    <w:rsid w:val="00ED1E64"/>
    <w:rsid w:val="00EE0BD7"/>
    <w:rsid w:val="00EF34D4"/>
    <w:rsid w:val="00F03162"/>
    <w:rsid w:val="00F05481"/>
    <w:rsid w:val="00F41232"/>
    <w:rsid w:val="00F50065"/>
    <w:rsid w:val="00F51FBA"/>
    <w:rsid w:val="00F5350F"/>
    <w:rsid w:val="00FD332D"/>
    <w:rsid w:val="00FE2BE2"/>
    <w:rsid w:val="00FE46D7"/>
    <w:rsid w:val="00FE765F"/>
    <w:rsid w:val="00FF2F1B"/>
    <w:rsid w:val="00FF6666"/>
    <w:rsid w:val="012006C9"/>
    <w:rsid w:val="023F39F3"/>
    <w:rsid w:val="025C7A4D"/>
    <w:rsid w:val="04403F50"/>
    <w:rsid w:val="04E15EEC"/>
    <w:rsid w:val="07FA09CB"/>
    <w:rsid w:val="0FB5449A"/>
    <w:rsid w:val="104C5699"/>
    <w:rsid w:val="128D25A2"/>
    <w:rsid w:val="13B51710"/>
    <w:rsid w:val="14D40570"/>
    <w:rsid w:val="15264D6A"/>
    <w:rsid w:val="15EB6A9C"/>
    <w:rsid w:val="15FB79D3"/>
    <w:rsid w:val="17A34B99"/>
    <w:rsid w:val="18F94F5A"/>
    <w:rsid w:val="1BF61CF0"/>
    <w:rsid w:val="1EE0318C"/>
    <w:rsid w:val="2038321D"/>
    <w:rsid w:val="21307DF8"/>
    <w:rsid w:val="22B8663F"/>
    <w:rsid w:val="24560EAC"/>
    <w:rsid w:val="257F505B"/>
    <w:rsid w:val="28F35BE5"/>
    <w:rsid w:val="29263C0B"/>
    <w:rsid w:val="2E8C74BD"/>
    <w:rsid w:val="2ECD3573"/>
    <w:rsid w:val="38F359E1"/>
    <w:rsid w:val="3915506A"/>
    <w:rsid w:val="3B277131"/>
    <w:rsid w:val="3E3E47E7"/>
    <w:rsid w:val="3E882CE5"/>
    <w:rsid w:val="3F3D59ED"/>
    <w:rsid w:val="3F437F12"/>
    <w:rsid w:val="42435BAA"/>
    <w:rsid w:val="47A849BE"/>
    <w:rsid w:val="48B13C8F"/>
    <w:rsid w:val="4A7D74DC"/>
    <w:rsid w:val="4BF56C7F"/>
    <w:rsid w:val="4CB919EE"/>
    <w:rsid w:val="4E1470AD"/>
    <w:rsid w:val="4EFD5B70"/>
    <w:rsid w:val="4F1D62CD"/>
    <w:rsid w:val="51242562"/>
    <w:rsid w:val="51646CCC"/>
    <w:rsid w:val="525327FE"/>
    <w:rsid w:val="54B46CBC"/>
    <w:rsid w:val="569647B0"/>
    <w:rsid w:val="56C50817"/>
    <w:rsid w:val="574B641B"/>
    <w:rsid w:val="57D12DCE"/>
    <w:rsid w:val="5A35176E"/>
    <w:rsid w:val="5EA60B97"/>
    <w:rsid w:val="5EA86D46"/>
    <w:rsid w:val="5F8B0825"/>
    <w:rsid w:val="5FC77BFC"/>
    <w:rsid w:val="62A07D88"/>
    <w:rsid w:val="631B69F2"/>
    <w:rsid w:val="64FA7C1D"/>
    <w:rsid w:val="687927CB"/>
    <w:rsid w:val="6A3368E3"/>
    <w:rsid w:val="714B5CA6"/>
    <w:rsid w:val="765C3E08"/>
    <w:rsid w:val="79CF15E2"/>
    <w:rsid w:val="7DB62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after="120"/>
      <w:ind w:firstLine="720" w:firstLineChars="200"/>
    </w:pPr>
  </w:style>
  <w:style w:type="paragraph" w:styleId="7">
    <w:name w:val="toc 3"/>
    <w:basedOn w:val="1"/>
    <w:next w:val="1"/>
    <w:qFormat/>
    <w:uiPriority w:val="0"/>
    <w:pPr>
      <w:ind w:left="840" w:leftChars="400"/>
      <w:jc w:val="both"/>
    </w:pPr>
    <w:rPr>
      <w:rFonts w:ascii="Calibri" w:hAnsi="Calibri" w:eastAsia="宋体" w:cs="Calibri"/>
      <w:iCs/>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Hyperlink"/>
    <w:unhideWhenUsed/>
    <w:qFormat/>
    <w:uiPriority w:val="99"/>
    <w:rPr>
      <w:color w:val="0000FF"/>
      <w:u w:val="single"/>
    </w:rPr>
  </w:style>
  <w:style w:type="character" w:customStyle="1" w:styleId="17">
    <w:name w:val="页眉 字符"/>
    <w:basedOn w:val="14"/>
    <w:link w:val="10"/>
    <w:qFormat/>
    <w:uiPriority w:val="99"/>
    <w:rPr>
      <w:rFonts w:ascii="Times New Roman" w:hAnsi="Times New Roman" w:eastAsia="宋体" w:cs="Times New Roman"/>
      <w:sz w:val="18"/>
      <w:szCs w:val="18"/>
    </w:rPr>
  </w:style>
  <w:style w:type="character" w:customStyle="1" w:styleId="18">
    <w:name w:val="页脚 字符"/>
    <w:basedOn w:val="14"/>
    <w:link w:val="9"/>
    <w:qFormat/>
    <w:uiPriority w:val="99"/>
    <w:rPr>
      <w:rFonts w:ascii="Times New Roman" w:hAnsi="Times New Roman" w:eastAsia="宋体" w:cs="Times New Roman"/>
      <w:sz w:val="18"/>
      <w:szCs w:val="18"/>
    </w:rPr>
  </w:style>
  <w:style w:type="character" w:customStyle="1" w:styleId="19">
    <w:name w:val="批注框文本 字符"/>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styleId="22">
    <w:name w:val="List Paragraph"/>
    <w:basedOn w:val="1"/>
    <w:qFormat/>
    <w:uiPriority w:val="99"/>
    <w:pPr>
      <w:ind w:firstLine="420" w:firstLineChars="200"/>
    </w:pPr>
  </w:style>
  <w:style w:type="character" w:customStyle="1" w:styleId="23">
    <w:name w:val="info-content-text"/>
    <w:basedOn w:val="14"/>
    <w:qFormat/>
    <w:uiPriority w:val="0"/>
  </w:style>
  <w:style w:type="paragraph" w:customStyle="1" w:styleId="24">
    <w:name w:val="_Style 2"/>
    <w:basedOn w:val="1"/>
    <w:qFormat/>
    <w:uiPriority w:val="34"/>
    <w:pPr>
      <w:ind w:firstLine="420" w:firstLineChars="200"/>
    </w:pPr>
    <w:rPr>
      <w:rFonts w:ascii="Calibri" w:hAnsi="Calibri"/>
      <w:szCs w:val="22"/>
    </w:rPr>
  </w:style>
  <w:style w:type="character" w:customStyle="1" w:styleId="25">
    <w:name w:val="标题 3 字符"/>
    <w:basedOn w:val="14"/>
    <w:link w:val="5"/>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7565</Words>
  <Characters>8158</Characters>
  <Lines>80</Lines>
  <Paragraphs>22</Paragraphs>
  <TotalTime>1</TotalTime>
  <ScaleCrop>false</ScaleCrop>
  <LinksUpToDate>false</LinksUpToDate>
  <CharactersWithSpaces>8435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ochii</cp:lastModifiedBy>
  <dcterms:modified xsi:type="dcterms:W3CDTF">2022-06-20T09:18:50Z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