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0563-2021-QO-2022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四川良翔健康管理服务有限公司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四川良翔健康管理服务有限公司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成都市武侯区聚龙路1251号1幢8层803号</w:t>
            </w:r>
            <w:bookmarkEnd w:id="6"/>
          </w:p>
        </w:tc>
        <w:tc>
          <w:tcPr>
            <w:tcW w:w="1242" w:type="dxa"/>
            <w:vMerge w:val="restart"/>
            <w:vAlign w:val="center"/>
          </w:tcPr>
          <w:p>
            <w:r>
              <w:rPr>
                <w:rFonts w:hint="eastAsia"/>
              </w:rPr>
              <w:t>邮编</w:t>
            </w:r>
          </w:p>
        </w:tc>
        <w:tc>
          <w:tcPr>
            <w:tcW w:w="1771" w:type="dxa"/>
          </w:tcPr>
          <w:p>
            <w:bookmarkStart w:id="7" w:name="注册邮编"/>
            <w:r>
              <w:t>610000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四川省金堂县米家巷上岛8栋129号</w:t>
            </w:r>
            <w:bookmarkEnd w:id="8"/>
          </w:p>
        </w:tc>
        <w:tc>
          <w:tcPr>
            <w:tcW w:w="1242" w:type="dxa"/>
            <w:vMerge w:val="continue"/>
            <w:vAlign w:val="center"/>
          </w:tcPr>
          <w:p/>
        </w:tc>
        <w:tc>
          <w:tcPr>
            <w:tcW w:w="1771" w:type="dxa"/>
          </w:tcPr>
          <w:p>
            <w:bookmarkStart w:id="9" w:name="办公邮编"/>
            <w: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王瑞</w:t>
            </w:r>
            <w:bookmarkEnd w:id="10"/>
          </w:p>
        </w:tc>
        <w:tc>
          <w:tcPr>
            <w:tcW w:w="1313" w:type="dxa"/>
            <w:vAlign w:val="center"/>
          </w:tcPr>
          <w:p>
            <w:r>
              <w:rPr>
                <w:rFonts w:hint="eastAsia"/>
              </w:rPr>
              <w:t>电话.</w:t>
            </w:r>
          </w:p>
        </w:tc>
        <w:tc>
          <w:tcPr>
            <w:tcW w:w="2180" w:type="dxa"/>
            <w:vAlign w:val="center"/>
          </w:tcPr>
          <w:p>
            <w:bookmarkStart w:id="11" w:name="联系人电话"/>
            <w:r>
              <w:t>18829841889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文仁发</w:t>
            </w:r>
            <w:bookmarkEnd w:id="13"/>
          </w:p>
        </w:tc>
        <w:tc>
          <w:tcPr>
            <w:tcW w:w="1313" w:type="dxa"/>
            <w:vAlign w:val="center"/>
          </w:tcPr>
          <w:p>
            <w:r>
              <w:rPr>
                <w:rFonts w:hint="eastAsia"/>
              </w:rPr>
              <w:t>管理者代表</w:t>
            </w:r>
          </w:p>
        </w:tc>
        <w:tc>
          <w:tcPr>
            <w:tcW w:w="2180" w:type="dxa"/>
          </w:tcPr>
          <w:p>
            <w:bookmarkStart w:id="14" w:name="管理者代表"/>
            <w:r>
              <w:t>文仁发</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b/>
                <w:sz w:val="20"/>
              </w:rPr>
              <w:t>服务过程：客户需求→协议签订→病人护理→服务完成→满意度调查。</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2022年06月18日 上午至2022年06月18日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四川省金堂县米家巷上岛8栋129号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Q：病人陪护服务（不含诊疗）</w:t>
            </w:r>
          </w:p>
          <w:p>
            <w:r>
              <w:t>O：病人陪护服务（不含诊疗）所涉及场所的相关职业健康安全管理活动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Q：38.04.00</w:t>
            </w:r>
          </w:p>
          <w:p>
            <w:r>
              <w:t>O：38.04.00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12</w:t>
            </w:r>
            <w:r>
              <w:rPr>
                <w:rFonts w:hint="eastAsia"/>
              </w:rPr>
              <w:t>月</w:t>
            </w:r>
            <w:r>
              <w:rPr>
                <w:rFonts w:hint="eastAsia"/>
                <w:lang w:val="en-US" w:eastAsia="zh-CN"/>
              </w:rPr>
              <w:t>20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asciiTheme="minorEastAsia" w:hAnsiTheme="minorEastAsia" w:eastAsiaTheme="minorEastAsia"/>
                <w:sz w:val="20"/>
              </w:rPr>
              <w:t>成都市武侯区聚龙路1251号1幢8层803号</w:t>
            </w:r>
          </w:p>
        </w:tc>
        <w:tc>
          <w:tcPr>
            <w:tcW w:w="2267" w:type="dxa"/>
          </w:tcPr>
          <w:p>
            <w:pPr>
              <w:rPr>
                <w:rFonts w:hint="eastAsia"/>
                <w:lang w:eastAsia="zh-CN"/>
              </w:rPr>
            </w:pPr>
            <w:r>
              <w:rPr>
                <w:rFonts w:hint="eastAsia"/>
              </w:rPr>
              <w:t>经营场所的地址</w:t>
            </w:r>
            <w:r>
              <w:rPr>
                <w:rFonts w:hint="eastAsia"/>
                <w:lang w:eastAsia="zh-CN"/>
              </w:rPr>
              <w:t>：</w:t>
            </w:r>
          </w:p>
          <w:p>
            <w:r>
              <w:t>四川省金堂县米家巷上岛8栋129号</w:t>
            </w:r>
          </w:p>
          <w:p>
            <w:pPr>
              <w:pStyle w:val="13"/>
              <w:rPr>
                <w:rFonts w:hint="eastAsia" w:eastAsia="宋体"/>
                <w:lang w:val="de-DE" w:eastAsia="zh-CN"/>
              </w:rPr>
            </w:pPr>
            <w:r>
              <w:rPr>
                <w:rFonts w:hint="eastAsia"/>
              </w:rPr>
              <w:t>临时现场</w:t>
            </w:r>
            <w:r>
              <w:rPr>
                <w:rFonts w:hint="eastAsia"/>
                <w:lang w:eastAsia="zh-CN"/>
              </w:rPr>
              <w:t>：</w:t>
            </w:r>
            <w:r>
              <w:rPr>
                <w:rFonts w:hint="eastAsia"/>
                <w:color w:val="000000"/>
                <w:lang w:val="en-US" w:eastAsia="zh-CN"/>
              </w:rPr>
              <w:t>成都市妇女儿童中心医院金堂分院</w:t>
            </w:r>
          </w:p>
        </w:tc>
        <w:tc>
          <w:tcPr>
            <w:tcW w:w="571" w:type="dxa"/>
            <w:vAlign w:val="center"/>
          </w:tcPr>
          <w:p>
            <w:pPr>
              <w:rPr>
                <w:rFonts w:hint="default" w:eastAsia="宋体"/>
                <w:lang w:val="en-US" w:eastAsia="zh-CN"/>
              </w:rPr>
            </w:pPr>
            <w:r>
              <w:rPr>
                <w:rFonts w:hint="eastAsia"/>
                <w:lang w:val="en-US" w:eastAsia="zh-CN"/>
              </w:rPr>
              <w:t>20</w:t>
            </w:r>
          </w:p>
        </w:tc>
        <w:tc>
          <w:tcPr>
            <w:tcW w:w="2803" w:type="dxa"/>
            <w:vAlign w:val="center"/>
          </w:tcPr>
          <w:p>
            <w:pPr>
              <w:rPr>
                <w:lang w:eastAsia="ja-JP"/>
              </w:rPr>
            </w:pPr>
            <w:r>
              <w:rPr>
                <w:sz w:val="20"/>
              </w:rPr>
              <w:t>Q：病人陪护服务（不含诊疗）</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r>
              <w:rPr>
                <w:rFonts w:asciiTheme="minorEastAsia" w:hAnsiTheme="minorEastAsia" w:eastAsiaTheme="minorEastAsia"/>
                <w:sz w:val="20"/>
              </w:rPr>
              <w:t>成都市武侯区聚龙路1251号1幢8层803号</w:t>
            </w:r>
          </w:p>
        </w:tc>
        <w:tc>
          <w:tcPr>
            <w:tcW w:w="2267" w:type="dxa"/>
            <w:vAlign w:val="center"/>
          </w:tcPr>
          <w:p>
            <w:pPr>
              <w:rPr>
                <w:rFonts w:hint="eastAsia"/>
                <w:lang w:eastAsia="zh-CN"/>
              </w:rPr>
            </w:pPr>
            <w:r>
              <w:rPr>
                <w:rFonts w:hint="eastAsia"/>
              </w:rPr>
              <w:t>经营场所的地址</w:t>
            </w:r>
            <w:r>
              <w:rPr>
                <w:rFonts w:hint="eastAsia"/>
                <w:lang w:eastAsia="zh-CN"/>
              </w:rPr>
              <w:t>：</w:t>
            </w:r>
          </w:p>
          <w:p>
            <w:r>
              <w:t>四川省金堂县米家巷上岛8栋129号</w:t>
            </w:r>
          </w:p>
          <w:p>
            <w:pPr>
              <w:rPr>
                <w:lang w:eastAsia="ja-JP"/>
              </w:rPr>
            </w:pPr>
            <w:r>
              <w:rPr>
                <w:rFonts w:hint="eastAsia"/>
              </w:rPr>
              <w:t>临时现场</w:t>
            </w:r>
            <w:r>
              <w:rPr>
                <w:rFonts w:hint="eastAsia"/>
                <w:lang w:eastAsia="zh-CN"/>
              </w:rPr>
              <w:t>：</w:t>
            </w:r>
            <w:r>
              <w:rPr>
                <w:rFonts w:hint="eastAsia"/>
                <w:color w:val="000000"/>
                <w:lang w:val="en-US" w:eastAsia="zh-CN"/>
              </w:rPr>
              <w:t>成都市妇女儿童中心医院金堂分院</w:t>
            </w:r>
          </w:p>
        </w:tc>
        <w:tc>
          <w:tcPr>
            <w:tcW w:w="571" w:type="dxa"/>
            <w:vAlign w:val="center"/>
          </w:tcPr>
          <w:p>
            <w:pPr>
              <w:rPr>
                <w:rFonts w:hint="default" w:eastAsia="宋体"/>
                <w:lang w:val="en-US" w:eastAsia="zh-CN"/>
              </w:rPr>
            </w:pPr>
            <w:r>
              <w:rPr>
                <w:rFonts w:hint="eastAsia"/>
                <w:lang w:val="en-US" w:eastAsia="zh-CN"/>
              </w:rPr>
              <w:t>20</w:t>
            </w:r>
          </w:p>
        </w:tc>
        <w:tc>
          <w:tcPr>
            <w:tcW w:w="2803" w:type="dxa"/>
            <w:vAlign w:val="center"/>
          </w:tcPr>
          <w:p>
            <w:pPr>
              <w:rPr>
                <w:lang w:eastAsia="ja-JP"/>
              </w:rPr>
            </w:pPr>
            <w:r>
              <w:rPr>
                <w:sz w:val="20"/>
              </w:rPr>
              <w:t>O：病人陪护服务（不含诊疗）所涉及场所的相关职业健康安全管理活动</w:t>
            </w:r>
          </w:p>
        </w:tc>
        <w:tc>
          <w:tcPr>
            <w:tcW w:w="669" w:type="dxa"/>
            <w:vAlign w:val="center"/>
          </w:tcPr>
          <w:p>
            <w:pPr>
              <w:rPr>
                <w:lang w:eastAsia="ja-JP"/>
              </w:rPr>
            </w:pPr>
            <w:r>
              <w:rPr>
                <w:rFonts w:hint="eastAsia" w:ascii="宋体" w:hAnsi="宋体"/>
                <w:b/>
                <w:sz w:val="21"/>
                <w:szCs w:val="21"/>
              </w:rPr>
              <w:t>GB/T45001-2020</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宋明珠</w:t>
            </w:r>
          </w:p>
        </w:tc>
        <w:tc>
          <w:tcPr>
            <w:tcW w:w="1089" w:type="dxa"/>
            <w:vAlign w:val="center"/>
          </w:tcPr>
          <w:p>
            <w:r>
              <w:t>组长</w:t>
            </w:r>
          </w:p>
        </w:tc>
        <w:tc>
          <w:tcPr>
            <w:tcW w:w="711" w:type="dxa"/>
            <w:vAlign w:val="center"/>
          </w:tcPr>
          <w:p>
            <w:r>
              <w:t>男</w:t>
            </w:r>
          </w:p>
        </w:tc>
        <w:tc>
          <w:tcPr>
            <w:tcW w:w="3870" w:type="dxa"/>
            <w:vAlign w:val="center"/>
          </w:tcPr>
          <w:p>
            <w:r>
              <w:t>2020-N1QMS-1247783</w:t>
            </w:r>
          </w:p>
          <w:p>
            <w:r>
              <w:t>2021-N1OHSMS-1247783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2020-N1QMS-1265256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焦渝</w:t>
            </w:r>
          </w:p>
        </w:tc>
        <w:tc>
          <w:tcPr>
            <w:tcW w:w="1089" w:type="dxa"/>
            <w:vAlign w:val="center"/>
          </w:tcPr>
          <w:p>
            <w:r>
              <w:t>组员</w:t>
            </w:r>
          </w:p>
        </w:tc>
        <w:tc>
          <w:tcPr>
            <w:tcW w:w="711" w:type="dxa"/>
            <w:vAlign w:val="center"/>
          </w:tcPr>
          <w:p>
            <w:r>
              <w:t>男</w:t>
            </w:r>
          </w:p>
        </w:tc>
        <w:tc>
          <w:tcPr>
            <w:tcW w:w="3870" w:type="dxa"/>
            <w:vAlign w:val="center"/>
          </w:tcPr>
          <w:p>
            <w:r>
              <w:t>ISC-JSZJ-328</w:t>
            </w:r>
          </w:p>
          <w:p>
            <w:r>
              <w:t>ISC-JSZJ-328</w:t>
            </w:r>
          </w:p>
          <w:p>
            <w:r>
              <w:t>成都欣怡健康护理有限公司</w:t>
            </w:r>
          </w:p>
        </w:tc>
        <w:tc>
          <w:tcPr>
            <w:tcW w:w="2179" w:type="dxa"/>
            <w:vAlign w:val="center"/>
          </w:tcPr>
          <w:p>
            <w:r>
              <w:t>Q:38.04.00</w:t>
            </w:r>
          </w:p>
          <w:p>
            <w:r>
              <w:t>O:38.04.00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Times New Roman" w:hAnsi="Times New Roman" w:eastAsia="宋体" w:cs="Times New Roman"/>
                <w:color w:val="auto"/>
                <w:kern w:val="2"/>
                <w:sz w:val="21"/>
                <w:szCs w:val="22"/>
                <w:lang w:val="en-US" w:eastAsia="zh-CN" w:bidi="ar-SA"/>
              </w:rPr>
              <w:t>上一次不符合验证：</w:t>
            </w:r>
            <w:r>
              <w:rPr>
                <w:rFonts w:hint="eastAsia" w:ascii="Times New Roman" w:hAnsi="Times New Roman" w:cs="Times New Roman"/>
                <w:color w:val="auto"/>
                <w:kern w:val="2"/>
                <w:sz w:val="21"/>
                <w:szCs w:val="22"/>
                <w:lang w:val="en-US" w:eastAsia="zh-CN" w:bidi="ar-SA"/>
              </w:rPr>
              <w:t>上次不符合为行政部Q7.2，本次审核未出现同类情况发生。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lang w:eastAsia="zh-CN"/>
        </w:rPr>
        <w:t>□</w:t>
      </w:r>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4" w:hRule="exact"/>
          <w:jc w:val="center"/>
        </w:trPr>
        <w:tc>
          <w:tcPr>
            <w:tcW w:w="1842" w:type="dxa"/>
          </w:tcPr>
          <w:p>
            <w:pPr>
              <w:rPr>
                <w:rFonts w:hint="eastAsia"/>
              </w:rPr>
            </w:pPr>
          </w:p>
          <w:p>
            <w:r>
              <w:rPr>
                <w:rFonts w:hint="eastAsia"/>
              </w:rPr>
              <w:t>审核组长签字</w:t>
            </w:r>
          </w:p>
        </w:tc>
        <w:tc>
          <w:tcPr>
            <w:tcW w:w="2764" w:type="dxa"/>
            <w:tcMar>
              <w:left w:w="113" w:type="dxa"/>
            </w:tcMar>
          </w:tcPr>
          <w:p>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163830</wp:posOffset>
                  </wp:positionH>
                  <wp:positionV relativeFrom="paragraph">
                    <wp:posOffset>114300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p>
          <w:p/>
        </w:tc>
        <w:tc>
          <w:tcPr>
            <w:tcW w:w="2764" w:type="dxa"/>
            <w:tcMar>
              <w:left w:w="113" w:type="dxa"/>
            </w:tcMar>
          </w:tcPr>
          <w:p>
            <w:pPr>
              <w:rPr>
                <w:rFonts w:hint="eastAsia"/>
              </w:rPr>
            </w:pPr>
          </w:p>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2022年6月18日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知识□绩效□工艺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lang w:eastAsia="zh-CN"/>
              </w:rPr>
              <w:t>☑</w:t>
            </w: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eastAsia="zh-CN"/>
              </w:rPr>
            </w:pPr>
            <w:r>
              <w:rPr>
                <w:rFonts w:hint="eastAsia"/>
              </w:rPr>
              <w:t>最高管理者制定了文件化的管理体系方针：</w:t>
            </w:r>
            <w:r>
              <w:rPr>
                <w:rFonts w:hint="eastAsia"/>
                <w:lang w:eastAsia="zh-CN"/>
              </w:rPr>
              <w:t>“精益求精 创“良翔”新优势”</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行政人事部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7"/>
              <w:gridCol w:w="3255"/>
              <w:gridCol w:w="1080"/>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7"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255"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08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519"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97" w:type="dxa"/>
                  <w:shd w:val="clear" w:color="auto" w:fill="auto"/>
                  <w:vAlign w:val="center"/>
                </w:tcPr>
                <w:p>
                  <w:pPr>
                    <w:shd w:val="clear" w:color="auto" w:fill="C7DAF1" w:themeFill="text2" w:themeFillTint="32"/>
                    <w:rPr>
                      <w:rFonts w:hint="eastAsia" w:ascii="宋体" w:hAnsi="宋体"/>
                      <w:lang w:val="en-US" w:eastAsia="zh-CN"/>
                    </w:rPr>
                  </w:pPr>
                  <w:r>
                    <w:rPr>
                      <w:rFonts w:hint="eastAsia" w:ascii="宋体" w:hAnsi="宋体"/>
                    </w:rPr>
                    <w:t>服务合格率96%；</w:t>
                  </w:r>
                </w:p>
              </w:tc>
              <w:tc>
                <w:tcPr>
                  <w:tcW w:w="3255" w:type="dxa"/>
                  <w:shd w:val="clear" w:color="auto" w:fill="auto"/>
                  <w:vAlign w:val="center"/>
                </w:tcPr>
                <w:p>
                  <w:pPr>
                    <w:shd w:val="clear" w:color="auto" w:fill="C7DAF1" w:themeFill="text2" w:themeFillTint="32"/>
                    <w:rPr>
                      <w:rFonts w:hint="eastAsia" w:ascii="宋体" w:hAnsi="宋体"/>
                      <w:lang w:val="en-GB" w:eastAsia="zh-CN"/>
                    </w:rPr>
                  </w:pPr>
                  <w:r>
                    <w:rPr>
                      <w:rFonts w:hint="eastAsia" w:ascii="宋体" w:hAnsi="宋体"/>
                    </w:rPr>
                    <w:t>服务合格数/服务总数*100%</w:t>
                  </w:r>
                </w:p>
              </w:tc>
              <w:tc>
                <w:tcPr>
                  <w:tcW w:w="1080" w:type="dxa"/>
                  <w:shd w:val="clear" w:color="auto" w:fill="auto"/>
                  <w:vAlign w:val="center"/>
                </w:tcPr>
                <w:p>
                  <w:pPr>
                    <w:shd w:val="clear" w:color="auto" w:fill="C7DAF1" w:themeFill="text2" w:themeFillTint="32"/>
                    <w:rPr>
                      <w:rFonts w:hint="eastAsia" w:ascii="宋体" w:hAnsi="宋体"/>
                      <w:lang w:val="en-GB" w:eastAsia="zh-CN"/>
                    </w:rPr>
                  </w:pPr>
                  <w:r>
                    <w:rPr>
                      <w:rFonts w:hint="eastAsia" w:ascii="宋体" w:hAnsi="宋体"/>
                      <w:lang w:val="en-GB" w:eastAsia="zh-CN"/>
                    </w:rPr>
                    <w:t>业务部</w:t>
                  </w:r>
                </w:p>
              </w:tc>
              <w:tc>
                <w:tcPr>
                  <w:tcW w:w="1519" w:type="dxa"/>
                  <w:shd w:val="clear" w:color="auto" w:fill="auto"/>
                  <w:vAlign w:val="center"/>
                </w:tcPr>
                <w:p>
                  <w:pPr>
                    <w:shd w:val="clear" w:color="auto" w:fill="C7DAF1" w:themeFill="text2" w:themeFillTint="32"/>
                    <w:rPr>
                      <w:rFonts w:hint="eastAsia" w:ascii="宋体" w:hAnsi="宋体"/>
                      <w:lang w:val="en-GB"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597" w:type="dxa"/>
                  <w:shd w:val="clear" w:color="auto" w:fill="auto"/>
                  <w:vAlign w:val="center"/>
                </w:tcPr>
                <w:p>
                  <w:pPr>
                    <w:shd w:val="clear" w:color="auto" w:fill="C7DAF1" w:themeFill="text2" w:themeFillTint="32"/>
                    <w:rPr>
                      <w:rFonts w:hint="eastAsia" w:ascii="宋体" w:hAnsi="宋体"/>
                      <w:lang w:val="en-US" w:eastAsia="zh-CN"/>
                    </w:rPr>
                  </w:pPr>
                  <w:r>
                    <w:rPr>
                      <w:rFonts w:hint="eastAsia" w:ascii="宋体" w:hAnsi="宋体"/>
                    </w:rPr>
                    <w:t>安全质量事故为0</w:t>
                  </w:r>
                </w:p>
              </w:tc>
              <w:tc>
                <w:tcPr>
                  <w:tcW w:w="3255" w:type="dxa"/>
                  <w:shd w:val="clear" w:color="auto" w:fill="auto"/>
                  <w:vAlign w:val="center"/>
                </w:tcPr>
                <w:p>
                  <w:pPr>
                    <w:shd w:val="clear" w:color="auto" w:fill="C7DAF1" w:themeFill="text2" w:themeFillTint="32"/>
                    <w:rPr>
                      <w:rFonts w:hint="eastAsia" w:ascii="宋体" w:hAnsi="宋体"/>
                      <w:lang w:val="en-US" w:eastAsia="zh-CN"/>
                    </w:rPr>
                  </w:pPr>
                  <w:r>
                    <w:rPr>
                      <w:rFonts w:hint="eastAsia" w:ascii="宋体" w:hAnsi="宋体"/>
                    </w:rPr>
                    <w:t>安全质量总次数</w:t>
                  </w:r>
                </w:p>
              </w:tc>
              <w:tc>
                <w:tcPr>
                  <w:tcW w:w="1080" w:type="dxa"/>
                  <w:shd w:val="clear" w:color="auto" w:fill="auto"/>
                  <w:vAlign w:val="center"/>
                </w:tcPr>
                <w:p>
                  <w:pPr>
                    <w:shd w:val="clear" w:color="auto" w:fill="C7DAF1" w:themeFill="text2" w:themeFillTint="32"/>
                    <w:rPr>
                      <w:rFonts w:hint="eastAsia" w:ascii="宋体" w:hAnsi="宋体"/>
                      <w:lang w:eastAsia="zh-CN"/>
                    </w:rPr>
                  </w:pPr>
                  <w:r>
                    <w:rPr>
                      <w:rFonts w:hint="eastAsia" w:ascii="宋体" w:hAnsi="宋体"/>
                      <w:lang w:eastAsia="zh-CN"/>
                    </w:rPr>
                    <w:t>业务部</w:t>
                  </w:r>
                </w:p>
              </w:tc>
              <w:tc>
                <w:tcPr>
                  <w:tcW w:w="1519" w:type="dxa"/>
                  <w:shd w:val="clear" w:color="auto" w:fill="auto"/>
                  <w:vAlign w:val="center"/>
                </w:tcPr>
                <w:p>
                  <w:pPr>
                    <w:shd w:val="clear" w:color="auto" w:fill="C7DAF1" w:themeFill="text2" w:themeFillTint="32"/>
                    <w:rPr>
                      <w:rFonts w:hint="eastAsia" w:ascii="宋体" w:hAnsi="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7" w:type="dxa"/>
                  <w:shd w:val="clear" w:color="auto" w:fill="auto"/>
                  <w:vAlign w:val="center"/>
                </w:tcPr>
                <w:p>
                  <w:pPr>
                    <w:shd w:val="clear" w:color="auto" w:fill="C7DAF1" w:themeFill="text2" w:themeFillTint="32"/>
                    <w:rPr>
                      <w:rFonts w:hint="eastAsia" w:ascii="宋体" w:hAnsi="宋体"/>
                      <w:lang w:val="en-US" w:eastAsia="zh-CN"/>
                    </w:rPr>
                  </w:pPr>
                  <w:r>
                    <w:rPr>
                      <w:rFonts w:hint="eastAsia" w:ascii="宋体" w:hAnsi="宋体"/>
                    </w:rPr>
                    <w:t>顾客满意率≥90%</w:t>
                  </w:r>
                </w:p>
              </w:tc>
              <w:tc>
                <w:tcPr>
                  <w:tcW w:w="3255" w:type="dxa"/>
                  <w:shd w:val="clear" w:color="auto" w:fill="auto"/>
                  <w:vAlign w:val="center"/>
                </w:tcPr>
                <w:p>
                  <w:pPr>
                    <w:shd w:val="clear" w:color="auto" w:fill="C7DAF1" w:themeFill="text2" w:themeFillTint="32"/>
                    <w:rPr>
                      <w:rFonts w:hint="eastAsia" w:ascii="宋体" w:hAnsi="宋体"/>
                      <w:lang w:val="en-US" w:eastAsia="zh-CN"/>
                    </w:rPr>
                  </w:pPr>
                  <w:r>
                    <w:rPr>
                      <w:rFonts w:hint="eastAsia" w:ascii="宋体" w:hAnsi="宋体"/>
                    </w:rPr>
                    <w:t>满意得分和/总调查数*100%</w:t>
                  </w:r>
                </w:p>
              </w:tc>
              <w:tc>
                <w:tcPr>
                  <w:tcW w:w="1080" w:type="dxa"/>
                  <w:shd w:val="clear" w:color="auto" w:fill="auto"/>
                  <w:vAlign w:val="center"/>
                </w:tcPr>
                <w:p>
                  <w:pPr>
                    <w:shd w:val="clear" w:color="auto" w:fill="C7DAF1" w:themeFill="text2" w:themeFillTint="32"/>
                    <w:rPr>
                      <w:rFonts w:hint="eastAsia" w:ascii="宋体" w:hAnsi="宋体"/>
                      <w:lang w:eastAsia="zh-CN"/>
                    </w:rPr>
                  </w:pPr>
                  <w:r>
                    <w:rPr>
                      <w:rFonts w:hint="eastAsia" w:ascii="宋体" w:hAnsi="宋体"/>
                      <w:lang w:eastAsia="zh-CN"/>
                    </w:rPr>
                    <w:t>业务部</w:t>
                  </w:r>
                </w:p>
              </w:tc>
              <w:tc>
                <w:tcPr>
                  <w:tcW w:w="1519" w:type="dxa"/>
                  <w:shd w:val="clear" w:color="auto" w:fill="auto"/>
                  <w:vAlign w:val="center"/>
                </w:tcPr>
                <w:p>
                  <w:pPr>
                    <w:shd w:val="clear" w:color="auto" w:fill="C7DAF1" w:themeFill="text2" w:themeFillTint="32"/>
                    <w:rPr>
                      <w:rFonts w:hint="eastAsia" w:ascii="宋体" w:hAnsi="宋体"/>
                      <w:lang w:val="en-US" w:eastAsia="zh-CN"/>
                    </w:rPr>
                  </w:pPr>
                  <w:r>
                    <w:rPr>
                      <w:rFonts w:hint="eastAsia" w:ascii="宋体" w:hAnsi="宋体"/>
                      <w:lang w:val="en-US" w:eastAsia="zh-CN"/>
                    </w:rPr>
                    <w:t>98%</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lang w:eastAsia="zh-CN"/>
              </w:rPr>
              <w:t>□</w:t>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100平方米</w:t>
            </w:r>
            <w:r>
              <w:rPr>
                <w:rFonts w:hint="eastAsia"/>
              </w:rPr>
              <w:t>；生产车间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eastAsia" w:ascii="宋体" w:hAnsi="宋体" w:cs="宋体"/>
                <w:kern w:val="0"/>
                <w:szCs w:val="21"/>
                <w:u w:val="single"/>
                <w:lang w:eastAsia="zh-CN"/>
              </w:rPr>
              <w:t>电脑、打印机</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467"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lang w:val="en-US" w:eastAsia="zh-CN"/>
              </w:rPr>
              <w:t>无</w:t>
            </w:r>
          </w:p>
          <w:p>
            <w:pPr>
              <w:shd w:val="clear" w:color="auto" w:fill="C7DAF1" w:themeFill="text2" w:themeFillTint="32"/>
              <w:rPr>
                <w:rFonts w:hint="eastAsia" w:eastAsia="宋体"/>
                <w:u w:val="single"/>
                <w:lang w:eastAsia="zh-CN"/>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lang w:val="en-US" w:eastAsia="zh-CN"/>
              </w:rPr>
              <w:t xml:space="preserve">              </w:t>
            </w:r>
            <w:r>
              <w:rPr>
                <w:rFonts w:hint="eastAsia" w:ascii="Times New Roman" w:hAnsi="Times New Roman" w:eastAsia="宋体" w:cs="Times New Roman"/>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7"/>
              <w:gridCol w:w="1095"/>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tcPr>
                <w:p>
                  <w:pPr>
                    <w:shd w:val="clear" w:color="auto" w:fill="C7DAF1" w:themeFill="text2" w:themeFillTint="32"/>
                    <w:jc w:val="left"/>
                  </w:pPr>
                  <w:r>
                    <w:rPr>
                      <w:rFonts w:hint="eastAsia"/>
                    </w:rPr>
                    <w:t>产品/服务名称</w:t>
                  </w:r>
                </w:p>
              </w:tc>
              <w:tc>
                <w:tcPr>
                  <w:tcW w:w="1095" w:type="dxa"/>
                </w:tcPr>
                <w:p>
                  <w:pPr>
                    <w:shd w:val="clear" w:color="auto" w:fill="C7DAF1" w:themeFill="text2" w:themeFillTint="32"/>
                    <w:jc w:val="left"/>
                  </w:pPr>
                  <w:r>
                    <w:rPr>
                      <w:rFonts w:hint="eastAsia"/>
                    </w:rPr>
                    <w:t>关键过程</w:t>
                  </w:r>
                </w:p>
              </w:tc>
              <w:tc>
                <w:tcPr>
                  <w:tcW w:w="4140"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vMerge w:val="restart"/>
                </w:tcPr>
                <w:p>
                  <w:pPr>
                    <w:shd w:val="clear" w:color="auto" w:fill="C7DAF1" w:themeFill="text2" w:themeFillTint="32"/>
                    <w:jc w:val="left"/>
                    <w:rPr>
                      <w:rFonts w:hint="eastAsia" w:eastAsia="宋体"/>
                      <w:lang w:eastAsia="zh-CN"/>
                    </w:rPr>
                  </w:pPr>
                  <w:r>
                    <w:rPr>
                      <w:rFonts w:hint="eastAsia"/>
                      <w:lang w:eastAsia="zh-CN"/>
                    </w:rPr>
                    <w:t>病人陪护服务（不含诊疗）</w:t>
                  </w:r>
                </w:p>
              </w:tc>
              <w:tc>
                <w:tcPr>
                  <w:tcW w:w="1095" w:type="dxa"/>
                </w:tcPr>
                <w:p>
                  <w:pPr>
                    <w:shd w:val="clear" w:color="auto" w:fill="C7DAF1" w:themeFill="text2" w:themeFillTint="32"/>
                    <w:jc w:val="left"/>
                    <w:rPr>
                      <w:rFonts w:hint="default" w:eastAsia="宋体"/>
                      <w:lang w:val="en-US" w:eastAsia="zh-CN"/>
                    </w:rPr>
                  </w:pPr>
                  <w:r>
                    <w:rPr>
                      <w:rFonts w:hint="eastAsia"/>
                      <w:lang w:val="en-US" w:eastAsia="zh-CN"/>
                    </w:rPr>
                    <w:t>服务过程</w:t>
                  </w:r>
                </w:p>
              </w:tc>
              <w:tc>
                <w:tcPr>
                  <w:tcW w:w="4140" w:type="dxa"/>
                </w:tcPr>
                <w:p>
                  <w:pPr>
                    <w:shd w:val="clear" w:color="auto" w:fill="C7DAF1" w:themeFill="text2" w:themeFillTint="32"/>
                    <w:jc w:val="left"/>
                    <w:rPr>
                      <w:rFonts w:hint="default" w:eastAsia="宋体"/>
                      <w:lang w:val="en-US" w:eastAsia="zh-CN"/>
                    </w:rPr>
                  </w:pPr>
                  <w:r>
                    <w:rPr>
                      <w:rFonts w:hint="eastAsia"/>
                      <w:lang w:val="en-US" w:eastAsia="zh-CN"/>
                    </w:rPr>
                    <w:t>服务态度等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vMerge w:val="continue"/>
                </w:tcPr>
                <w:p>
                  <w:pPr>
                    <w:shd w:val="clear" w:color="auto" w:fill="C7DAF1" w:themeFill="text2" w:themeFillTint="32"/>
                    <w:jc w:val="left"/>
                  </w:pPr>
                </w:p>
              </w:tc>
              <w:tc>
                <w:tcPr>
                  <w:tcW w:w="1095" w:type="dxa"/>
                </w:tcPr>
                <w:p>
                  <w:pPr>
                    <w:shd w:val="clear" w:color="auto" w:fill="C7DAF1" w:themeFill="text2" w:themeFillTint="32"/>
                    <w:jc w:val="left"/>
                    <w:rPr>
                      <w:rFonts w:hint="eastAsia" w:eastAsia="宋体"/>
                      <w:lang w:eastAsia="zh-CN"/>
                    </w:rPr>
                  </w:pPr>
                </w:p>
              </w:tc>
              <w:tc>
                <w:tcPr>
                  <w:tcW w:w="4140" w:type="dxa"/>
                </w:tcPr>
                <w:p>
                  <w:pPr>
                    <w:shd w:val="clear" w:color="auto" w:fill="C7DAF1" w:themeFill="text2" w:themeFillTint="32"/>
                    <w:jc w:val="left"/>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tcPr>
                <w:p>
                  <w:pPr>
                    <w:shd w:val="clear" w:color="auto" w:fill="C7DAF1" w:themeFill="text2" w:themeFillTint="32"/>
                    <w:jc w:val="left"/>
                  </w:pPr>
                </w:p>
              </w:tc>
              <w:tc>
                <w:tcPr>
                  <w:tcW w:w="1095" w:type="dxa"/>
                </w:tcPr>
                <w:p>
                  <w:pPr>
                    <w:shd w:val="clear" w:color="auto" w:fill="C7DAF1" w:themeFill="text2" w:themeFillTint="32"/>
                    <w:jc w:val="left"/>
                  </w:pPr>
                </w:p>
              </w:tc>
              <w:tc>
                <w:tcPr>
                  <w:tcW w:w="4140"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w:t>
            </w:r>
            <w:r>
              <w:rPr>
                <w:rFonts w:hint="eastAsia"/>
                <w:color w:val="auto"/>
              </w:rPr>
              <w:t>过程：服务过程，</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eastAsia="zh-CN"/>
              </w:rPr>
              <w:t>2022年4月22-23日</w:t>
            </w:r>
            <w:r>
              <w:rPr>
                <w:rFonts w:hint="eastAsia"/>
              </w:rPr>
              <w:t>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最高管理者已按策划的时间间隔，在202</w:t>
            </w:r>
            <w:r>
              <w:rPr>
                <w:rFonts w:hint="eastAsia"/>
                <w:lang w:val="en-US" w:eastAsia="zh-CN"/>
              </w:rPr>
              <w:t>2</w:t>
            </w:r>
            <w:r>
              <w:rPr>
                <w:rFonts w:hint="eastAsia"/>
              </w:rPr>
              <w:t>年</w:t>
            </w:r>
            <w:r>
              <w:rPr>
                <w:rFonts w:hint="eastAsia"/>
                <w:lang w:val="en-US" w:eastAsia="zh-CN"/>
              </w:rPr>
              <w:t>5</w:t>
            </w:r>
            <w:r>
              <w:rPr>
                <w:rFonts w:hint="eastAsia"/>
              </w:rPr>
              <w:t>月</w:t>
            </w:r>
            <w:r>
              <w:rPr>
                <w:rFonts w:hint="eastAsia"/>
                <w:lang w:val="en-US" w:eastAsia="zh-CN"/>
              </w:rPr>
              <w:t>9</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49"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认知□价值观</w:t>
                  </w:r>
                  <w:r>
                    <w:rPr>
                      <w:rFonts w:hint="eastAsia"/>
                      <w:lang w:eastAsia="zh-CN"/>
                    </w:rPr>
                    <w:t>☑</w:t>
                  </w:r>
                  <w:r>
                    <w:rPr>
                      <w:rFonts w:hint="eastAsia"/>
                    </w:rPr>
                    <w:t>文化□知识□绩效□工艺</w:t>
                  </w:r>
                  <w:r>
                    <w:rPr>
                      <w:rFonts w:hint="eastAsia"/>
                      <w:lang w:eastAsia="zh-CN"/>
                    </w:rPr>
                    <w:t>□</w:t>
                  </w:r>
                  <w:r>
                    <w:rPr>
                      <w:rFonts w:hint="eastAsia"/>
                    </w:rPr>
                    <w:t>设备</w:t>
                  </w:r>
                  <w:r>
                    <w:rPr>
                      <w:rFonts w:hint="eastAsia"/>
                      <w:lang w:eastAsia="zh-CN"/>
                    </w:rPr>
                    <w:t>☑</w:t>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w:t>
            </w:r>
            <w:r>
              <w:rPr>
                <w:rFonts w:hint="eastAsia"/>
                <w:lang w:eastAsia="zh-CN"/>
              </w:rPr>
              <w:t>☑</w:t>
            </w:r>
            <w:r>
              <w:rPr>
                <w:rFonts w:hint="eastAsia"/>
              </w:rPr>
              <w:t>生产/服务过程□安全监测</w:t>
            </w:r>
            <w:r>
              <w:rPr>
                <w:rFonts w:hint="eastAsia"/>
                <w:lang w:eastAsia="zh-CN"/>
              </w:rPr>
              <w:t>□</w:t>
            </w:r>
            <w:r>
              <w:rPr>
                <w:rFonts w:hint="eastAsia"/>
              </w:rPr>
              <w:t>产品运输□设备维修</w:t>
            </w:r>
          </w:p>
          <w:p>
            <w:pPr>
              <w:spacing w:before="40" w:after="40"/>
            </w:pPr>
            <w:r>
              <w:rPr>
                <w:rFonts w:hint="eastAsia"/>
                <w:lang w:eastAsia="zh-CN"/>
              </w:rPr>
              <w:t>☑</w:t>
            </w: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建立机制□法规宣传</w:t>
            </w:r>
            <w:r>
              <w:rPr>
                <w:rFonts w:hint="eastAsia"/>
                <w:lang w:eastAsia="zh-CN"/>
              </w:rPr>
              <w:t>☑</w:t>
            </w:r>
            <w:r>
              <w:rPr>
                <w:rFonts w:hint="eastAsia"/>
              </w:rPr>
              <w:t>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lang w:eastAsia="zh-CN"/>
              </w:rPr>
            </w:pPr>
            <w:r>
              <w:rPr>
                <w:rFonts w:hint="eastAsia"/>
              </w:rPr>
              <w:t>最高管理者制定了文件化的职业健康安全管理体系方针：</w:t>
            </w:r>
            <w:r>
              <w:rPr>
                <w:rFonts w:hint="eastAsia"/>
                <w:lang w:eastAsia="zh-CN"/>
              </w:rPr>
              <w:t>“</w:t>
            </w:r>
            <w:r>
              <w:rPr>
                <w:rFonts w:hint="eastAsia"/>
              </w:rPr>
              <w:t>保障健康、安全服务、以人为本、永续发展、遵守法规、持续改进</w:t>
            </w:r>
            <w:r>
              <w:rPr>
                <w:rFonts w:hint="eastAsia"/>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行政人事部</w:t>
            </w:r>
          </w:p>
          <w:p>
            <w:r>
              <w:rPr>
                <w:rFonts w:hint="eastAsia"/>
              </w:rPr>
              <w:t>安全的主管部门是——</w:t>
            </w:r>
            <w:r>
              <w:rPr>
                <w:rFonts w:hint="eastAsia"/>
                <w:lang w:eastAsia="zh-CN"/>
              </w:rPr>
              <w:t>业务部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eastAsia="zh-CN"/>
              </w:rPr>
            </w:pPr>
            <w:r>
              <w:rPr>
                <w:rFonts w:hint="eastAsia"/>
              </w:rPr>
              <w:t>员工代表是——</w:t>
            </w:r>
            <w:r>
              <w:rPr>
                <w:rFonts w:hint="eastAsia"/>
                <w:lang w:eastAsia="zh-CN"/>
              </w:rPr>
              <w:t>蒋清华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服务过程</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制定服务过程手册、安全措施并严格执行</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val="en-US" w:eastAsia="zh-CN"/>
              </w:rPr>
            </w:pPr>
            <w:r>
              <w:rPr>
                <w:rFonts w:hint="eastAsia"/>
                <w:lang w:eastAsia="zh-CN"/>
              </w:rPr>
              <w:t>□</w:t>
            </w: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w:t>
            </w:r>
            <w:r>
              <w:rPr>
                <w:rFonts w:hint="eastAsia"/>
                <w:lang w:eastAsia="zh-CN"/>
              </w:rPr>
              <w:t>□</w:t>
            </w:r>
            <w:r>
              <w:rPr>
                <w:rFonts w:hint="eastAsia"/>
              </w:rPr>
              <w:t>其他</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2"/>
              <w:gridCol w:w="2577"/>
              <w:gridCol w:w="1159"/>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shd w:val="clear" w:color="auto" w:fill="auto"/>
                </w:tcPr>
                <w:p>
                  <w:pPr>
                    <w:rPr>
                      <w:rFonts w:ascii="宋体" w:hAnsi="宋体"/>
                    </w:rPr>
                  </w:pPr>
                  <w:r>
                    <w:rPr>
                      <w:rFonts w:hint="eastAsia"/>
                    </w:rPr>
                    <w:t>职业健康安全</w:t>
                  </w:r>
                  <w:r>
                    <w:rPr>
                      <w:rFonts w:hint="eastAsia" w:ascii="宋体" w:hAnsi="宋体"/>
                    </w:rPr>
                    <w:t>目标</w:t>
                  </w:r>
                </w:p>
              </w:tc>
              <w:tc>
                <w:tcPr>
                  <w:tcW w:w="2577" w:type="dxa"/>
                  <w:shd w:val="clear" w:color="auto" w:fill="auto"/>
                </w:tcPr>
                <w:p>
                  <w:pPr>
                    <w:rPr>
                      <w:rFonts w:ascii="宋体" w:hAnsi="宋体"/>
                    </w:rPr>
                  </w:pPr>
                  <w:r>
                    <w:rPr>
                      <w:rFonts w:hint="eastAsia" w:ascii="宋体" w:hAnsi="宋体"/>
                    </w:rPr>
                    <w:t>控制措施</w:t>
                  </w:r>
                </w:p>
              </w:tc>
              <w:tc>
                <w:tcPr>
                  <w:tcW w:w="1159" w:type="dxa"/>
                  <w:shd w:val="clear" w:color="auto" w:fill="auto"/>
                </w:tcPr>
                <w:p>
                  <w:pPr>
                    <w:rPr>
                      <w:rFonts w:ascii="宋体" w:hAnsi="宋体"/>
                    </w:rPr>
                  </w:pPr>
                  <w:r>
                    <w:rPr>
                      <w:rFonts w:hint="eastAsia" w:ascii="宋体" w:hAnsi="宋体"/>
                    </w:rPr>
                    <w:t>责任部门</w:t>
                  </w:r>
                </w:p>
              </w:tc>
              <w:tc>
                <w:tcPr>
                  <w:tcW w:w="1653"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shd w:val="clear" w:color="auto" w:fill="auto"/>
                  <w:vAlign w:val="center"/>
                </w:tcPr>
                <w:p>
                  <w:pPr>
                    <w:rPr>
                      <w:rFonts w:hint="eastAsia"/>
                      <w:lang w:val="en-US" w:eastAsia="zh-CN"/>
                    </w:rPr>
                  </w:pPr>
                  <w:r>
                    <w:rPr>
                      <w:rFonts w:hint="eastAsia"/>
                    </w:rPr>
                    <w:t>重大安全事故和伤亡事故为0</w:t>
                  </w:r>
                </w:p>
              </w:tc>
              <w:tc>
                <w:tcPr>
                  <w:tcW w:w="2577" w:type="dxa"/>
                  <w:shd w:val="clear" w:color="auto" w:fill="auto"/>
                  <w:vAlign w:val="top"/>
                </w:tcPr>
                <w:p>
                  <w:pPr>
                    <w:rPr>
                      <w:rFonts w:hint="default"/>
                      <w:lang w:val="en-GB" w:eastAsia="zh-CN"/>
                    </w:rPr>
                  </w:pPr>
                  <w:r>
                    <w:rPr>
                      <w:rFonts w:hint="eastAsia"/>
                      <w:lang w:val="en-US" w:eastAsia="zh-CN"/>
                    </w:rPr>
                    <w:t>安全管理方案</w:t>
                  </w:r>
                </w:p>
              </w:tc>
              <w:tc>
                <w:tcPr>
                  <w:tcW w:w="1159" w:type="dxa"/>
                  <w:shd w:val="clear" w:color="auto" w:fill="auto"/>
                  <w:vAlign w:val="center"/>
                </w:tcPr>
                <w:p>
                  <w:pPr>
                    <w:rPr>
                      <w:rFonts w:hint="eastAsia"/>
                      <w:lang w:val="en-GB" w:eastAsia="zh-CN"/>
                    </w:rPr>
                  </w:pPr>
                  <w:r>
                    <w:rPr>
                      <w:rFonts w:hint="eastAsia"/>
                      <w:lang w:val="en-GB" w:eastAsia="zh-CN"/>
                    </w:rPr>
                    <w:t>业务部</w:t>
                  </w:r>
                </w:p>
              </w:tc>
              <w:tc>
                <w:tcPr>
                  <w:tcW w:w="1653" w:type="dxa"/>
                  <w:shd w:val="clear" w:color="auto" w:fill="auto"/>
                  <w:vAlign w:val="top"/>
                </w:tcPr>
                <w:p>
                  <w:pPr>
                    <w:rPr>
                      <w:rFonts w:hint="eastAsia"/>
                      <w:lang w:val="en-GB"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shd w:val="clear" w:color="auto" w:fill="auto"/>
                  <w:vAlign w:val="center"/>
                </w:tcPr>
                <w:p>
                  <w:pPr>
                    <w:pStyle w:val="3"/>
                    <w:tabs>
                      <w:tab w:val="left" w:pos="1200"/>
                    </w:tabs>
                    <w:spacing w:line="500" w:lineRule="exact"/>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火灾事故为0</w:t>
                  </w:r>
                </w:p>
              </w:tc>
              <w:tc>
                <w:tcPr>
                  <w:tcW w:w="2577" w:type="dxa"/>
                  <w:shd w:val="clear" w:color="auto" w:fill="auto"/>
                  <w:vAlign w:val="top"/>
                </w:tcPr>
                <w:p>
                  <w:pPr>
                    <w:widowControl/>
                    <w:spacing w:before="40"/>
                    <w:jc w:val="left"/>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火灾预防、火灾应急预案</w:t>
                  </w:r>
                </w:p>
              </w:tc>
              <w:tc>
                <w:tcPr>
                  <w:tcW w:w="1159"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GB" w:eastAsia="zh-CN" w:bidi="ar-SA"/>
                    </w:rPr>
                    <w:t>业务部</w:t>
                  </w:r>
                </w:p>
              </w:tc>
              <w:tc>
                <w:tcPr>
                  <w:tcW w:w="1653" w:type="dxa"/>
                  <w:shd w:val="clear" w:color="auto" w:fill="auto"/>
                  <w:vAlign w:val="top"/>
                </w:tcPr>
                <w:p>
                  <w:pPr>
                    <w:widowControl/>
                    <w:spacing w:before="4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shd w:val="clear" w:color="auto" w:fill="auto"/>
                  <w:vAlign w:val="center"/>
                </w:tcPr>
                <w:p>
                  <w:pPr>
                    <w:pStyle w:val="3"/>
                    <w:tabs>
                      <w:tab w:val="left" w:pos="1200"/>
                    </w:tabs>
                    <w:spacing w:line="500" w:lineRule="exact"/>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职业病发生为0</w:t>
                  </w:r>
                </w:p>
              </w:tc>
              <w:tc>
                <w:tcPr>
                  <w:tcW w:w="2577"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职业病管理方案</w:t>
                  </w:r>
                </w:p>
              </w:tc>
              <w:tc>
                <w:tcPr>
                  <w:tcW w:w="1159"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GB" w:eastAsia="zh-CN" w:bidi="ar-SA"/>
                    </w:rPr>
                    <w:t>业务部</w:t>
                  </w:r>
                </w:p>
              </w:tc>
              <w:tc>
                <w:tcPr>
                  <w:tcW w:w="1653" w:type="dxa"/>
                  <w:shd w:val="clear" w:color="auto" w:fill="auto"/>
                  <w:vAlign w:val="center"/>
                </w:tcPr>
                <w:p>
                  <w:pPr>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shd w:val="clear" w:color="auto" w:fill="auto"/>
                </w:tcPr>
                <w:p/>
              </w:tc>
              <w:tc>
                <w:tcPr>
                  <w:tcW w:w="2577" w:type="dxa"/>
                  <w:shd w:val="clear" w:color="auto" w:fill="auto"/>
                  <w:vAlign w:val="center"/>
                </w:tcPr>
                <w:p>
                  <w:pPr>
                    <w:rPr>
                      <w:rFonts w:ascii="宋体" w:hAnsi="宋体"/>
                    </w:rPr>
                  </w:pPr>
                </w:p>
              </w:tc>
              <w:tc>
                <w:tcPr>
                  <w:tcW w:w="1159" w:type="dxa"/>
                  <w:shd w:val="clear" w:color="auto" w:fill="auto"/>
                  <w:vAlign w:val="center"/>
                </w:tcPr>
                <w:p>
                  <w:pPr>
                    <w:rPr>
                      <w:rFonts w:ascii="宋体" w:hAnsi="宋体"/>
                    </w:rPr>
                  </w:pPr>
                </w:p>
              </w:tc>
              <w:tc>
                <w:tcPr>
                  <w:tcW w:w="1653"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shd w:val="clear" w:color="auto" w:fill="auto"/>
                </w:tcPr>
                <w:p/>
              </w:tc>
              <w:tc>
                <w:tcPr>
                  <w:tcW w:w="2577" w:type="dxa"/>
                  <w:shd w:val="clear" w:color="auto" w:fill="auto"/>
                  <w:vAlign w:val="center"/>
                </w:tcPr>
                <w:p>
                  <w:pPr>
                    <w:rPr>
                      <w:rFonts w:ascii="宋体" w:hAnsi="宋体"/>
                    </w:rPr>
                  </w:pPr>
                </w:p>
              </w:tc>
              <w:tc>
                <w:tcPr>
                  <w:tcW w:w="1159" w:type="dxa"/>
                  <w:shd w:val="clear" w:color="auto" w:fill="auto"/>
                  <w:vAlign w:val="center"/>
                </w:tcPr>
                <w:p>
                  <w:pPr>
                    <w:rPr>
                      <w:rFonts w:ascii="宋体" w:hAnsi="宋体"/>
                    </w:rPr>
                  </w:pPr>
                </w:p>
              </w:tc>
              <w:tc>
                <w:tcPr>
                  <w:tcW w:w="1653"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100平方米</w:t>
            </w:r>
            <w:r>
              <w:rPr>
                <w:rFonts w:hint="eastAsia"/>
              </w:rPr>
              <w:t>；生产车间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rPr>
                <w:rFonts w:hint="default" w:eastAsia="宋体"/>
                <w:u w:val="single"/>
                <w:lang w:val="en-US" w:eastAsia="zh-CN"/>
              </w:rPr>
            </w:pPr>
            <w:r>
              <w:rPr>
                <w:rFonts w:hint="eastAsia"/>
              </w:rPr>
              <w:t>主要生产设备有：</w:t>
            </w:r>
            <w:r>
              <w:rPr>
                <w:rFonts w:hint="eastAsia"/>
                <w:u w:val="single"/>
                <w:lang w:val="en-US" w:eastAsia="zh-CN"/>
              </w:rPr>
              <w:t>电脑、打印机等</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rFonts w:hint="eastAsia" w:eastAsia="宋体"/>
                <w:u w:val="single"/>
                <w:lang w:eastAsia="zh-CN"/>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lang w:val="en-US" w:eastAsia="zh-CN"/>
              </w:rPr>
              <w:t xml:space="preserve">                  </w:t>
            </w:r>
            <w:r>
              <w:rPr>
                <w:rFonts w:hint="eastAsia"/>
                <w:u w:val="single"/>
              </w:rPr>
              <w:t>（举</w:t>
            </w:r>
            <w:r>
              <w:rPr>
                <w:rFonts w:hint="eastAsia"/>
              </w:rPr>
              <w:t>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安全装置□挂牌上锁管理</w:t>
                  </w:r>
                </w:p>
              </w:tc>
              <w:tc>
                <w:tcPr>
                  <w:tcW w:w="2205" w:type="dxa"/>
                </w:tcPr>
                <w:p>
                  <w:pPr>
                    <w:jc w:val="left"/>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pPr>
                  <w:r>
                    <w:rPr>
                      <w:rFonts w:hint="eastAsia"/>
                      <w:lang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ascii="Times New Roman" w:hAnsi="Times New Roman" w:cs="Times New Roman"/>
                      <w:color w:val="000000"/>
                      <w:szCs w:val="18"/>
                      <w:lang w:val="en-US" w:eastAsia="zh-CN"/>
                    </w:rPr>
                    <w:t>火灾预防、火灾应急预案</w:t>
                  </w:r>
                </w:p>
              </w:tc>
              <w:tc>
                <w:tcPr>
                  <w:tcW w:w="2205" w:type="dxa"/>
                </w:tcPr>
                <w:p>
                  <w:pPr>
                    <w:jc w:val="left"/>
                  </w:pPr>
                  <w:r>
                    <w:rPr>
                      <w:rFonts w:hint="eastAsia"/>
                      <w:lang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于202</w:t>
            </w:r>
            <w:r>
              <w:rPr>
                <w:rFonts w:hint="eastAsia"/>
                <w:lang w:val="en-US" w:eastAsia="zh-CN"/>
              </w:rPr>
              <w:t>2</w:t>
            </w:r>
            <w:r>
              <w:rPr>
                <w:rFonts w:hint="eastAsia"/>
              </w:rPr>
              <w:t>年</w:t>
            </w:r>
            <w:r>
              <w:rPr>
                <w:rFonts w:hint="eastAsia"/>
                <w:lang w:val="en-US" w:eastAsia="zh-CN"/>
              </w:rPr>
              <w:t>3</w:t>
            </w:r>
            <w:r>
              <w:rPr>
                <w:rFonts w:hint="eastAsia"/>
              </w:rPr>
              <w:t>月</w:t>
            </w:r>
            <w:r>
              <w:rPr>
                <w:rFonts w:hint="eastAsia"/>
                <w:lang w:val="en-US" w:eastAsia="zh-CN"/>
              </w:rPr>
              <w:t>5</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定期（每年）：202</w:t>
            </w:r>
            <w:r>
              <w:rPr>
                <w:rFonts w:hint="eastAsia"/>
                <w:lang w:val="en-US" w:eastAsia="zh-CN"/>
              </w:rPr>
              <w:t>2</w:t>
            </w:r>
            <w:r>
              <w:rPr>
                <w:rFonts w:hint="eastAsia"/>
              </w:rPr>
              <w:t>年</w:t>
            </w:r>
            <w:r>
              <w:rPr>
                <w:rFonts w:hint="eastAsia"/>
                <w:lang w:val="en-US" w:eastAsia="zh-CN"/>
              </w:rPr>
              <w:t>3</w:t>
            </w:r>
            <w:r>
              <w:rPr>
                <w:rFonts w:hint="eastAsia"/>
              </w:rPr>
              <w:t>月</w:t>
            </w:r>
            <w:r>
              <w:rPr>
                <w:rFonts w:hint="eastAsia"/>
                <w:lang w:val="en-US" w:eastAsia="zh-CN"/>
              </w:rPr>
              <w:t>17</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通过年度策划于202</w:t>
            </w:r>
            <w:r>
              <w:rPr>
                <w:rFonts w:hint="eastAsia"/>
                <w:lang w:val="en-US" w:eastAsia="zh-CN"/>
              </w:rPr>
              <w:t>2</w:t>
            </w:r>
            <w:r>
              <w:rPr>
                <w:rFonts w:hint="eastAsia"/>
              </w:rPr>
              <w:t>年</w:t>
            </w:r>
            <w:r>
              <w:rPr>
                <w:rFonts w:hint="eastAsia"/>
                <w:lang w:val="en-US" w:eastAsia="zh-CN"/>
              </w:rPr>
              <w:t>4</w:t>
            </w:r>
            <w:r>
              <w:rPr>
                <w:rFonts w:hint="eastAsia"/>
              </w:rPr>
              <w:t>月</w:t>
            </w:r>
            <w:r>
              <w:rPr>
                <w:rFonts w:hint="eastAsia"/>
                <w:lang w:val="en-US" w:eastAsia="zh-CN"/>
              </w:rPr>
              <w:t>22-23</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9</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rPr>
          <w:rFonts w:eastAsia="微软雅黑"/>
          <w:sz w:val="20"/>
          <w:szCs w:val="20"/>
        </w:rPr>
      </w:pPr>
    </w:p>
    <w:p>
      <w:pPr>
        <w:pStyle w:val="2"/>
        <w:rPr>
          <w:rFonts w:eastAsia="微软雅黑"/>
          <w:sz w:val="20"/>
          <w:szCs w:val="20"/>
        </w:rPr>
      </w:pPr>
    </w:p>
    <w:p>
      <w:pPr>
        <w:pStyle w:val="2"/>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I4MWU3MDczOTkxMDk2MzJiODM1NDdkNjA1ZDJkNjkifQ=="/>
  </w:docVars>
  <w:rsids>
    <w:rsidRoot w:val="00000000"/>
    <w:rsid w:val="49385F7E"/>
    <w:rsid w:val="69246A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Plain Text"/>
    <w:basedOn w:val="1"/>
    <w:qFormat/>
    <w:uiPriority w:val="0"/>
    <w:rPr>
      <w:rFonts w:ascii="宋体" w:hAnsi="Courier New"/>
      <w:szCs w:val="20"/>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14434</Words>
  <Characters>15196</Characters>
  <Lines>150</Lines>
  <Paragraphs>42</Paragraphs>
  <TotalTime>0</TotalTime>
  <ScaleCrop>false</ScaleCrop>
  <LinksUpToDate>false</LinksUpToDate>
  <CharactersWithSpaces>15325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2022-06-27T15:47:34Z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