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default"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上海诺山工程设计咨询有限公司</w:t>
            </w:r>
            <w:bookmarkEnd w:id="0"/>
            <w:r>
              <w:rPr>
                <w:rFonts w:hint="eastAsia"/>
                <w:color w:val="000000"/>
                <w:sz w:val="24"/>
                <w:szCs w:val="24"/>
              </w:rPr>
              <w:t xml:space="preserve">                 陪同人员： </w:t>
            </w:r>
            <w:r>
              <w:rPr>
                <w:rFonts w:hint="eastAsia"/>
                <w:color w:val="000000"/>
                <w:sz w:val="24"/>
                <w:szCs w:val="24"/>
                <w:lang w:val="en-US" w:eastAsia="zh-CN"/>
              </w:rPr>
              <w:t>王叶</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陈琦</w:t>
            </w:r>
            <w:bookmarkEnd w:id="1"/>
            <w:r>
              <w:rPr>
                <w:rFonts w:hint="eastAsia"/>
                <w:color w:val="000000"/>
                <w:sz w:val="24"/>
                <w:szCs w:val="24"/>
                <w:lang w:eastAsia="zh-CN"/>
              </w:rPr>
              <w:t>、</w:t>
            </w:r>
            <w:r>
              <w:rPr>
                <w:rFonts w:hint="eastAsia"/>
                <w:color w:val="000000"/>
                <w:sz w:val="24"/>
                <w:szCs w:val="24"/>
                <w:lang w:val="en-US" w:eastAsia="zh-CN"/>
              </w:rPr>
              <w:t>强兴</w:t>
            </w:r>
            <w:r>
              <w:rPr>
                <w:rFonts w:hint="eastAsia"/>
                <w:color w:val="000000"/>
                <w:sz w:val="24"/>
                <w:szCs w:val="24"/>
              </w:rPr>
              <w:t xml:space="preserve">              审核时间：</w:t>
            </w:r>
            <w:bookmarkStart w:id="2" w:name="审核日期"/>
            <w:r>
              <w:rPr>
                <w:color w:val="000000"/>
              </w:rPr>
              <w:t>2022年06月17日 上午至2022年06月17日 上午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：91310230594732443L </w:t>
            </w:r>
            <w:r>
              <w:rPr>
                <w:rFonts w:hint="eastAsia"/>
                <w:color w:val="000000"/>
                <w:szCs w:val="21"/>
              </w:rPr>
              <w:t>； 有效期：2012-04-24</w:t>
            </w:r>
            <w:r>
              <w:rPr>
                <w:rFonts w:hint="eastAsia"/>
                <w:color w:val="000000"/>
                <w:szCs w:val="21"/>
                <w:lang w:val="en-US" w:eastAsia="zh-CN"/>
              </w:rPr>
              <w:t>至不约定期限</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建筑工程设计，市政工程设计，水务工程设计，景观工程设计，绿化工程设计、机械设备设计，电气设备设计，自动化设备设计，电脑图文设计制作，工程技术、自动化技术领域内的技术开发、技术转让、技术咨询和技术服务，会务服务，商务咨询，市场信息咨询与调查（不得从事社会调查、社会调研、民意调查、民意测验）。【依法须经批准的项目，经相关部门批准后方可开展经营活动】；</w:t>
            </w:r>
          </w:p>
          <w:p>
            <w:pPr>
              <w:rPr>
                <w:rFonts w:hint="eastAsia"/>
                <w:color w:val="000000"/>
              </w:rPr>
            </w:pPr>
          </w:p>
          <w:p>
            <w:r>
              <w:rPr>
                <w:rFonts w:hint="eastAsia"/>
                <w:color w:val="000000"/>
              </w:rPr>
              <w:t>认证申请范围：</w:t>
            </w:r>
            <w:bookmarkStart w:id="3" w:name="审核范围"/>
            <w:r>
              <w:t>Q：资质证书范围内的工程设计；资信证书范围内的工程咨询；工程技术领域内的技术服务（水土保持方案编制、水土保持监测、水土保持设施验收）</w:t>
            </w:r>
          </w:p>
          <w:p>
            <w:r>
              <w:t>E：资质证书范围内的工程设计；资信证书范围内的工程咨询；工程技术领域内的技术服务（水土保持方案编制、水土保持监测、水土保持设施验收）所涉及场所的相关环境管理活动</w:t>
            </w:r>
          </w:p>
          <w:p>
            <w:pPr>
              <w:spacing w:line="440" w:lineRule="exact"/>
              <w:ind w:firstLine="420" w:firstLineChars="200"/>
              <w:rPr>
                <w:color w:val="000000"/>
                <w:szCs w:val="21"/>
              </w:rPr>
            </w:pPr>
            <w:r>
              <w:t>O：资质证书范围内的工程设计；资信证书范围内的工程咨询；工程技术领域内的技术服务（水土保持方案编制、水土保持监测、水土保持设施验收）所涉及场所的相关职业健康安全管理活动</w:t>
            </w:r>
            <w:bookmarkEnd w:id="3"/>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工程设计资质证书</w:t>
            </w:r>
            <w:r>
              <w:rPr>
                <w:rFonts w:hint="eastAsia"/>
                <w:b/>
                <w:bCs/>
                <w:color w:val="000000"/>
                <w:szCs w:val="21"/>
              </w:rPr>
              <w:t>》</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A</w:t>
            </w:r>
            <w:r>
              <w:rPr>
                <w:rFonts w:hint="eastAsia"/>
                <w:color w:val="000000"/>
                <w:szCs w:val="21"/>
                <w:u w:val="single"/>
              </w:rPr>
              <w:t xml:space="preserve"> </w:t>
            </w:r>
            <w:r>
              <w:rPr>
                <w:rFonts w:hint="eastAsia"/>
                <w:color w:val="000000"/>
                <w:szCs w:val="21"/>
                <w:u w:val="single"/>
                <w:lang w:val="en-US" w:eastAsia="zh-CN"/>
              </w:rPr>
              <w:t>131022833</w:t>
            </w:r>
            <w:r>
              <w:rPr>
                <w:rFonts w:hint="eastAsia"/>
                <w:color w:val="000000"/>
                <w:szCs w:val="21"/>
              </w:rPr>
              <w:t>； 有效期：</w:t>
            </w:r>
            <w:r>
              <w:rPr>
                <w:rFonts w:hint="eastAsia"/>
                <w:color w:val="000000"/>
                <w:szCs w:val="21"/>
                <w:lang w:val="en-US" w:eastAsia="zh-CN"/>
              </w:rPr>
              <w:t>至2024.7.3</w:t>
            </w:r>
            <w:r>
              <w:rPr>
                <w:rFonts w:hint="eastAsia"/>
                <w:color w:val="000000"/>
                <w:szCs w:val="21"/>
              </w:rPr>
              <w:t>；</w:t>
            </w:r>
          </w:p>
          <w:p>
            <w:pPr>
              <w:spacing w:line="440" w:lineRule="exact"/>
              <w:ind w:firstLine="420" w:firstLineChars="200"/>
              <w:rPr>
                <w:color w:val="000000"/>
                <w:szCs w:val="21"/>
                <w:u w:val="single"/>
              </w:rPr>
            </w:pPr>
          </w:p>
          <w:p>
            <w:pPr>
              <w:spacing w:line="440" w:lineRule="exact"/>
              <w:rPr>
                <w:rFonts w:hint="eastAsia"/>
                <w:color w:val="000000"/>
                <w:szCs w:val="21"/>
                <w:lang w:eastAsia="zh-CN"/>
              </w:rPr>
            </w:pPr>
            <w:r>
              <w:rPr>
                <w:rFonts w:hint="eastAsia"/>
                <w:color w:val="000000"/>
                <w:szCs w:val="21"/>
              </w:rPr>
              <w:t>经营范围的</w:t>
            </w:r>
            <w:r>
              <w:rPr>
                <w:rFonts w:hint="eastAsia"/>
                <w:b/>
                <w:bCs/>
                <w:color w:val="000000"/>
                <w:szCs w:val="21"/>
              </w:rPr>
              <w:t>相关描述</w:t>
            </w:r>
            <w:r>
              <w:rPr>
                <w:rFonts w:hint="eastAsia"/>
                <w:color w:val="000000"/>
                <w:szCs w:val="21"/>
              </w:rPr>
              <w:t>：资质等级︰水利行业（河道整治、城市防洪）专业乙级</w:t>
            </w:r>
            <w:r>
              <w:rPr>
                <w:rFonts w:hint="eastAsia"/>
                <w:color w:val="000000"/>
                <w:szCs w:val="21"/>
                <w:lang w:eastAsia="zh-CN"/>
              </w:rPr>
              <w:t>；可从事资质证书许可范围内相应的建设工程总承包业务以及项目管理和相关的技术与管理服务．</w:t>
            </w:r>
          </w:p>
          <w:p>
            <w:pPr>
              <w:spacing w:line="440" w:lineRule="exact"/>
              <w:rPr>
                <w:rFonts w:hint="default"/>
                <w:color w:val="000000"/>
                <w:szCs w:val="21"/>
                <w:lang w:val="en-US" w:eastAsia="zh-CN"/>
              </w:rPr>
            </w:pPr>
            <w:r>
              <w:rPr>
                <w:rFonts w:hint="eastAsia"/>
                <w:color w:val="000000"/>
                <w:szCs w:val="21"/>
                <w:lang w:eastAsia="zh-CN"/>
              </w:rPr>
              <w:t>《工程咨询单位乙级资信证书》，</w:t>
            </w:r>
            <w:r>
              <w:rPr>
                <w:rFonts w:hint="eastAsia"/>
                <w:color w:val="000000"/>
                <w:szCs w:val="21"/>
                <w:lang w:val="en-US" w:eastAsia="zh-CN"/>
              </w:rPr>
              <w:t>证书编号：91310230594732443L-21ZYY21；业务范围：水利水电</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bookmarkStart w:id="4" w:name="注册地址"/>
            <w:r>
              <w:rPr>
                <w:sz w:val="21"/>
                <w:szCs w:val="21"/>
              </w:rPr>
              <w:t>上海市普陀区中江路879弄18号2层218室</w:t>
            </w:r>
            <w:bookmarkEnd w:id="4"/>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w:t>
            </w:r>
            <w:bookmarkStart w:id="5" w:name="生产地址"/>
            <w:r>
              <w:rPr>
                <w:sz w:val="21"/>
                <w:szCs w:val="21"/>
              </w:rPr>
              <w:t>上海市普陀区中江路879弄18号2层</w:t>
            </w:r>
            <w:bookmarkEnd w:id="5"/>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snapToGrid w:val="0"/>
              <w:spacing w:line="280" w:lineRule="exact"/>
              <w:rPr>
                <w:rFonts w:hint="eastAsia" w:eastAsia="宋体"/>
                <w:sz w:val="21"/>
                <w:szCs w:val="21"/>
                <w:lang w:eastAsia="zh-CN"/>
              </w:rPr>
            </w:pPr>
            <w:r>
              <w:rPr>
                <w:rFonts w:hint="eastAsia"/>
                <w:lang w:val="en-US" w:eastAsia="zh-CN"/>
              </w:rPr>
              <w:t>1、</w:t>
            </w:r>
            <w:r>
              <w:rPr>
                <w:rFonts w:hint="eastAsia"/>
                <w:sz w:val="21"/>
                <w:szCs w:val="21"/>
                <w:lang w:val="en-US" w:eastAsia="zh-CN"/>
              </w:rPr>
              <w:t>设计类流程图：</w:t>
            </w:r>
            <w:r>
              <w:rPr>
                <w:rFonts w:hint="eastAsia"/>
                <w:sz w:val="21"/>
                <w:szCs w:val="21"/>
              </w:rPr>
              <w:t>业主委托或项目中标→下任务单→组建项目组→外部沟通与现场踏勘→基础资料收集与验证→设计内部校审→设计修编→技术交底与施工配合→完工工作报告→合同履行结束</w:t>
            </w:r>
            <w:r>
              <w:rPr>
                <w:rFonts w:hint="eastAsia"/>
                <w:sz w:val="21"/>
                <w:szCs w:val="21"/>
                <w:lang w:eastAsia="zh-CN"/>
              </w:rPr>
              <w:t>。</w:t>
            </w:r>
          </w:p>
          <w:p>
            <w:pPr>
              <w:snapToGrid w:val="0"/>
              <w:spacing w:line="280" w:lineRule="exact"/>
              <w:rPr>
                <w:rFonts w:hint="eastAsia"/>
                <w:sz w:val="21"/>
                <w:szCs w:val="21"/>
                <w:lang w:eastAsia="zh-CN"/>
              </w:rPr>
            </w:pPr>
            <w:r>
              <w:rPr>
                <w:rFonts w:hint="eastAsia"/>
                <w:sz w:val="21"/>
                <w:szCs w:val="21"/>
                <w:lang w:val="en-US" w:eastAsia="zh-CN"/>
              </w:rPr>
              <w:t>2、咨询类项目流程图:</w:t>
            </w:r>
            <w:r>
              <w:rPr>
                <w:rFonts w:hint="eastAsia"/>
                <w:sz w:val="21"/>
                <w:szCs w:val="21"/>
              </w:rPr>
              <w:t>业主委托或项目中标→下任务单→组建项目组→外部沟通与现场踏勘→基础资料收集与验证→咨询报告内部校审→项目成果统稿→报告评审→报告修编→完工工作报告→合同履行结束</w:t>
            </w:r>
            <w:r>
              <w:rPr>
                <w:rFonts w:hint="eastAsia"/>
                <w:sz w:val="21"/>
                <w:szCs w:val="21"/>
                <w:lang w:eastAsia="zh-CN"/>
              </w:rPr>
              <w:t>。</w:t>
            </w:r>
          </w:p>
          <w:p>
            <w:pPr>
              <w:snapToGrid w:val="0"/>
              <w:spacing w:line="280" w:lineRule="exact"/>
              <w:rPr>
                <w:rFonts w:hint="eastAsia"/>
                <w:sz w:val="21"/>
                <w:szCs w:val="21"/>
                <w:lang w:eastAsia="zh-CN"/>
              </w:rPr>
            </w:pPr>
            <w:r>
              <w:rPr>
                <w:rFonts w:hint="eastAsia"/>
                <w:sz w:val="21"/>
                <w:szCs w:val="21"/>
                <w:lang w:val="en-US" w:eastAsia="zh-CN"/>
              </w:rPr>
              <w:t>3、水土保持方案项目流程图：</w:t>
            </w:r>
            <w:r>
              <w:rPr>
                <w:rFonts w:hint="eastAsia"/>
                <w:sz w:val="21"/>
                <w:szCs w:val="21"/>
              </w:rPr>
              <w:t>业主委托或项目中标→下任务单→组建项目组→外部沟通与现场踏勘→基础资料收集与验证→完成报告初稿→咨询报告内部校审→项目成果统稿→报告评审→报告修编→完工工作报告→合同履行结束</w:t>
            </w:r>
            <w:r>
              <w:rPr>
                <w:rFonts w:hint="eastAsia"/>
                <w:sz w:val="21"/>
                <w:szCs w:val="21"/>
                <w:lang w:eastAsia="zh-CN"/>
              </w:rPr>
              <w:t>。</w:t>
            </w:r>
          </w:p>
          <w:p>
            <w:pPr>
              <w:snapToGrid w:val="0"/>
              <w:spacing w:line="280" w:lineRule="exact"/>
              <w:rPr>
                <w:color w:val="000000"/>
              </w:rPr>
            </w:pPr>
            <w:r>
              <w:rPr>
                <w:rFonts w:hint="eastAsia" w:ascii="Times New Roman" w:hAnsi="Times New Roman" w:cs="Times New Roman"/>
                <w:sz w:val="21"/>
                <w:szCs w:val="21"/>
                <w:lang w:val="en-US" w:eastAsia="zh-CN"/>
              </w:rPr>
              <w:t>4、</w:t>
            </w:r>
            <w:r>
              <w:rPr>
                <w:rFonts w:hint="eastAsia" w:ascii="Times New Roman" w:hAnsi="Times New Roman" w:cs="Times New Roman"/>
                <w:sz w:val="21"/>
                <w:szCs w:val="21"/>
                <w:lang w:eastAsia="zh-CN"/>
              </w:rPr>
              <w:t>水土保持监测及验收</w:t>
            </w:r>
            <w:r>
              <w:rPr>
                <w:rFonts w:hint="eastAsia" w:ascii="Times New Roman" w:hAnsi="Times New Roman" w:cs="Times New Roman"/>
                <w:sz w:val="21"/>
                <w:szCs w:val="21"/>
              </w:rPr>
              <w:t>项目工艺流程图</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业</w:t>
            </w:r>
            <w:r>
              <w:rPr>
                <w:rFonts w:hint="eastAsia"/>
                <w:sz w:val="21"/>
                <w:szCs w:val="21"/>
              </w:rPr>
              <w:t>主委托或项目中标→下任务单→组建项目组→外部沟通与现场踏勘→完成报告初稿→咨询报告内部校审→项目成果统稿→取得水保验收报备表→合同履行结束</w:t>
            </w:r>
            <w:r>
              <w:rPr>
                <w:rFonts w:hint="eastAsia"/>
                <w:sz w:val="21"/>
                <w:szCs w:val="21"/>
                <w:lang w:eastAsia="zh-CN"/>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sym w:font="Wingdings 2" w:char="00A3"/>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50</w:t>
            </w:r>
            <w:r>
              <w:rPr>
                <w:rFonts w:hint="eastAsia"/>
                <w:color w:val="000000"/>
                <w:szCs w:val="21"/>
              </w:rPr>
              <w:t>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6</w:t>
            </w:r>
            <w:r>
              <w:rPr>
                <w:rFonts w:hint="eastAsia"/>
                <w:color w:val="000000"/>
                <w:szCs w:val="21"/>
              </w:rPr>
              <w:t>人</w:t>
            </w:r>
            <w:r>
              <w:rPr>
                <w:rFonts w:hint="eastAsia"/>
                <w:color w:val="000000"/>
                <w:szCs w:val="18"/>
              </w:rPr>
              <w:t>；操作人员</w:t>
            </w:r>
            <w:r>
              <w:rPr>
                <w:rFonts w:hint="eastAsia"/>
                <w:color w:val="000000"/>
                <w:szCs w:val="18"/>
                <w:lang w:val="en-US" w:eastAsia="zh-CN"/>
              </w:rPr>
              <w:t>44</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5</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11</w:t>
            </w:r>
            <w:r>
              <w:rPr>
                <w:rFonts w:hint="eastAsia"/>
                <w:color w:val="000000"/>
                <w:szCs w:val="18"/>
              </w:rPr>
              <w:t>月</w:t>
            </w:r>
            <w:r>
              <w:rPr>
                <w:rFonts w:hint="eastAsia"/>
                <w:color w:val="000000"/>
                <w:szCs w:val="18"/>
                <w:lang w:val="en-US" w:eastAsia="zh-CN"/>
              </w:rPr>
              <w:t>12</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w:t>
            </w:r>
            <w:r>
              <w:rPr>
                <w:rFonts w:hint="eastAsia"/>
                <w:color w:val="000000"/>
                <w:szCs w:val="21"/>
              </w:rPr>
              <w:sym w:font="Wingdings 2" w:char="00A3"/>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w:t>
            </w:r>
          </w:p>
          <w:p>
            <w:pPr>
              <w:widowControl/>
              <w:spacing w:before="40"/>
              <w:jc w:val="left"/>
              <w:rPr>
                <w:color w:val="000000"/>
                <w:spacing w:val="-2"/>
                <w:szCs w:val="21"/>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eastAsia="宋体" w:cs="宋体"/>
                      <w:bCs/>
                      <w:sz w:val="21"/>
                      <w:szCs w:val="21"/>
                      <w:lang w:val="en-US" w:eastAsia="zh-CN"/>
                    </w:rPr>
                    <w:t>成果文件一次交检合格率大于97%以上；</w:t>
                  </w:r>
                </w:p>
              </w:tc>
              <w:tc>
                <w:tcPr>
                  <w:tcW w:w="1387" w:type="dxa"/>
                </w:tcPr>
                <w:p>
                  <w:pPr>
                    <w:widowControl/>
                    <w:spacing w:before="40"/>
                    <w:jc w:val="left"/>
                    <w:rPr>
                      <w:color w:val="000000"/>
                      <w:szCs w:val="18"/>
                      <w:highlight w:val="cyan"/>
                    </w:rPr>
                  </w:pPr>
                  <w:r>
                    <w:rPr>
                      <w:rFonts w:hint="eastAsia" w:ascii="Times New Roman" w:hAnsi="Times New Roman" w:cs="Times New Roman"/>
                      <w:lang w:val="en-US" w:eastAsia="zh-CN"/>
                    </w:rPr>
                    <w:t>半年</w:t>
                  </w:r>
                </w:p>
              </w:tc>
              <w:tc>
                <w:tcPr>
                  <w:tcW w:w="3499" w:type="dxa"/>
                </w:tcPr>
                <w:p>
                  <w:pPr>
                    <w:spacing w:line="360" w:lineRule="auto"/>
                    <w:rPr>
                      <w:rFonts w:hint="default"/>
                      <w:lang w:val="en-US" w:eastAsia="zh-CN"/>
                    </w:rPr>
                  </w:pPr>
                  <w:r>
                    <w:rPr>
                      <w:rFonts w:hint="eastAsia"/>
                      <w:lang w:val="en-US" w:eastAsia="zh-CN"/>
                    </w:rPr>
                    <w:t>合格</w:t>
                  </w:r>
                  <w:r>
                    <w:rPr>
                      <w:rFonts w:hint="default"/>
                      <w:lang w:val="en-US" w:eastAsia="zh-CN"/>
                    </w:rPr>
                    <w:t>数÷交验总数×100%</w:t>
                  </w:r>
                </w:p>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r>
                    <w:rPr>
                      <w:rFonts w:hint="eastAsia" w:ascii="Times New Roman" w:hAnsi="Times New Roman"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eastAsia="宋体" w:cs="宋体"/>
                      <w:bCs/>
                      <w:sz w:val="21"/>
                      <w:szCs w:val="21"/>
                      <w:lang w:val="en-US" w:eastAsia="zh-CN"/>
                    </w:rPr>
                    <w:t>顾客满意率90%以上；</w:t>
                  </w:r>
                </w:p>
              </w:tc>
              <w:tc>
                <w:tcPr>
                  <w:tcW w:w="1387" w:type="dxa"/>
                </w:tcPr>
                <w:p>
                  <w:pPr>
                    <w:widowControl/>
                    <w:spacing w:before="40"/>
                    <w:jc w:val="left"/>
                    <w:rPr>
                      <w:color w:val="000000"/>
                      <w:szCs w:val="18"/>
                      <w:highlight w:val="cyan"/>
                    </w:rPr>
                  </w:pPr>
                  <w:r>
                    <w:rPr>
                      <w:rFonts w:hint="eastAsia" w:ascii="Times New Roman" w:hAnsi="Times New Roman" w:cs="Times New Roman"/>
                      <w:lang w:val="en-US" w:eastAsia="zh-CN"/>
                    </w:rPr>
                    <w:t>半年</w:t>
                  </w:r>
                </w:p>
              </w:tc>
              <w:tc>
                <w:tcPr>
                  <w:tcW w:w="3499" w:type="dxa"/>
                </w:tcPr>
                <w:p>
                  <w:pPr>
                    <w:widowControl/>
                    <w:spacing w:before="40"/>
                    <w:jc w:val="left"/>
                    <w:rPr>
                      <w:color w:val="000000"/>
                      <w:szCs w:val="18"/>
                      <w:highlight w:val="cyan"/>
                    </w:rPr>
                  </w:pPr>
                  <w:r>
                    <w:rPr>
                      <w:rFonts w:hint="eastAsia"/>
                      <w:lang w:val="en-US" w:eastAsia="zh-CN"/>
                    </w:rPr>
                    <w:t>调查客户总分</w:t>
                  </w:r>
                  <w:r>
                    <w:rPr>
                      <w:rFonts w:hint="default"/>
                      <w:lang w:val="en-US" w:eastAsia="zh-CN"/>
                    </w:rPr>
                    <w:t>÷</w:t>
                  </w:r>
                  <w:r>
                    <w:rPr>
                      <w:rFonts w:hint="eastAsia"/>
                      <w:lang w:val="en-US" w:eastAsia="zh-CN"/>
                    </w:rPr>
                    <w:t>客户数量</w:t>
                  </w:r>
                  <w:r>
                    <w:rPr>
                      <w:rFonts w:hint="default"/>
                      <w:lang w:val="en-US" w:eastAsia="zh-CN"/>
                    </w:rPr>
                    <w:t>×100%</w:t>
                  </w:r>
                </w:p>
              </w:tc>
              <w:tc>
                <w:tcPr>
                  <w:tcW w:w="2444" w:type="dxa"/>
                </w:tcPr>
                <w:p>
                  <w:pPr>
                    <w:widowControl/>
                    <w:spacing w:before="40"/>
                    <w:jc w:val="left"/>
                    <w:rPr>
                      <w:color w:val="000000"/>
                      <w:szCs w:val="18"/>
                      <w:highlight w:val="cyan"/>
                    </w:rPr>
                  </w:pPr>
                  <w:r>
                    <w:rPr>
                      <w:rFonts w:hint="eastAsia" w:ascii="Times New Roman" w:hAnsi="Times New Roman" w:cs="Times New Roman"/>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eastAsia="宋体" w:cs="宋体"/>
                      <w:bCs/>
                      <w:sz w:val="21"/>
                      <w:szCs w:val="21"/>
                      <w:lang w:val="en-US" w:eastAsia="zh-CN"/>
                    </w:rPr>
                    <w:t>履行委托合同约定的责任和义务 100%</w:t>
                  </w:r>
                </w:p>
              </w:tc>
              <w:tc>
                <w:tcPr>
                  <w:tcW w:w="1387" w:type="dxa"/>
                </w:tcPr>
                <w:p>
                  <w:pPr>
                    <w:widowControl/>
                    <w:spacing w:before="40"/>
                    <w:jc w:val="left"/>
                    <w:rPr>
                      <w:color w:val="000000"/>
                      <w:szCs w:val="18"/>
                      <w:highlight w:val="cyan"/>
                    </w:rPr>
                  </w:pPr>
                  <w:r>
                    <w:rPr>
                      <w:rFonts w:hint="eastAsia" w:ascii="Times New Roman" w:hAnsi="Times New Roman" w:cs="Times New Roman"/>
                      <w:lang w:val="en-US" w:eastAsia="zh-CN"/>
                    </w:rPr>
                    <w:t>半年</w:t>
                  </w:r>
                </w:p>
              </w:tc>
              <w:tc>
                <w:tcPr>
                  <w:tcW w:w="3499" w:type="dxa"/>
                </w:tcPr>
                <w:p>
                  <w:pPr>
                    <w:widowControl/>
                    <w:spacing w:before="40"/>
                    <w:jc w:val="left"/>
                    <w:rPr>
                      <w:color w:val="000000"/>
                      <w:szCs w:val="18"/>
                      <w:highlight w:val="cyan"/>
                    </w:rPr>
                  </w:pPr>
                  <w:r>
                    <w:rPr>
                      <w:rFonts w:hint="eastAsia" w:eastAsia="宋体"/>
                      <w:kern w:val="2"/>
                      <w:sz w:val="21"/>
                      <w:szCs w:val="22"/>
                      <w:lang w:val="en-US" w:eastAsia="zh-CN"/>
                    </w:rPr>
                    <w:t>履行委托合同约定的责任和义务条款</w:t>
                  </w:r>
                  <w:r>
                    <w:rPr>
                      <w:rFonts w:hint="default" w:eastAsia="宋体"/>
                      <w:kern w:val="2"/>
                      <w:sz w:val="21"/>
                      <w:szCs w:val="22"/>
                      <w:lang w:val="en-US" w:eastAsia="zh-CN"/>
                    </w:rPr>
                    <w:t>÷</w:t>
                  </w:r>
                  <w:r>
                    <w:rPr>
                      <w:rFonts w:hint="eastAsia" w:eastAsia="宋体"/>
                      <w:kern w:val="2"/>
                      <w:sz w:val="21"/>
                      <w:szCs w:val="22"/>
                      <w:lang w:val="en-US" w:eastAsia="zh-CN"/>
                    </w:rPr>
                    <w:t>合同约定的责任和义务条款</w:t>
                  </w:r>
                  <w:r>
                    <w:rPr>
                      <w:rFonts w:hint="default" w:eastAsia="宋体"/>
                      <w:kern w:val="2"/>
                      <w:sz w:val="21"/>
                      <w:szCs w:val="22"/>
                      <w:lang w:val="en-US" w:eastAsia="zh-CN"/>
                    </w:rPr>
                    <w:t>×100%</w:t>
                  </w:r>
                </w:p>
              </w:tc>
              <w:tc>
                <w:tcPr>
                  <w:tcW w:w="2444" w:type="dxa"/>
                </w:tcPr>
                <w:p>
                  <w:pPr>
                    <w:widowControl/>
                    <w:spacing w:before="40"/>
                    <w:jc w:val="left"/>
                    <w:rPr>
                      <w:color w:val="000000"/>
                      <w:szCs w:val="18"/>
                      <w:highlight w:val="cyan"/>
                    </w:rPr>
                  </w:pPr>
                  <w:r>
                    <w:rPr>
                      <w:rFonts w:hint="eastAsia" w:ascii="Times New Roman" w:hAnsi="Times New Roman" w:cs="Times New Rom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eastAsia="宋体" w:cs="宋体"/>
                      <w:bCs/>
                      <w:sz w:val="21"/>
                      <w:szCs w:val="21"/>
                      <w:lang w:val="en-US" w:eastAsia="zh-CN"/>
                    </w:rPr>
                    <w:t>全公司全年火灾爆炸事故发生为0</w:t>
                  </w:r>
                </w:p>
              </w:tc>
              <w:tc>
                <w:tcPr>
                  <w:tcW w:w="1387" w:type="dxa"/>
                </w:tcPr>
                <w:p>
                  <w:pPr>
                    <w:widowControl/>
                    <w:spacing w:before="40"/>
                    <w:jc w:val="left"/>
                    <w:rPr>
                      <w:color w:val="000000"/>
                      <w:szCs w:val="18"/>
                      <w:highlight w:val="cyan"/>
                    </w:rPr>
                  </w:pPr>
                  <w:r>
                    <w:rPr>
                      <w:rFonts w:hint="eastAsia" w:ascii="Times New Roman" w:hAnsi="Times New Roman" w:cs="Times New Roman"/>
                      <w:lang w:val="en-US" w:eastAsia="zh-CN"/>
                    </w:rPr>
                    <w:t>半年</w:t>
                  </w:r>
                </w:p>
              </w:tc>
              <w:tc>
                <w:tcPr>
                  <w:tcW w:w="3499" w:type="dxa"/>
                </w:tcPr>
                <w:p>
                  <w:pPr>
                    <w:widowControl/>
                    <w:spacing w:before="40"/>
                    <w:jc w:val="left"/>
                    <w:rPr>
                      <w:rFonts w:hint="default" w:eastAsia="宋体"/>
                      <w:color w:val="000000"/>
                      <w:szCs w:val="18"/>
                      <w:highlight w:val="cyan"/>
                      <w:lang w:val="en-US" w:eastAsia="zh-CN"/>
                    </w:rPr>
                  </w:pPr>
                  <w:r>
                    <w:rPr>
                      <w:rFonts w:hint="eastAsia"/>
                      <w:color w:val="000000"/>
                      <w:szCs w:val="18"/>
                      <w:highlight w:val="cyan"/>
                      <w:lang w:val="en-US" w:eastAsia="zh-CN"/>
                    </w:rPr>
                    <w:t>按实际统计</w:t>
                  </w:r>
                </w:p>
              </w:tc>
              <w:tc>
                <w:tcPr>
                  <w:tcW w:w="2444" w:type="dxa"/>
                </w:tcPr>
                <w:p>
                  <w:pPr>
                    <w:widowControl/>
                    <w:spacing w:before="40"/>
                    <w:jc w:val="left"/>
                    <w:rPr>
                      <w:color w:val="000000"/>
                      <w:szCs w:val="18"/>
                      <w:highlight w:val="cyan"/>
                    </w:rPr>
                  </w:pPr>
                  <w:r>
                    <w:rPr>
                      <w:rFonts w:hint="eastAsia" w:ascii="宋体" w:hAnsi="宋体"/>
                      <w:color w:val="auto"/>
                      <w:kern w:val="0"/>
                      <w:sz w:val="21"/>
                      <w:szCs w:val="21"/>
                      <w:lang w:val="en-US" w:eastAsia="zh-CN"/>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eastAsia="宋体" w:cs="宋体"/>
                      <w:bCs/>
                      <w:sz w:val="21"/>
                      <w:szCs w:val="21"/>
                      <w:lang w:val="en-US" w:eastAsia="zh-CN"/>
                    </w:rPr>
                    <w:t>固体废弃物实现分类存放，危险固废由有资质的单位处置控制率100%，可回收和生活垃圾控制率95%以上；</w:t>
                  </w:r>
                </w:p>
              </w:tc>
              <w:tc>
                <w:tcPr>
                  <w:tcW w:w="1387" w:type="dxa"/>
                </w:tcPr>
                <w:p>
                  <w:pPr>
                    <w:widowControl/>
                    <w:spacing w:before="40"/>
                    <w:jc w:val="left"/>
                    <w:rPr>
                      <w:color w:val="000000"/>
                      <w:szCs w:val="18"/>
                      <w:highlight w:val="cyan"/>
                    </w:rPr>
                  </w:pPr>
                  <w:r>
                    <w:rPr>
                      <w:rFonts w:hint="eastAsia" w:ascii="Times New Roman" w:hAnsi="Times New Roman" w:cs="Times New Roman"/>
                      <w:lang w:val="en-US" w:eastAsia="zh-CN"/>
                    </w:rPr>
                    <w:t>半年</w:t>
                  </w:r>
                </w:p>
              </w:tc>
              <w:tc>
                <w:tcPr>
                  <w:tcW w:w="3499" w:type="dxa"/>
                </w:tcPr>
                <w:p>
                  <w:pPr>
                    <w:widowControl/>
                    <w:numPr>
                      <w:ilvl w:val="0"/>
                      <w:numId w:val="1"/>
                    </w:numPr>
                    <w:snapToGrid w:val="0"/>
                    <w:spacing w:line="360" w:lineRule="auto"/>
                    <w:ind w:right="-105" w:rightChars="-50"/>
                    <w:jc w:val="left"/>
                    <w:rPr>
                      <w:rFonts w:hint="default"/>
                      <w:lang w:val="en-US" w:eastAsia="zh-CN"/>
                    </w:rPr>
                  </w:pPr>
                  <w:r>
                    <w:rPr>
                      <w:rFonts w:hint="eastAsia"/>
                      <w:lang w:val="en-US" w:eastAsia="zh-CN"/>
                    </w:rPr>
                    <w:t>危废固废由有资质的单位处置数量</w:t>
                  </w:r>
                  <w:r>
                    <w:rPr>
                      <w:rFonts w:hint="default"/>
                      <w:lang w:val="en-US" w:eastAsia="zh-CN"/>
                    </w:rPr>
                    <w:t>÷</w:t>
                  </w:r>
                  <w:r>
                    <w:rPr>
                      <w:rFonts w:hint="eastAsia"/>
                      <w:lang w:val="en-US" w:eastAsia="zh-CN"/>
                    </w:rPr>
                    <w:t>总危废固废数量</w:t>
                  </w:r>
                  <w:r>
                    <w:rPr>
                      <w:rFonts w:hint="default"/>
                      <w:lang w:val="en-US" w:eastAsia="zh-CN"/>
                    </w:rPr>
                    <w:t>×100%</w:t>
                  </w:r>
                </w:p>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r>
                    <w:rPr>
                      <w:rFonts w:hint="eastAsia" w:ascii="宋体" w:hAnsi="宋体"/>
                      <w:color w:val="auto"/>
                      <w:kern w:val="0"/>
                      <w:sz w:val="21"/>
                      <w:szCs w:val="21"/>
                      <w:lang w:val="en-US" w:eastAsia="zh-CN"/>
                    </w:rPr>
                    <w:t>危废暂无，分类处理率100%，达成；</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eastAsia="宋体" w:cs="宋体"/>
                      <w:bCs/>
                      <w:sz w:val="21"/>
                      <w:szCs w:val="21"/>
                      <w:lang w:val="en-US" w:eastAsia="zh-CN"/>
                    </w:rPr>
                    <w:t>在服务活动开展过程中，要杜绝职工出现违章指挥、违反现场劳动纪律的情况， 确保企业职工不出现因工死亡重伤事故；</w:t>
                  </w:r>
                </w:p>
              </w:tc>
              <w:tc>
                <w:tcPr>
                  <w:tcW w:w="1387" w:type="dxa"/>
                </w:tcPr>
                <w:p>
                  <w:pPr>
                    <w:widowControl/>
                    <w:spacing w:before="40"/>
                    <w:jc w:val="left"/>
                    <w:rPr>
                      <w:color w:val="000000"/>
                      <w:szCs w:val="18"/>
                      <w:highlight w:val="cyan"/>
                    </w:rPr>
                  </w:pPr>
                  <w:r>
                    <w:rPr>
                      <w:rFonts w:hint="eastAsia" w:ascii="Times New Roman" w:hAnsi="Times New Roman" w:cs="Times New Roman"/>
                      <w:lang w:val="en-US" w:eastAsia="zh-CN"/>
                    </w:rPr>
                    <w:t>半年</w:t>
                  </w:r>
                </w:p>
              </w:tc>
              <w:tc>
                <w:tcPr>
                  <w:tcW w:w="3499" w:type="dxa"/>
                </w:tcPr>
                <w:p>
                  <w:pPr>
                    <w:widowControl/>
                    <w:spacing w:before="40"/>
                    <w:jc w:val="left"/>
                    <w:rPr>
                      <w:color w:val="000000"/>
                      <w:szCs w:val="18"/>
                      <w:highlight w:val="cyan"/>
                    </w:rPr>
                  </w:pPr>
                  <w:r>
                    <w:rPr>
                      <w:rFonts w:hint="eastAsia"/>
                      <w:color w:val="000000"/>
                      <w:szCs w:val="18"/>
                      <w:highlight w:val="cyan"/>
                      <w:lang w:val="en-US" w:eastAsia="zh-CN"/>
                    </w:rPr>
                    <w:t>按实际统计</w:t>
                  </w:r>
                </w:p>
              </w:tc>
              <w:tc>
                <w:tcPr>
                  <w:tcW w:w="2444" w:type="dxa"/>
                </w:tcPr>
                <w:p>
                  <w:pPr>
                    <w:widowControl/>
                    <w:spacing w:before="40"/>
                    <w:jc w:val="left"/>
                    <w:rPr>
                      <w:color w:val="000000"/>
                      <w:szCs w:val="18"/>
                      <w:highlight w:val="cyan"/>
                    </w:rPr>
                  </w:pPr>
                  <w:r>
                    <w:rPr>
                      <w:rFonts w:hint="eastAsia" w:ascii="宋体" w:hAnsi="宋体"/>
                      <w:color w:val="auto"/>
                      <w:kern w:val="0"/>
                      <w:sz w:val="21"/>
                      <w:szCs w:val="21"/>
                      <w:lang w:val="en-US" w:eastAsia="zh-CN"/>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highlight w:val="cyan"/>
                    </w:rPr>
                  </w:pPr>
                  <w:r>
                    <w:rPr>
                      <w:rFonts w:hint="eastAsia" w:ascii="宋体" w:hAnsi="宋体" w:eastAsia="宋体" w:cs="宋体"/>
                      <w:bCs/>
                      <w:sz w:val="21"/>
                      <w:szCs w:val="21"/>
                      <w:lang w:val="en-US" w:eastAsia="zh-CN"/>
                    </w:rPr>
                    <w:t>火灾、触电等意外事故“0”</w:t>
                  </w:r>
                </w:p>
              </w:tc>
              <w:tc>
                <w:tcPr>
                  <w:tcW w:w="1387" w:type="dxa"/>
                </w:tcPr>
                <w:p>
                  <w:pPr>
                    <w:widowControl/>
                    <w:spacing w:before="40"/>
                    <w:jc w:val="left"/>
                    <w:rPr>
                      <w:color w:val="000000"/>
                      <w:szCs w:val="18"/>
                      <w:highlight w:val="cyan"/>
                    </w:rPr>
                  </w:pPr>
                  <w:r>
                    <w:rPr>
                      <w:rFonts w:hint="eastAsia" w:ascii="Times New Roman" w:hAnsi="Times New Roman" w:cs="Times New Roman"/>
                      <w:lang w:val="en-US" w:eastAsia="zh-CN"/>
                    </w:rPr>
                    <w:t>半年</w:t>
                  </w:r>
                </w:p>
              </w:tc>
              <w:tc>
                <w:tcPr>
                  <w:tcW w:w="3499" w:type="dxa"/>
                </w:tcPr>
                <w:p>
                  <w:pPr>
                    <w:widowControl/>
                    <w:spacing w:before="40"/>
                    <w:jc w:val="left"/>
                    <w:rPr>
                      <w:color w:val="000000"/>
                      <w:szCs w:val="18"/>
                      <w:highlight w:val="cyan"/>
                    </w:rPr>
                  </w:pPr>
                  <w:r>
                    <w:rPr>
                      <w:rFonts w:hint="eastAsia"/>
                      <w:color w:val="000000"/>
                      <w:szCs w:val="18"/>
                      <w:highlight w:val="cyan"/>
                      <w:lang w:val="en-US" w:eastAsia="zh-CN"/>
                    </w:rPr>
                    <w:t>按实际统计</w:t>
                  </w:r>
                </w:p>
              </w:tc>
              <w:tc>
                <w:tcPr>
                  <w:tcW w:w="2444" w:type="dxa"/>
                </w:tcPr>
                <w:p>
                  <w:pPr>
                    <w:widowControl/>
                    <w:spacing w:before="40"/>
                    <w:jc w:val="left"/>
                    <w:rPr>
                      <w:color w:val="000000"/>
                      <w:szCs w:val="18"/>
                      <w:highlight w:val="cyan"/>
                    </w:rPr>
                  </w:pPr>
                  <w:r>
                    <w:rPr>
                      <w:rFonts w:hint="eastAsia" w:ascii="宋体" w:hAnsi="宋体"/>
                      <w:color w:val="auto"/>
                      <w:kern w:val="0"/>
                      <w:sz w:val="21"/>
                      <w:szCs w:val="21"/>
                      <w:lang w:val="en-US" w:eastAsia="zh-CN"/>
                    </w:rPr>
                    <w:t>零事故</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28</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10</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12</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2</w:t>
            </w:r>
            <w:r>
              <w:rPr>
                <w:rFonts w:hint="eastAsia"/>
                <w:color w:val="000000"/>
                <w:szCs w:val="18"/>
              </w:rPr>
              <w:t>月</w:t>
            </w:r>
            <w:r>
              <w:rPr>
                <w:rFonts w:hint="eastAsia"/>
                <w:color w:val="000000"/>
                <w:szCs w:val="18"/>
                <w:lang w:val="en-US" w:eastAsia="zh-CN"/>
              </w:rPr>
              <w:t>25</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lang w:val="en-US" w:eastAsia="zh-CN"/>
              </w:rPr>
              <w:t>1</w:t>
            </w:r>
            <w:r>
              <w:rPr>
                <w:rFonts w:hint="eastAsia"/>
                <w:color w:val="000000"/>
                <w:szCs w:val="18"/>
              </w:rPr>
              <w:t>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3</w:t>
            </w:r>
            <w:r>
              <w:rPr>
                <w:rFonts w:hint="eastAsia"/>
                <w:color w:val="000000"/>
                <w:szCs w:val="18"/>
              </w:rPr>
              <w:t>月</w:t>
            </w:r>
            <w:r>
              <w:rPr>
                <w:rFonts w:hint="eastAsia"/>
                <w:color w:val="000000"/>
                <w:szCs w:val="18"/>
                <w:lang w:val="en-US" w:eastAsia="zh-CN"/>
              </w:rPr>
              <w:t>7</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p>
          <w:p>
            <w:pPr>
              <w:rPr>
                <w:color w:val="000000"/>
                <w:szCs w:val="18"/>
              </w:rPr>
            </w:pPr>
            <w:r>
              <w:rPr>
                <w:rFonts w:hint="eastAsia"/>
                <w:color w:val="000000"/>
                <w:szCs w:val="18"/>
              </w:rPr>
              <w:t>合理理由的详细说明：</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val="en-US" w:eastAsia="zh-CN"/>
              </w:rPr>
              <w:t>设计过程</w:t>
            </w:r>
            <w:r>
              <w:rPr>
                <w:rFonts w:hint="eastAsia"/>
                <w:color w:val="000000"/>
                <w:u w:val="single"/>
              </w:rPr>
              <w:t>；</w:t>
            </w:r>
            <w:r>
              <w:rPr>
                <w:rFonts w:hint="eastAsia"/>
                <w:color w:val="000000"/>
              </w:rPr>
              <w:t>相关控制参数名称：</w:t>
            </w:r>
            <w:r>
              <w:rPr>
                <w:rFonts w:hint="eastAsia"/>
                <w:color w:val="000000"/>
                <w:lang w:val="en-US" w:eastAsia="zh-CN"/>
              </w:rPr>
              <w:t>满足客户要求</w:t>
            </w:r>
            <w:r>
              <w:rPr>
                <w:rFonts w:hint="eastAsia"/>
                <w:color w:val="000000"/>
                <w:u w:val="single"/>
              </w:rPr>
              <w:t>；</w:t>
            </w:r>
          </w:p>
          <w:p>
            <w:pPr>
              <w:rPr>
                <w:color w:val="000000"/>
                <w:u w:val="single"/>
              </w:rPr>
            </w:pPr>
          </w:p>
          <w:p>
            <w:pPr>
              <w:rPr>
                <w:rFonts w:hint="eastAsia" w:eastAsia="宋体"/>
                <w:color w:val="000000"/>
                <w:u w:val="single"/>
                <w:lang w:val="en-US" w:eastAsia="zh-CN"/>
              </w:rPr>
            </w:pPr>
            <w:r>
              <w:rPr>
                <w:rFonts w:hint="eastAsia"/>
                <w:color w:val="000000"/>
              </w:rPr>
              <w:t>需要确认的过程（工序）：</w:t>
            </w:r>
            <w:r>
              <w:rPr>
                <w:rFonts w:hint="eastAsia"/>
                <w:color w:val="000000"/>
                <w:u w:val="single"/>
              </w:rPr>
              <w:t>；</w:t>
            </w:r>
            <w:r>
              <w:rPr>
                <w:rFonts w:hint="eastAsia"/>
                <w:color w:val="000000"/>
                <w:u w:val="single"/>
                <w:lang w:val="en-US" w:eastAsia="zh-CN"/>
              </w:rPr>
              <w:t>无</w:t>
            </w:r>
          </w:p>
          <w:p>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行业标准、□地方标准、□企业标准、</w:t>
            </w:r>
            <w:r>
              <w:rPr>
                <w:rFonts w:hint="eastAsia"/>
                <w:color w:val="000000"/>
                <w:szCs w:val="21"/>
              </w:rPr>
              <w:sym w:font="Wingdings 2" w:char="00A3"/>
            </w:r>
            <w:r>
              <w:rPr>
                <w:rFonts w:hint="eastAsia"/>
                <w:color w:val="000000"/>
                <w:szCs w:val="21"/>
              </w:rPr>
              <w:t xml:space="preserve">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96%</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t>□生产/加工</w:t>
            </w:r>
            <w:r>
              <w:rPr>
                <w:rFonts w:hint="eastAsia"/>
                <w:color w:val="000000"/>
              </w:rPr>
              <w:t>车间、</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eastAsia="宋体"/>
                <w:color w:val="000000"/>
                <w:lang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szCs w:val="21"/>
                <w:lang w:val="en-US" w:eastAsia="zh-CN"/>
              </w:rPr>
              <w:t>电脑、</w:t>
            </w:r>
            <w:r>
              <w:rPr>
                <w:rFonts w:hint="eastAsia"/>
                <w:szCs w:val="21"/>
              </w:rPr>
              <w:t>集尘缸</w:t>
            </w:r>
            <w:r>
              <w:rPr>
                <w:rFonts w:hint="eastAsia"/>
                <w:szCs w:val="21"/>
                <w:lang w:eastAsia="zh-CN"/>
              </w:rPr>
              <w:t>、无人机</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eastAsia" w:eastAsia="宋体"/>
                <w:color w:val="000000"/>
                <w:lang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；坡度测量仪</w:t>
            </w:r>
            <w:r>
              <w:rPr>
                <w:rFonts w:hint="eastAsia"/>
                <w:color w:val="000000"/>
                <w:u w:val="single"/>
                <w:lang w:eastAsia="zh-CN"/>
              </w:rPr>
              <w:t>、卷尺、天平、测距仪</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p>
            <w:pPr>
              <w:widowControl/>
              <w:spacing w:before="4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rPr>
              <w:t xml:space="preserve"> 环评的产能：</w:t>
            </w:r>
          </w:p>
          <w:p>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火灾</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t>¨</w:t>
            </w:r>
            <w:r>
              <w:rPr>
                <w:rFonts w:hint="eastAsia"/>
                <w:color w:val="000000"/>
                <w:szCs w:val="18"/>
              </w:rPr>
              <w:t xml:space="preserve">低压电工作业  </w:t>
            </w:r>
            <w:r>
              <w:rPr>
                <w:rFonts w:ascii="Wingdings" w:hAnsi="Wingdings"/>
                <w:color w:val="000000"/>
                <w:szCs w:val="18"/>
              </w:rPr>
              <w:t>¨</w:t>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A8"/>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sym w:font="Wingdings" w:char="00A8"/>
            </w:r>
            <w:r>
              <w:rPr>
                <w:rFonts w:hint="eastAsia"/>
                <w:color w:val="000000"/>
              </w:rPr>
              <w:t>发生过紧急事件，说明：</w:t>
            </w:r>
          </w:p>
          <w:p>
            <w:pPr>
              <w:ind w:firstLine="210" w:firstLineChars="100"/>
              <w:rPr>
                <w:rFonts w:hint="eastAsia"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触电</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sym w:font="Wingdings" w:char="00A8"/>
            </w:r>
            <w:r>
              <w:rPr>
                <w:rFonts w:hint="eastAsia"/>
                <w:color w:val="000000"/>
              </w:rPr>
              <w:t xml:space="preserve">高压电工作业   </w:t>
            </w:r>
            <w:r>
              <w:rPr>
                <w:rFonts w:ascii="Wingdings" w:hAnsi="Wingdings"/>
                <w:color w:val="000000"/>
              </w:rPr>
              <w:t>¨</w:t>
            </w:r>
            <w:r>
              <w:rPr>
                <w:rFonts w:hint="eastAsia"/>
                <w:color w:val="000000"/>
              </w:rPr>
              <w:t xml:space="preserve">低压电工作业  </w:t>
            </w:r>
            <w:r>
              <w:rPr>
                <w:rFonts w:ascii="Wingdings" w:hAnsi="Wingdings"/>
                <w:color w:val="000000"/>
              </w:rPr>
              <w:t>¨</w:t>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ascii="PMingLiU" w:hAnsi="PMingLiU" w:eastAsia="PMingLiU" w:cs="PMingLiU"/>
                <w:color w:val="000000"/>
                <w:kern w:val="0"/>
                <w:sz w:val="24"/>
              </w:rPr>
              <w:t>客运索道</w:t>
            </w:r>
            <w:r>
              <w:rPr>
                <w:rFonts w:ascii="Wingdings" w:hAnsi="Wingdings"/>
                <w:color w:val="000000"/>
              </w:rPr>
              <w:t>¨</w:t>
            </w:r>
            <w:r>
              <w:rPr>
                <w:rFonts w:hint="eastAsia" w:ascii="PMingLiU" w:hAnsi="PMingLiU" w:eastAsia="PMingLiU" w:cs="PMingLiU"/>
                <w:color w:val="000000"/>
                <w:kern w:val="0"/>
                <w:sz w:val="24"/>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A8"/>
            </w:r>
            <w:r>
              <w:rPr>
                <w:rFonts w:hint="eastAsia"/>
                <w:color w:val="000000"/>
              </w:rPr>
              <w:t xml:space="preserve">工业区   </w:t>
            </w:r>
            <w:r>
              <w:rPr>
                <w:rFonts w:ascii="Wingdings" w:hAnsi="Wingdings"/>
                <w:color w:val="000000"/>
              </w:rPr>
              <w:sym w:font="Wingdings" w:char="00FE"/>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t xml:space="preserve">□机械伤害  </w:t>
            </w:r>
            <w:r>
              <w:rPr>
                <w:rFonts w:hint="eastAsia"/>
              </w:rPr>
              <w:sym w:font="Wingdings 2" w:char="0052"/>
            </w:r>
            <w:r>
              <w:rPr>
                <w:rFonts w:hint="eastAsia"/>
              </w:rPr>
              <w:t xml:space="preserve">触电  □化学伤害  □噪声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t>¨</w:t>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sym w:font="Wingdings" w:char="00A8"/>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t>¨</w:t>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t>¨</w:t>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□交通食宿  □劳保用品  </w:t>
            </w:r>
          </w:p>
          <w:p>
            <w:pPr>
              <w:pStyle w:val="15"/>
              <w:ind w:firstLine="0" w:firstLineChars="0"/>
              <w:jc w:val="left"/>
              <w:rPr>
                <w:color w:val="000000"/>
                <w:sz w:val="21"/>
                <w:szCs w:val="21"/>
              </w:rPr>
            </w:pPr>
            <w:r>
              <w:rPr>
                <w:rFonts w:hint="eastAsia"/>
                <w:color w:val="000000"/>
                <w:sz w:val="21"/>
                <w:szCs w:val="21"/>
              </w:rPr>
              <w:t>□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A3"/>
            </w:r>
            <w:r>
              <w:rPr>
                <w:rFonts w:hint="eastAsia"/>
                <w:color w:val="000000"/>
                <w:sz w:val="21"/>
                <w:szCs w:val="21"/>
              </w:rPr>
              <w:t>一阶段的问题已整改</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B3C04"/>
    <w:multiLevelType w:val="singleLevel"/>
    <w:tmpl w:val="DEAB3C04"/>
    <w:lvl w:ilvl="0" w:tentative="0">
      <w:start w:val="2"/>
      <w:numFmt w:val="decimal"/>
      <w:suff w:val="space"/>
      <w:lvlText w:val="%1."/>
      <w:lvlJc w:val="left"/>
    </w:lvl>
  </w:abstractNum>
  <w:abstractNum w:abstractNumId="1">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000000"/>
    <w:rsid w:val="098461D6"/>
    <w:rsid w:val="166072BB"/>
    <w:rsid w:val="32784243"/>
    <w:rsid w:val="43087DBE"/>
    <w:rsid w:val="6EB33696"/>
    <w:rsid w:val="742B7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7286</Words>
  <Characters>7538</Characters>
  <Lines>92</Lines>
  <Paragraphs>26</Paragraphs>
  <TotalTime>0</TotalTime>
  <ScaleCrop>false</ScaleCrop>
  <LinksUpToDate>false</LinksUpToDate>
  <CharactersWithSpaces>8817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2022-06-18T12:50:05Z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2052-11.1.0.11744</vt:lpwstr>
  </property>
</Properties>
</file>