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9885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675"/>
        <w:gridCol w:w="1170"/>
        <w:gridCol w:w="166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组织名称：四川杰安达建筑工程有限公司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865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4020" w:type="dxa"/>
            <w:gridSpan w:val="2"/>
            <w:vAlign w:val="center"/>
          </w:tcPr>
          <w:p>
            <w:r>
              <w:rPr>
                <w:rFonts w:hint="eastAsia"/>
              </w:rPr>
              <w:t xml:space="preserve">项目编号：0782-2022-SA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675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48260</wp:posOffset>
                  </wp:positionV>
                  <wp:extent cx="681990" cy="346710"/>
                  <wp:effectExtent l="0" t="0" r="0" b="15240"/>
                  <wp:wrapTight wrapText="bothSides">
                    <wp:wrapPolygon>
                      <wp:start x="13274" y="1187"/>
                      <wp:lineTo x="6637" y="1187"/>
                      <wp:lineTo x="1810" y="8308"/>
                      <wp:lineTo x="1810" y="20176"/>
                      <wp:lineTo x="5430" y="20176"/>
                      <wp:lineTo x="18704" y="15429"/>
                      <wp:lineTo x="20514" y="4747"/>
                      <wp:lineTo x="16291" y="1187"/>
                      <wp:lineTo x="13274" y="1187"/>
                    </wp:wrapPolygon>
                  </wp:wrapTight>
                  <wp:docPr id="1" name="图片 2" descr="18cabdf9be3fbe921b18eb4e0528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8cabdf9be3fbe921b18eb4e0528c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审查组长：</w:t>
            </w:r>
          </w:p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2022年6月15日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75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</w:tcPr>
          <w:p>
            <w:pPr>
              <w:jc w:val="center"/>
            </w:pPr>
          </w:p>
        </w:tc>
        <w:tc>
          <w:tcPr>
            <w:tcW w:w="235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11D6196A"/>
    <w:rsid w:val="262437F5"/>
    <w:rsid w:val="61765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left"/>
      <w:outlineLvl w:val="0"/>
    </w:pPr>
    <w:rPr>
      <w:rFonts w:ascii="Arial" w:hAnsi="Arial"/>
      <w:b/>
      <w:bCs/>
      <w:sz w:val="24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6</TotalTime>
  <ScaleCrop>false</ScaleCrop>
  <LinksUpToDate>false</LinksUpToDate>
  <CharactersWithSpaces>610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سليمة赛丽麦吞سليمة</cp:lastModifiedBy>
  <dcterms:modified xsi:type="dcterms:W3CDTF">2022-06-16T02:57:54Z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75B355EF67504EE39C1607B5D75164FB</vt:lpwstr>
  </property>
</Properties>
</file>