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9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3"/>
        <w:gridCol w:w="1185"/>
        <w:gridCol w:w="645"/>
        <w:gridCol w:w="10245"/>
        <w:gridCol w:w="1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659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100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987" w:type="dxa"/>
            <w:gridSpan w:val="2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品控部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主管领导：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熊雪梅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陪同人员：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周晓峰</w:t>
            </w:r>
          </w:p>
        </w:tc>
        <w:tc>
          <w:tcPr>
            <w:tcW w:w="1063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659" w:type="dxa"/>
            <w:vMerge w:val="continue"/>
            <w:vAlign w:val="center"/>
          </w:tcPr>
          <w:p/>
        </w:tc>
        <w:tc>
          <w:tcPr>
            <w:tcW w:w="1000" w:type="dxa"/>
            <w:vMerge w:val="continue"/>
            <w:vAlign w:val="center"/>
          </w:tcPr>
          <w:p/>
        </w:tc>
        <w:tc>
          <w:tcPr>
            <w:tcW w:w="10987" w:type="dxa"/>
            <w:gridSpan w:val="2"/>
            <w:vAlign w:val="center"/>
          </w:tcPr>
          <w:p>
            <w:pPr>
              <w:spacing w:before="12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 xml:space="preserve">审核员： </w:t>
            </w:r>
            <w:r>
              <w:rPr>
                <w:rFonts w:hint="eastAsia"/>
                <w:color w:val="0000FF"/>
                <w:sz w:val="24"/>
                <w:szCs w:val="24"/>
                <w:lang w:val="en-US" w:eastAsia="zh-CN"/>
              </w:rPr>
              <w:t xml:space="preserve">肖新龙 </w:t>
            </w:r>
            <w:r>
              <w:rPr>
                <w:color w:val="0000FF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        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2022-07-06日下午</w:t>
            </w:r>
          </w:p>
        </w:tc>
        <w:tc>
          <w:tcPr>
            <w:tcW w:w="1063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659" w:type="dxa"/>
            <w:vMerge w:val="continue"/>
            <w:vAlign w:val="center"/>
          </w:tcPr>
          <w:p/>
        </w:tc>
        <w:tc>
          <w:tcPr>
            <w:tcW w:w="1000" w:type="dxa"/>
            <w:vMerge w:val="continue"/>
            <w:vAlign w:val="center"/>
          </w:tcPr>
          <w:p/>
        </w:tc>
        <w:tc>
          <w:tcPr>
            <w:tcW w:w="10987" w:type="dxa"/>
            <w:gridSpan w:val="2"/>
            <w:vAlign w:val="center"/>
          </w:tcPr>
          <w:p>
            <w:pPr>
              <w:spacing w:line="300" w:lineRule="exact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  <w:r>
              <w:rPr>
                <w:rFonts w:hint="eastAsia"/>
                <w:color w:val="0000FF"/>
                <w:sz w:val="24"/>
                <w:szCs w:val="24"/>
              </w:rPr>
              <w:t>H:2.4.2/2.5.1/3.6/3.8/</w:t>
            </w:r>
            <w:r>
              <w:rPr>
                <w:rFonts w:hint="eastAsia"/>
                <w:color w:val="0000FF"/>
                <w:sz w:val="24"/>
                <w:szCs w:val="24"/>
                <w:lang w:val="en-US" w:eastAsia="zh-CN"/>
              </w:rPr>
              <w:t>4.3.4.3/</w:t>
            </w:r>
            <w:r>
              <w:rPr>
                <w:rFonts w:hint="eastAsia"/>
                <w:color w:val="0000FF"/>
                <w:sz w:val="24"/>
                <w:szCs w:val="24"/>
              </w:rPr>
              <w:t>4.5</w:t>
            </w:r>
            <w:r>
              <w:rPr>
                <w:rFonts w:hint="eastAsia"/>
                <w:color w:val="0000FF"/>
                <w:sz w:val="24"/>
                <w:szCs w:val="24"/>
                <w:lang w:val="en-US" w:eastAsia="zh-CN"/>
              </w:rPr>
              <w:t>/5.1.1-5.1.3</w:t>
            </w:r>
          </w:p>
        </w:tc>
        <w:tc>
          <w:tcPr>
            <w:tcW w:w="1063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659" w:type="dxa"/>
            <w:vMerge w:val="restart"/>
            <w:vAlign w:val="top"/>
          </w:tcPr>
          <w:p>
            <w:r>
              <w:rPr>
                <w:rFonts w:hint="eastAsia"/>
                <w:color w:val="000000"/>
                <w:szCs w:val="21"/>
              </w:rPr>
              <w:t>部门职责</w:t>
            </w:r>
          </w:p>
        </w:tc>
        <w:tc>
          <w:tcPr>
            <w:tcW w:w="1000" w:type="dxa"/>
            <w:vMerge w:val="restart"/>
            <w:vAlign w:val="top"/>
          </w:tcPr>
          <w:p>
            <w:pPr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H (V1.0)</w:t>
            </w:r>
          </w:p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2.5.1</w:t>
            </w:r>
          </w:p>
        </w:tc>
        <w:tc>
          <w:tcPr>
            <w:tcW w:w="663" w:type="dxa"/>
            <w:vAlign w:val="top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10324" w:type="dxa"/>
            <w:vAlign w:val="top"/>
          </w:tcPr>
          <w:p>
            <w:r>
              <w:rPr>
                <w:rFonts w:hint="eastAsia"/>
              </w:rPr>
              <w:t>如</w:t>
            </w:r>
            <w:r>
              <w:rPr>
                <w:rFonts w:hint="eastAsia"/>
                <w:lang w:eastAsia="zh-CN"/>
              </w:rPr>
              <w:t>：</w:t>
            </w:r>
            <w:r>
              <w:rPr/>
              <w:sym w:font="Wingdings" w:char="00FE"/>
            </w:r>
            <w:r>
              <w:rPr>
                <w:rFonts w:hint="eastAsia"/>
              </w:rPr>
              <w:t>《管理手册》第</w:t>
            </w:r>
            <w:r>
              <w:rPr>
                <w:rFonts w:hint="eastAsia"/>
                <w:lang w:val="en-US" w:eastAsia="zh-CN"/>
              </w:rPr>
              <w:t>0.4.1</w:t>
            </w:r>
            <w:r>
              <w:rPr>
                <w:rFonts w:hint="eastAsia"/>
              </w:rPr>
              <w:t>条款</w:t>
            </w:r>
          </w:p>
        </w:tc>
        <w:tc>
          <w:tcPr>
            <w:tcW w:w="1063" w:type="dxa"/>
            <w:vMerge w:val="restart"/>
            <w:vAlign w:val="top"/>
          </w:tcPr>
          <w:p>
            <w:r>
              <w:rPr/>
              <w:sym w:font="Wingdings" w:char="00FE"/>
            </w:r>
            <w:r>
              <w:rPr>
                <w:rFonts w:hint="eastAsia"/>
              </w:rPr>
              <w:t>符合</w:t>
            </w:r>
          </w:p>
          <w:p>
            <w:r>
              <w:rPr/>
              <w:sym w:font="Wingdings" w:char="00A8"/>
            </w:r>
            <w:r>
              <w:rPr>
                <w:rFonts w:hint="eastAsia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659" w:type="dxa"/>
            <w:vMerge w:val="continue"/>
            <w:vAlign w:val="top"/>
          </w:tcPr>
          <w:p>
            <w:pPr>
              <w:rPr>
                <w:highlight w:val="none"/>
              </w:rPr>
            </w:pPr>
          </w:p>
        </w:tc>
        <w:tc>
          <w:tcPr>
            <w:tcW w:w="1000" w:type="dxa"/>
            <w:vMerge w:val="continue"/>
            <w:vAlign w:val="top"/>
          </w:tcPr>
          <w:p>
            <w:pPr>
              <w:rPr>
                <w:highlight w:val="none"/>
              </w:rPr>
            </w:pPr>
          </w:p>
        </w:tc>
        <w:tc>
          <w:tcPr>
            <w:tcW w:w="663" w:type="dxa"/>
            <w:vAlign w:val="top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运行证据</w:t>
            </w:r>
          </w:p>
        </w:tc>
        <w:tc>
          <w:tcPr>
            <w:tcW w:w="10324" w:type="dxa"/>
            <w:vAlign w:val="top"/>
          </w:tcPr>
          <w:p>
            <w:pPr>
              <w:spacing w:line="440" w:lineRule="exact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主要负责本部门体系文件的管理，负责原料验收/成品出厂检验，负责参与食品安全小组活动、包括确认验证等；负责不安全产品的处理、参与应急、撤回/召回演练等。</w:t>
            </w:r>
          </w:p>
          <w:p>
            <w:pPr>
              <w:pStyle w:val="12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Cs w:val="21"/>
                <w:highlight w:val="none"/>
                <w:u w:val="single"/>
                <w:lang w:val="en-US" w:eastAsia="zh-CN"/>
              </w:rPr>
              <w:t>询问审核周期内本部门工作职责未发生变化。</w:t>
            </w:r>
          </w:p>
        </w:tc>
        <w:tc>
          <w:tcPr>
            <w:tcW w:w="1063" w:type="dxa"/>
            <w:vMerge w:val="continue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659" w:type="dxa"/>
            <w:vMerge w:val="restart"/>
          </w:tcPr>
          <w:p>
            <w:pPr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目标</w:t>
            </w:r>
          </w:p>
        </w:tc>
        <w:tc>
          <w:tcPr>
            <w:tcW w:w="1000" w:type="dxa"/>
            <w:vMerge w:val="restart"/>
          </w:tcPr>
          <w:p>
            <w:pPr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H(V1.0)</w:t>
            </w:r>
          </w:p>
          <w:p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2.4.2  </w:t>
            </w:r>
          </w:p>
          <w:p>
            <w:pPr>
              <w:pStyle w:val="12"/>
              <w:rPr>
                <w:highlight w:val="none"/>
              </w:rPr>
            </w:pPr>
          </w:p>
          <w:p>
            <w:pPr>
              <w:rPr>
                <w:highlight w:val="none"/>
              </w:rPr>
            </w:pPr>
          </w:p>
        </w:tc>
        <w:tc>
          <w:tcPr>
            <w:tcW w:w="663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文件名称</w:t>
            </w:r>
          </w:p>
        </w:tc>
        <w:tc>
          <w:tcPr>
            <w:tcW w:w="10324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sym w:font="Wingdings" w:char="00FE"/>
            </w:r>
            <w:r>
              <w:rPr>
                <w:rFonts w:hint="eastAsia"/>
                <w:highlight w:val="none"/>
                <w:lang w:eastAsia="zh-CN"/>
              </w:rPr>
              <w:t>《</w:t>
            </w:r>
            <w:r>
              <w:rPr>
                <w:rFonts w:hint="eastAsia"/>
                <w:highlight w:val="none"/>
              </w:rPr>
              <w:t>HACCP</w:t>
            </w:r>
            <w:r>
              <w:rPr>
                <w:rFonts w:hint="eastAsia"/>
                <w:highlight w:val="none"/>
                <w:lang w:val="en-US" w:eastAsia="zh-CN"/>
              </w:rPr>
              <w:t>管理</w:t>
            </w:r>
            <w:r>
              <w:rPr>
                <w:rFonts w:hint="eastAsia"/>
                <w:highlight w:val="none"/>
              </w:rPr>
              <w:t>手册</w:t>
            </w:r>
            <w:r>
              <w:rPr>
                <w:rFonts w:hint="eastAsia"/>
                <w:highlight w:val="none"/>
                <w:lang w:eastAsia="zh-CN"/>
              </w:rPr>
              <w:t>》</w:t>
            </w:r>
          </w:p>
        </w:tc>
        <w:tc>
          <w:tcPr>
            <w:tcW w:w="1063" w:type="dxa"/>
            <w:vMerge w:val="restart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>符合</w:t>
            </w:r>
          </w:p>
          <w:p>
            <w:pPr>
              <w:rPr>
                <w:highlight w:val="yellow"/>
              </w:rPr>
            </w:pPr>
            <w:r>
              <w:rPr>
                <w:rFonts w:hint="eastAsia"/>
                <w:highlight w:val="none"/>
              </w:rPr>
              <w:sym w:font="Wingdings" w:char="00A8"/>
            </w:r>
            <w:r>
              <w:rPr>
                <w:rFonts w:hint="eastAsia"/>
                <w:highlight w:val="none"/>
                <w:lang w:val="en-US" w:eastAsia="zh-CN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659" w:type="dxa"/>
            <w:vMerge w:val="continue"/>
          </w:tcPr>
          <w:p>
            <w:pPr>
              <w:rPr>
                <w:highlight w:val="none"/>
              </w:rPr>
            </w:pPr>
          </w:p>
        </w:tc>
        <w:tc>
          <w:tcPr>
            <w:tcW w:w="1000" w:type="dxa"/>
            <w:vMerge w:val="continue"/>
          </w:tcPr>
          <w:p>
            <w:pPr>
              <w:rPr>
                <w:highlight w:val="none"/>
              </w:rPr>
            </w:pPr>
          </w:p>
        </w:tc>
        <w:tc>
          <w:tcPr>
            <w:tcW w:w="663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运行证据</w:t>
            </w:r>
          </w:p>
        </w:tc>
        <w:tc>
          <w:tcPr>
            <w:tcW w:w="10324" w:type="dxa"/>
          </w:tcPr>
          <w:p>
            <w:pPr>
              <w:spacing w:line="360" w:lineRule="auto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组织建立了与食品安全方针一致、与合规义务相适宜的文件化的食品安全目标。为实现总食品安全目标而建立的各层级食品安全目标具体、有针对性、可测量并且可实现。</w:t>
            </w:r>
          </w:p>
          <w:p>
            <w:pPr>
              <w:spacing w:line="360" w:lineRule="auto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本部门分解</w:t>
            </w:r>
            <w:r>
              <w:rPr>
                <w:rFonts w:hint="eastAsia"/>
                <w:highlight w:val="none"/>
              </w:rPr>
              <w:t>的食品安全目标实现情况的评价，及其测量方法是：</w:t>
            </w:r>
          </w:p>
          <w:tbl>
            <w:tblPr>
              <w:tblStyle w:val="9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07"/>
              <w:gridCol w:w="2900"/>
              <w:gridCol w:w="2008"/>
              <w:gridCol w:w="241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07" w:type="dxa"/>
                  <w:shd w:val="clear" w:color="auto" w:fill="auto"/>
                </w:tcPr>
                <w:p>
                  <w:pPr>
                    <w:spacing w:line="440" w:lineRule="exact"/>
                    <w:jc w:val="left"/>
                    <w:rPr>
                      <w:rFonts w:hint="eastAsia" w:ascii="宋体" w:hAnsi="宋体" w:eastAsia="宋体" w:cs="宋体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  <w:highlight w:val="none"/>
                      <w:lang w:val="en-US" w:eastAsia="zh-CN"/>
                    </w:rPr>
                    <w:t>食品安全目标</w:t>
                  </w:r>
                </w:p>
              </w:tc>
              <w:tc>
                <w:tcPr>
                  <w:tcW w:w="2900" w:type="dxa"/>
                  <w:shd w:val="clear" w:color="auto" w:fill="auto"/>
                </w:tcPr>
                <w:p>
                  <w:pPr>
                    <w:spacing w:line="440" w:lineRule="exact"/>
                    <w:jc w:val="left"/>
                    <w:rPr>
                      <w:rFonts w:hint="eastAsia" w:ascii="宋体" w:hAnsi="宋体" w:eastAsia="宋体" w:cs="宋体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  <w:highlight w:val="none"/>
                      <w:lang w:val="en-US" w:eastAsia="zh-CN"/>
                    </w:rPr>
                    <w:t>计算方法</w:t>
                  </w:r>
                </w:p>
              </w:tc>
              <w:tc>
                <w:tcPr>
                  <w:tcW w:w="2008" w:type="dxa"/>
                  <w:shd w:val="clear" w:color="auto" w:fill="auto"/>
                </w:tcPr>
                <w:p>
                  <w:pPr>
                    <w:spacing w:line="440" w:lineRule="exact"/>
                    <w:jc w:val="left"/>
                    <w:rPr>
                      <w:rFonts w:hint="eastAsia" w:ascii="宋体" w:hAnsi="宋体" w:eastAsia="宋体" w:cs="宋体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  <w:highlight w:val="none"/>
                      <w:lang w:val="en-US" w:eastAsia="zh-CN"/>
                    </w:rPr>
                    <w:t>责任部门</w:t>
                  </w:r>
                </w:p>
              </w:tc>
              <w:tc>
                <w:tcPr>
                  <w:tcW w:w="2411" w:type="dxa"/>
                  <w:shd w:val="clear" w:color="auto" w:fill="auto"/>
                </w:tcPr>
                <w:p>
                  <w:pPr>
                    <w:spacing w:line="440" w:lineRule="exact"/>
                    <w:jc w:val="left"/>
                    <w:rPr>
                      <w:rFonts w:hint="eastAsia" w:ascii="宋体" w:hAnsi="宋体" w:eastAsia="宋体" w:cs="宋体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  <w:highlight w:val="none"/>
                      <w:lang w:val="en-US" w:eastAsia="zh-CN"/>
                    </w:rPr>
                    <w:t>目标实际完成</w:t>
                  </w:r>
                </w:p>
                <w:p>
                  <w:pPr>
                    <w:spacing w:line="440" w:lineRule="exact"/>
                    <w:jc w:val="left"/>
                    <w:rPr>
                      <w:rFonts w:hint="eastAsia" w:ascii="宋体" w:hAnsi="宋体" w:eastAsia="宋体" w:cs="宋体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  <w:highlight w:val="none"/>
                      <w:lang w:val="en-US" w:eastAsia="zh-CN"/>
                    </w:rPr>
                    <w:t>（2021.06-</w:t>
                  </w:r>
                  <w:r>
                    <w:rPr>
                      <w:rFonts w:hint="eastAsia" w:ascii="宋体" w:hAnsi="宋体" w:cs="宋体"/>
                      <w:szCs w:val="21"/>
                      <w:highlight w:val="none"/>
                      <w:lang w:val="en-US" w:eastAsia="zh-CN"/>
                    </w:rPr>
                    <w:t>2022.05月</w:t>
                  </w:r>
                  <w:r>
                    <w:rPr>
                      <w:rFonts w:hint="eastAsia" w:ascii="宋体" w:hAnsi="宋体" w:eastAsia="宋体" w:cs="宋体"/>
                      <w:szCs w:val="21"/>
                      <w:highlight w:val="none"/>
                      <w:lang w:val="en-US" w:eastAsia="zh-CN"/>
                    </w:rPr>
                    <w:t>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07" w:type="dxa"/>
                  <w:shd w:val="clear" w:color="auto" w:fill="auto"/>
                  <w:vAlign w:val="center"/>
                </w:tcPr>
                <w:p>
                  <w:pPr>
                    <w:spacing w:line="360" w:lineRule="auto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</w:rPr>
                    <w:t>出厂产品检验合格率100%</w:t>
                  </w:r>
                </w:p>
              </w:tc>
              <w:tc>
                <w:tcPr>
                  <w:tcW w:w="290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出厂产品合格数量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/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所有出厂的产品数×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100% </w:t>
                  </w:r>
                </w:p>
              </w:tc>
              <w:tc>
                <w:tcPr>
                  <w:tcW w:w="2008" w:type="dxa"/>
                  <w:shd w:val="clear" w:color="auto" w:fill="auto"/>
                  <w:vAlign w:val="center"/>
                </w:tcPr>
                <w:p>
                  <w:pPr>
                    <w:spacing w:line="360" w:lineRule="auto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</w:rPr>
                    <w:t>品控部</w:t>
                  </w:r>
                </w:p>
              </w:tc>
              <w:tc>
                <w:tcPr>
                  <w:tcW w:w="2411" w:type="dxa"/>
                  <w:shd w:val="clear" w:color="auto" w:fill="auto"/>
                  <w:vAlign w:val="center"/>
                </w:tcPr>
                <w:p>
                  <w:pPr>
                    <w:spacing w:line="360" w:lineRule="auto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</w:rPr>
                    <w:t>100%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07" w:type="dxa"/>
                  <w:shd w:val="clear" w:color="auto" w:fill="auto"/>
                  <w:vAlign w:val="center"/>
                </w:tcPr>
                <w:p>
                  <w:pPr>
                    <w:spacing w:line="360" w:lineRule="auto"/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不发生重大质量安全事故</w:t>
                  </w:r>
                </w:p>
              </w:tc>
              <w:tc>
                <w:tcPr>
                  <w:tcW w:w="290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重大质量安全事故发生 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0 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次 </w:t>
                  </w:r>
                </w:p>
              </w:tc>
              <w:tc>
                <w:tcPr>
                  <w:tcW w:w="2008" w:type="dxa"/>
                  <w:shd w:val="clear" w:color="auto" w:fill="auto"/>
                  <w:vAlign w:val="center"/>
                </w:tcPr>
                <w:p>
                  <w:pPr>
                    <w:spacing w:line="360" w:lineRule="auto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</w:rPr>
                    <w:t>品控部</w:t>
                  </w:r>
                </w:p>
              </w:tc>
              <w:tc>
                <w:tcPr>
                  <w:tcW w:w="2411" w:type="dxa"/>
                  <w:shd w:val="clear" w:color="auto" w:fill="auto"/>
                  <w:vAlign w:val="top"/>
                </w:tcPr>
                <w:p>
                  <w:pPr>
                    <w:spacing w:line="360" w:lineRule="auto"/>
                    <w:rPr>
                      <w:rFonts w:hint="eastAsia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07" w:type="dxa"/>
                  <w:shd w:val="clear" w:color="auto" w:fill="auto"/>
                  <w:vAlign w:val="center"/>
                </w:tcPr>
                <w:p>
                  <w:pPr>
                    <w:spacing w:line="360" w:lineRule="auto"/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进货检验合格率≥98%</w:t>
                  </w:r>
                </w:p>
              </w:tc>
              <w:tc>
                <w:tcPr>
                  <w:tcW w:w="290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当月进料验合格批数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/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当月进料总批数×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100%</w:t>
                  </w:r>
                </w:p>
              </w:tc>
              <w:tc>
                <w:tcPr>
                  <w:tcW w:w="2008" w:type="dxa"/>
                  <w:shd w:val="clear" w:color="auto" w:fill="auto"/>
                  <w:vAlign w:val="center"/>
                </w:tcPr>
                <w:p>
                  <w:pPr>
                    <w:spacing w:line="360" w:lineRule="auto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</w:rPr>
                    <w:t>品控部</w:t>
                  </w:r>
                </w:p>
              </w:tc>
              <w:tc>
                <w:tcPr>
                  <w:tcW w:w="2411" w:type="dxa"/>
                  <w:shd w:val="clear" w:color="auto" w:fill="auto"/>
                  <w:vAlign w:val="top"/>
                </w:tcPr>
                <w:p>
                  <w:pPr>
                    <w:spacing w:line="360" w:lineRule="auto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</w:rPr>
                    <w:t>100%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07" w:type="dxa"/>
                  <w:shd w:val="clear" w:color="auto" w:fill="auto"/>
                  <w:vAlign w:val="center"/>
                </w:tcPr>
                <w:p>
                  <w:pPr>
                    <w:spacing w:line="360" w:lineRule="auto"/>
                    <w:rPr>
                      <w:rFonts w:hint="eastAsia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2900" w:type="dxa"/>
                  <w:shd w:val="clear" w:color="auto" w:fill="auto"/>
                  <w:vAlign w:val="center"/>
                </w:tcPr>
                <w:p>
                  <w:pPr>
                    <w:spacing w:line="360" w:lineRule="auto"/>
                    <w:rPr>
                      <w:rFonts w:hint="eastAsia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2008" w:type="dxa"/>
                  <w:shd w:val="clear" w:color="auto" w:fill="auto"/>
                  <w:vAlign w:val="center"/>
                </w:tcPr>
                <w:p>
                  <w:pPr>
                    <w:spacing w:line="360" w:lineRule="auto"/>
                    <w:rPr>
                      <w:rFonts w:hint="eastAsia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2411" w:type="dxa"/>
                  <w:shd w:val="clear" w:color="auto" w:fill="auto"/>
                  <w:vAlign w:val="top"/>
                </w:tcPr>
                <w:p>
                  <w:pPr>
                    <w:spacing w:line="360" w:lineRule="auto"/>
                    <w:rPr>
                      <w:rFonts w:hint="eastAsia"/>
                      <w:highlight w:val="none"/>
                      <w:lang w:val="en-US" w:eastAsia="zh-CN"/>
                    </w:rPr>
                  </w:pPr>
                </w:p>
              </w:tc>
            </w:tr>
          </w:tbl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sym w:font="Wingdings" w:char="00FE"/>
            </w:r>
            <w:r>
              <w:rPr>
                <w:rFonts w:hint="eastAsia"/>
                <w:highlight w:val="none"/>
              </w:rPr>
              <w:t>目标已实现</w:t>
            </w:r>
          </w:p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sym w:font="Wingdings" w:char="00A8"/>
            </w:r>
            <w:r>
              <w:rPr>
                <w:rFonts w:hint="eastAsia"/>
                <w:highlight w:val="none"/>
              </w:rPr>
              <w:t>目标没有实现的，组织在内部及时进行原因分析并采取了改进措施。</w:t>
            </w:r>
          </w:p>
        </w:tc>
        <w:tc>
          <w:tcPr>
            <w:tcW w:w="1063" w:type="dxa"/>
            <w:vMerge w:val="continue"/>
          </w:tcPr>
          <w:p>
            <w:pPr>
              <w:rPr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659" w:type="dxa"/>
            <w:vMerge w:val="restart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监视和测量</w:t>
            </w:r>
          </w:p>
        </w:tc>
        <w:tc>
          <w:tcPr>
            <w:tcW w:w="1000" w:type="dxa"/>
            <w:vMerge w:val="restart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H(V1.0）</w:t>
            </w:r>
            <w:r>
              <w:rPr>
                <w:rFonts w:hint="eastAsia"/>
                <w:highlight w:val="none"/>
              </w:rPr>
              <w:t xml:space="preserve">3.6 </w:t>
            </w:r>
          </w:p>
        </w:tc>
        <w:tc>
          <w:tcPr>
            <w:tcW w:w="663" w:type="dxa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10324" w:type="dxa"/>
          </w:tcPr>
          <w:p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《监视和测量控制程序》、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手册第3.6条款</w:t>
            </w:r>
          </w:p>
        </w:tc>
        <w:tc>
          <w:tcPr>
            <w:tcW w:w="1063" w:type="dxa"/>
            <w:vMerge w:val="restart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>符合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不符合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</w:p>
          <w:p>
            <w:pPr>
              <w:pStyle w:val="12"/>
              <w:rPr>
                <w:rFonts w:hint="eastAsia"/>
                <w:lang w:val="en-US" w:eastAsia="zh-CN"/>
              </w:rPr>
            </w:pPr>
          </w:p>
          <w:p>
            <w:pPr>
              <w:pStyle w:val="12"/>
              <w:rPr>
                <w:rFonts w:hint="eastAsia"/>
                <w:lang w:val="en-US" w:eastAsia="zh-CN"/>
              </w:rPr>
            </w:pPr>
          </w:p>
          <w:p>
            <w:pPr>
              <w:pStyle w:val="12"/>
              <w:rPr>
                <w:rFonts w:hint="eastAsia"/>
                <w:lang w:val="en-US" w:eastAsia="zh-CN"/>
              </w:rPr>
            </w:pPr>
          </w:p>
          <w:p>
            <w:pPr>
              <w:pStyle w:val="12"/>
              <w:rPr>
                <w:rFonts w:hint="eastAsia"/>
                <w:lang w:val="en-US" w:eastAsia="zh-CN"/>
              </w:rPr>
            </w:pPr>
          </w:p>
          <w:p>
            <w:pPr>
              <w:pStyle w:val="12"/>
              <w:rPr>
                <w:rFonts w:hint="eastAsia"/>
                <w:lang w:val="en-US" w:eastAsia="zh-CN"/>
              </w:rPr>
            </w:pPr>
          </w:p>
          <w:p>
            <w:pPr>
              <w:pStyle w:val="12"/>
              <w:rPr>
                <w:rFonts w:hint="eastAsia"/>
                <w:lang w:val="en-US" w:eastAsia="zh-CN"/>
              </w:rPr>
            </w:pPr>
          </w:p>
          <w:p>
            <w:pPr>
              <w:pStyle w:val="12"/>
              <w:rPr>
                <w:rFonts w:hint="eastAsia"/>
                <w:lang w:val="en-US" w:eastAsia="zh-CN"/>
              </w:rPr>
            </w:pPr>
          </w:p>
          <w:p>
            <w:pPr>
              <w:pStyle w:val="12"/>
              <w:rPr>
                <w:rFonts w:hint="eastAsia"/>
                <w:lang w:val="en-US" w:eastAsia="zh-CN"/>
              </w:rPr>
            </w:pPr>
          </w:p>
          <w:p>
            <w:pPr>
              <w:pStyle w:val="12"/>
              <w:rPr>
                <w:rFonts w:hint="eastAsia"/>
                <w:lang w:val="en-US" w:eastAsia="zh-CN"/>
              </w:rPr>
            </w:pPr>
          </w:p>
          <w:p>
            <w:pPr>
              <w:pStyle w:val="12"/>
              <w:rPr>
                <w:rFonts w:hint="eastAsia"/>
                <w:lang w:val="en-US" w:eastAsia="zh-CN"/>
              </w:rPr>
            </w:pPr>
          </w:p>
          <w:p>
            <w:pPr>
              <w:pStyle w:val="12"/>
              <w:rPr>
                <w:rFonts w:hint="eastAsia"/>
                <w:lang w:val="en-US" w:eastAsia="zh-CN"/>
              </w:rPr>
            </w:pPr>
          </w:p>
          <w:p>
            <w:pPr>
              <w:pStyle w:val="12"/>
              <w:rPr>
                <w:rFonts w:hint="eastAsia"/>
                <w:lang w:val="en-US" w:eastAsia="zh-CN"/>
              </w:rPr>
            </w:pPr>
          </w:p>
          <w:p>
            <w:pPr>
              <w:pStyle w:val="12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sym w:font="Wingdings" w:char="00FE"/>
            </w:r>
            <w:r>
              <w:rPr>
                <w:rFonts w:hint="eastAsia"/>
                <w:color w:val="auto"/>
                <w:lang w:val="en-US" w:eastAsia="zh-CN"/>
              </w:rPr>
              <w:t>符合</w:t>
            </w:r>
          </w:p>
          <w:p>
            <w:pPr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sym w:font="Wingdings" w:char="00A8"/>
            </w:r>
            <w:r>
              <w:rPr>
                <w:rFonts w:hint="eastAsia"/>
                <w:color w:val="auto"/>
                <w:lang w:val="en-US" w:eastAsia="zh-CN"/>
              </w:rPr>
              <w:t>不符合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659" w:type="dxa"/>
            <w:vMerge w:val="continue"/>
          </w:tcPr>
          <w:p/>
        </w:tc>
        <w:tc>
          <w:tcPr>
            <w:tcW w:w="1000" w:type="dxa"/>
            <w:vMerge w:val="continue"/>
          </w:tcPr>
          <w:p/>
        </w:tc>
        <w:tc>
          <w:tcPr>
            <w:tcW w:w="663" w:type="dxa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10324" w:type="dxa"/>
          </w:tcPr>
          <w:p>
            <w:r>
              <w:rPr>
                <w:rFonts w:hint="eastAsia"/>
              </w:rPr>
              <w:t>准确识别</w:t>
            </w:r>
            <w:r>
              <w:rPr>
                <w:rFonts w:hint="eastAsia"/>
                <w:color w:val="000000"/>
                <w:szCs w:val="21"/>
              </w:rPr>
              <w:t xml:space="preserve">监视和测量资源种类：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计量器具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监视设备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服务工作检查表 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监视设备：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定期验证的计划，频次：</w:t>
            </w:r>
            <w:r>
              <w:rPr>
                <w:rFonts w:hint="eastAsia"/>
                <w:color w:val="0000FF"/>
                <w:lang w:eastAsia="zh-CN"/>
              </w:rPr>
              <w:t>——</w:t>
            </w:r>
            <w:r>
              <w:rPr>
                <w:rFonts w:hint="eastAsia"/>
                <w:color w:val="0000FF"/>
                <w:lang w:val="en-US" w:eastAsia="zh-CN"/>
              </w:rPr>
              <w:t>不适用</w:t>
            </w:r>
          </w:p>
          <w:p>
            <w:pPr>
              <w:ind w:firstLine="1050" w:firstLineChars="500"/>
              <w:rPr>
                <w:u w:val="single"/>
              </w:rPr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抽查验证记录日期：</w:t>
            </w:r>
            <w:r>
              <w:rPr>
                <w:rFonts w:hint="eastAsia"/>
                <w:u w:val="single"/>
              </w:rPr>
              <w:t xml:space="preserve">                ；             ；               </w:t>
            </w:r>
          </w:p>
          <w:p>
            <w:pPr>
              <w:ind w:firstLine="1050" w:firstLineChars="500"/>
              <w:rPr>
                <w:u w:val="single"/>
              </w:rPr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按照验证计划实施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未按照验证计划实施；说明</w:t>
            </w:r>
            <w:r>
              <w:rPr>
                <w:rFonts w:hint="eastAsia"/>
                <w:u w:val="single"/>
              </w:rPr>
              <w:t xml:space="preserve">                         </w:t>
            </w:r>
          </w:p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服务工作检查表：</w:t>
            </w:r>
            <w:r>
              <w:rPr>
                <w:rFonts w:hint="eastAsia"/>
                <w:color w:val="0000FF"/>
                <w:lang w:eastAsia="zh-CN"/>
              </w:rPr>
              <w:t>——</w:t>
            </w:r>
            <w:r>
              <w:rPr>
                <w:rFonts w:hint="eastAsia"/>
                <w:color w:val="0000FF"/>
                <w:lang w:val="en-US" w:eastAsia="zh-CN"/>
              </w:rPr>
              <w:t>不适用</w:t>
            </w:r>
          </w:p>
          <w:p>
            <w:pPr>
              <w:ind w:firstLine="1050" w:firstLineChars="500"/>
              <w:rPr>
                <w:u w:val="single"/>
              </w:rPr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使用前确认内容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定期确认内容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其他</w:t>
            </w:r>
          </w:p>
          <w:p>
            <w:pPr>
              <w:pStyle w:val="12"/>
            </w:pPr>
          </w:p>
          <w:p>
            <w:r>
              <w:rPr>
                <w:rFonts w:hint="eastAsia"/>
              </w:rPr>
              <w:t>查看《计量器具台账》，抽查外部检定或校准情况</w:t>
            </w:r>
          </w:p>
          <w:tbl>
            <w:tblPr>
              <w:tblStyle w:val="10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33"/>
              <w:gridCol w:w="2248"/>
              <w:gridCol w:w="1739"/>
              <w:gridCol w:w="292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33" w:type="dxa"/>
                </w:tcPr>
                <w:p>
                  <w:r>
                    <w:rPr>
                      <w:rFonts w:hint="eastAsia"/>
                    </w:rPr>
                    <w:t>计量器具名称</w:t>
                  </w:r>
                </w:p>
              </w:tc>
              <w:tc>
                <w:tcPr>
                  <w:tcW w:w="2248" w:type="dxa"/>
                </w:tcPr>
                <w:p>
                  <w:r>
                    <w:rPr>
                      <w:rFonts w:hint="eastAsia"/>
                    </w:rPr>
                    <w:t>检定或校准证书编号</w:t>
                  </w:r>
                </w:p>
              </w:tc>
              <w:tc>
                <w:tcPr>
                  <w:tcW w:w="1739" w:type="dxa"/>
                </w:tcPr>
                <w:p>
                  <w:r>
                    <w:rPr>
                      <w:rFonts w:hint="eastAsia"/>
                    </w:rPr>
                    <w:t>有限期限至</w:t>
                  </w:r>
                </w:p>
              </w:tc>
              <w:tc>
                <w:tcPr>
                  <w:tcW w:w="2923" w:type="dxa"/>
                </w:tcPr>
                <w:p>
                  <w:r>
                    <w:rPr>
                      <w:rFonts w:hint="eastAsia"/>
                    </w:rPr>
                    <w:t>使用场所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33" w:type="dxa"/>
                </w:tcPr>
                <w:p>
                  <w:pPr>
                    <w:rPr>
                      <w:rFonts w:hint="eastAsia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数字温度计</w:t>
                  </w:r>
                </w:p>
              </w:tc>
              <w:tc>
                <w:tcPr>
                  <w:tcW w:w="2248" w:type="dxa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TCR10-6-22050013</w:t>
                  </w:r>
                </w:p>
              </w:tc>
              <w:tc>
                <w:tcPr>
                  <w:tcW w:w="1739" w:type="dxa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2023-05-30</w:t>
                  </w:r>
                </w:p>
              </w:tc>
              <w:tc>
                <w:tcPr>
                  <w:tcW w:w="2923" w:type="dxa"/>
                </w:tcPr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车间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实验室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33" w:type="dxa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电子台秤</w:t>
                  </w:r>
                </w:p>
              </w:tc>
              <w:tc>
                <w:tcPr>
                  <w:tcW w:w="2248" w:type="dxa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TL01-7-22050007</w:t>
                  </w:r>
                </w:p>
              </w:tc>
              <w:tc>
                <w:tcPr>
                  <w:tcW w:w="1739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2023-05-18</w:t>
                  </w:r>
                </w:p>
              </w:tc>
              <w:tc>
                <w:tcPr>
                  <w:tcW w:w="2923" w:type="dxa"/>
                  <w:vAlign w:val="top"/>
                </w:tcPr>
                <w:p>
                  <w:pPr>
                    <w:rPr>
                      <w:rFonts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车间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实验室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33" w:type="dxa"/>
                </w:tcPr>
                <w:p>
                  <w:pPr>
                    <w:rPr>
                      <w:rFonts w:hint="default"/>
                      <w:color w:val="auto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>多功能食品安全检测仪质检报告（MZ2800C）</w:t>
                  </w:r>
                </w:p>
              </w:tc>
              <w:tc>
                <w:tcPr>
                  <w:tcW w:w="2248" w:type="dxa"/>
                </w:tcPr>
                <w:p>
                  <w:pPr>
                    <w:rPr>
                      <w:rFonts w:hint="default" w:eastAsia="宋体"/>
                      <w:color w:val="auto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lang w:val="en-US" w:eastAsia="zh-CN"/>
                    </w:rPr>
                    <w:t>江苏天美生物科技有限公司比对</w:t>
                  </w:r>
                </w:p>
              </w:tc>
              <w:tc>
                <w:tcPr>
                  <w:tcW w:w="1739" w:type="dxa"/>
                </w:tcPr>
                <w:p>
                  <w:pPr>
                    <w:rPr>
                      <w:rFonts w:hint="default"/>
                      <w:color w:val="auto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lang w:val="en-US" w:eastAsia="zh-CN"/>
                    </w:rPr>
                    <w:t>比对日期</w:t>
                  </w: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>2022-05-05</w:t>
                  </w:r>
                </w:p>
              </w:tc>
              <w:tc>
                <w:tcPr>
                  <w:tcW w:w="2923" w:type="dxa"/>
                </w:tcPr>
                <w:p>
                  <w:pPr>
                    <w:rPr>
                      <w:rFonts w:hint="eastAsia"/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 xml:space="preserve">车间 </w:t>
                  </w: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FE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>实验室</w:t>
                  </w:r>
                </w:p>
              </w:tc>
            </w:tr>
          </w:tbl>
          <w:p/>
          <w:p>
            <w:pPr>
              <w:pStyle w:val="12"/>
            </w:pPr>
          </w:p>
          <w:p>
            <w:r>
              <w:rPr>
                <w:rFonts w:hint="eastAsia"/>
              </w:rPr>
              <w:t>抽查内部校准情况；抽查《内部校准计划》  《校准规程》  《校准记录》</w:t>
            </w:r>
          </w:p>
          <w:tbl>
            <w:tblPr>
              <w:tblStyle w:val="10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33"/>
              <w:gridCol w:w="2248"/>
              <w:gridCol w:w="2626"/>
              <w:gridCol w:w="203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33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计量器具名称</w:t>
                  </w:r>
                </w:p>
              </w:tc>
              <w:tc>
                <w:tcPr>
                  <w:tcW w:w="2248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校准日期</w:t>
                  </w:r>
                </w:p>
              </w:tc>
              <w:tc>
                <w:tcPr>
                  <w:tcW w:w="2626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计划期限至</w:t>
                  </w:r>
                </w:p>
              </w:tc>
              <w:tc>
                <w:tcPr>
                  <w:tcW w:w="2036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使用场所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33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——</w:t>
                  </w:r>
                </w:p>
              </w:tc>
              <w:tc>
                <w:tcPr>
                  <w:tcW w:w="2248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2626" w:type="dxa"/>
                </w:tcPr>
                <w:p>
                  <w:pPr>
                    <w:rPr>
                      <w:rFonts w:hint="eastAsia" w:eastAsia="宋体"/>
                      <w:highlight w:val="none"/>
                      <w:lang w:eastAsia="zh-CN"/>
                    </w:rPr>
                  </w:pPr>
                  <w:r>
                    <w:rPr>
                      <w:rFonts w:hint="eastAsia"/>
                      <w:highlight w:val="none"/>
                      <w:lang w:eastAsia="zh-CN"/>
                    </w:rPr>
                    <w:t>——</w:t>
                  </w:r>
                </w:p>
              </w:tc>
              <w:tc>
                <w:tcPr>
                  <w:tcW w:w="2036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highlight w:val="none"/>
                    </w:rPr>
                    <w:t xml:space="preserve">车间 </w:t>
                  </w:r>
                  <w:r>
                    <w:rPr>
                      <w:rFonts w:hint="eastAsia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highlight w:val="none"/>
                    </w:rPr>
                    <w:t>实验室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33" w:type="dxa"/>
                </w:tcPr>
                <w:p/>
              </w:tc>
              <w:tc>
                <w:tcPr>
                  <w:tcW w:w="2248" w:type="dxa"/>
                </w:tcPr>
                <w:p/>
              </w:tc>
              <w:tc>
                <w:tcPr>
                  <w:tcW w:w="2626" w:type="dxa"/>
                </w:tcPr>
                <w:p/>
              </w:tc>
              <w:tc>
                <w:tcPr>
                  <w:tcW w:w="2036" w:type="dxa"/>
                </w:tcPr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车间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实验室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33" w:type="dxa"/>
                </w:tcPr>
                <w:p/>
              </w:tc>
              <w:tc>
                <w:tcPr>
                  <w:tcW w:w="2248" w:type="dxa"/>
                </w:tcPr>
                <w:p/>
              </w:tc>
              <w:tc>
                <w:tcPr>
                  <w:tcW w:w="2626" w:type="dxa"/>
                </w:tcPr>
                <w:p/>
              </w:tc>
              <w:tc>
                <w:tcPr>
                  <w:tcW w:w="2036" w:type="dxa"/>
                </w:tcPr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车间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实验室</w:t>
                  </w:r>
                </w:p>
              </w:tc>
            </w:tr>
          </w:tbl>
          <w:p>
            <w:pPr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现场1个冷冻库、1个冷藏库，分别库内配置温度显示表进行比对冷冻库冷藏库显示表的温度，询问配送部负责人每天会监控比对温差，但是未保留记录，已现场沟通，后期改进</w:t>
            </w:r>
          </w:p>
          <w:p>
            <w:pPr>
              <w:pStyle w:val="12"/>
            </w:pPr>
          </w:p>
          <w:p>
            <w:pPr>
              <w:pStyle w:val="12"/>
            </w:pPr>
          </w:p>
          <w:p>
            <w:r>
              <w:rPr>
                <w:rFonts w:hint="eastAsia"/>
              </w:rPr>
              <w:t>计量器具的失效控制：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未发生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已发生，</w:t>
            </w:r>
          </w:p>
          <w:tbl>
            <w:tblPr>
              <w:tblStyle w:val="10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33"/>
              <w:gridCol w:w="2248"/>
              <w:gridCol w:w="2626"/>
              <w:gridCol w:w="203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33" w:type="dxa"/>
                </w:tcPr>
                <w:p>
                  <w:r>
                    <w:rPr>
                      <w:rFonts w:hint="eastAsia"/>
                    </w:rPr>
                    <w:t>失效计量器具名称</w:t>
                  </w:r>
                </w:p>
              </w:tc>
              <w:tc>
                <w:tcPr>
                  <w:tcW w:w="2248" w:type="dxa"/>
                </w:tcPr>
                <w:p>
                  <w:r>
                    <w:rPr>
                      <w:rFonts w:hint="eastAsia"/>
                    </w:rPr>
                    <w:t>失效情况</w:t>
                  </w:r>
                </w:p>
              </w:tc>
              <w:tc>
                <w:tcPr>
                  <w:tcW w:w="2626" w:type="dxa"/>
                </w:tcPr>
                <w:p>
                  <w:r>
                    <w:rPr>
                      <w:rFonts w:hint="eastAsia"/>
                    </w:rPr>
                    <w:t>处理</w:t>
                  </w:r>
                </w:p>
              </w:tc>
              <w:tc>
                <w:tcPr>
                  <w:tcW w:w="2036" w:type="dxa"/>
                </w:tcPr>
                <w:p>
                  <w:r>
                    <w:rPr>
                      <w:rFonts w:hint="eastAsia"/>
                    </w:rPr>
                    <w:t>数据追溯描述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33" w:type="dxa"/>
                </w:tcPr>
                <w:p/>
              </w:tc>
              <w:tc>
                <w:tcPr>
                  <w:tcW w:w="2248" w:type="dxa"/>
                </w:tcPr>
                <w:p/>
              </w:tc>
              <w:tc>
                <w:tcPr>
                  <w:tcW w:w="2626" w:type="dxa"/>
                </w:tcPr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报废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维修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再校准</w:t>
                  </w:r>
                </w:p>
              </w:tc>
              <w:tc>
                <w:tcPr>
                  <w:tcW w:w="2036" w:type="dxa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33" w:type="dxa"/>
                </w:tcPr>
                <w:p/>
              </w:tc>
              <w:tc>
                <w:tcPr>
                  <w:tcW w:w="2248" w:type="dxa"/>
                </w:tcPr>
                <w:p/>
              </w:tc>
              <w:tc>
                <w:tcPr>
                  <w:tcW w:w="2626" w:type="dxa"/>
                </w:tcPr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报废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维修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再校准</w:t>
                  </w:r>
                </w:p>
              </w:tc>
              <w:tc>
                <w:tcPr>
                  <w:tcW w:w="2036" w:type="dxa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33" w:type="dxa"/>
                </w:tcPr>
                <w:p/>
              </w:tc>
              <w:tc>
                <w:tcPr>
                  <w:tcW w:w="2248" w:type="dxa"/>
                </w:tcPr>
                <w:p/>
              </w:tc>
              <w:tc>
                <w:tcPr>
                  <w:tcW w:w="2626" w:type="dxa"/>
                </w:tcPr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报废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维修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再校准</w:t>
                  </w:r>
                </w:p>
              </w:tc>
              <w:tc>
                <w:tcPr>
                  <w:tcW w:w="2036" w:type="dxa"/>
                </w:tcPr>
                <w:p/>
              </w:tc>
            </w:tr>
          </w:tbl>
          <w:p/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标准溶液控制：</w:t>
            </w:r>
            <w:r>
              <w:rPr>
                <w:rFonts w:hint="eastAsia"/>
                <w:lang w:eastAsia="zh-CN"/>
              </w:rPr>
              <w:t>——</w:t>
            </w:r>
            <w:r>
              <w:rPr>
                <w:rFonts w:hint="eastAsia"/>
                <w:lang w:val="en-US" w:eastAsia="zh-CN"/>
              </w:rPr>
              <w:t>不适用</w:t>
            </w:r>
          </w:p>
          <w:tbl>
            <w:tblPr>
              <w:tblStyle w:val="10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52"/>
              <w:gridCol w:w="881"/>
              <w:gridCol w:w="1689"/>
              <w:gridCol w:w="2105"/>
              <w:gridCol w:w="1569"/>
              <w:gridCol w:w="154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52" w:type="dxa"/>
                </w:tcPr>
                <w:p>
                  <w:r>
                    <w:rPr>
                      <w:rFonts w:hint="eastAsia"/>
                    </w:rPr>
                    <w:t>溶液名称</w:t>
                  </w:r>
                </w:p>
              </w:tc>
              <w:tc>
                <w:tcPr>
                  <w:tcW w:w="881" w:type="dxa"/>
                </w:tcPr>
                <w:p>
                  <w:r>
                    <w:rPr>
                      <w:rFonts w:hint="eastAsia"/>
                    </w:rPr>
                    <w:t>浓度</w:t>
                  </w:r>
                </w:p>
              </w:tc>
              <w:tc>
                <w:tcPr>
                  <w:tcW w:w="1689" w:type="dxa"/>
                </w:tcPr>
                <w:p>
                  <w:r>
                    <w:rPr>
                      <w:rFonts w:hint="eastAsia"/>
                    </w:rPr>
                    <w:t>基准物质种类</w:t>
                  </w:r>
                </w:p>
              </w:tc>
              <w:tc>
                <w:tcPr>
                  <w:tcW w:w="2105" w:type="dxa"/>
                </w:tcPr>
                <w:p>
                  <w:r>
                    <w:rPr>
                      <w:rFonts w:hint="eastAsia"/>
                    </w:rPr>
                    <w:t>标定方法</w:t>
                  </w:r>
                </w:p>
              </w:tc>
              <w:tc>
                <w:tcPr>
                  <w:tcW w:w="1569" w:type="dxa"/>
                </w:tcPr>
                <w:p>
                  <w:r>
                    <w:rPr>
                      <w:rFonts w:hint="eastAsia"/>
                    </w:rPr>
                    <w:t>标准偏差合格</w:t>
                  </w:r>
                </w:p>
              </w:tc>
              <w:tc>
                <w:tcPr>
                  <w:tcW w:w="1547" w:type="dxa"/>
                </w:tcPr>
                <w:p>
                  <w:r>
                    <w:rPr>
                      <w:rFonts w:hint="eastAsia"/>
                    </w:rPr>
                    <w:t>在有效期内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52" w:type="dxa"/>
                </w:tcPr>
                <w:p/>
              </w:tc>
              <w:tc>
                <w:tcPr>
                  <w:tcW w:w="881" w:type="dxa"/>
                </w:tcPr>
                <w:p/>
              </w:tc>
              <w:tc>
                <w:tcPr>
                  <w:tcW w:w="1689" w:type="dxa"/>
                </w:tcPr>
                <w:p/>
              </w:tc>
              <w:tc>
                <w:tcPr>
                  <w:tcW w:w="2105" w:type="dxa"/>
                </w:tcPr>
                <w:p/>
              </w:tc>
              <w:tc>
                <w:tcPr>
                  <w:tcW w:w="1569" w:type="dxa"/>
                </w:tcPr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是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否</w:t>
                  </w:r>
                </w:p>
              </w:tc>
              <w:tc>
                <w:tcPr>
                  <w:tcW w:w="1547" w:type="dxa"/>
                </w:tcPr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是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52" w:type="dxa"/>
                </w:tcPr>
                <w:p/>
              </w:tc>
              <w:tc>
                <w:tcPr>
                  <w:tcW w:w="881" w:type="dxa"/>
                </w:tcPr>
                <w:p/>
              </w:tc>
              <w:tc>
                <w:tcPr>
                  <w:tcW w:w="1689" w:type="dxa"/>
                </w:tcPr>
                <w:p/>
              </w:tc>
              <w:tc>
                <w:tcPr>
                  <w:tcW w:w="2105" w:type="dxa"/>
                </w:tcPr>
                <w:p/>
              </w:tc>
              <w:tc>
                <w:tcPr>
                  <w:tcW w:w="1569" w:type="dxa"/>
                </w:tcPr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是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否</w:t>
                  </w:r>
                </w:p>
              </w:tc>
              <w:tc>
                <w:tcPr>
                  <w:tcW w:w="1547" w:type="dxa"/>
                </w:tcPr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是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52" w:type="dxa"/>
                </w:tcPr>
                <w:p/>
              </w:tc>
              <w:tc>
                <w:tcPr>
                  <w:tcW w:w="881" w:type="dxa"/>
                </w:tcPr>
                <w:p/>
              </w:tc>
              <w:tc>
                <w:tcPr>
                  <w:tcW w:w="1689" w:type="dxa"/>
                </w:tcPr>
                <w:p/>
              </w:tc>
              <w:tc>
                <w:tcPr>
                  <w:tcW w:w="2105" w:type="dxa"/>
                </w:tcPr>
                <w:p/>
              </w:tc>
              <w:tc>
                <w:tcPr>
                  <w:tcW w:w="1569" w:type="dxa"/>
                </w:tcPr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是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否</w:t>
                  </w:r>
                </w:p>
              </w:tc>
              <w:tc>
                <w:tcPr>
                  <w:tcW w:w="1547" w:type="dxa"/>
                </w:tcPr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是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否</w:t>
                  </w:r>
                </w:p>
              </w:tc>
            </w:tr>
          </w:tbl>
          <w:p/>
          <w:p/>
        </w:tc>
        <w:tc>
          <w:tcPr>
            <w:tcW w:w="1063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0" w:hRule="atLeast"/>
        </w:trPr>
        <w:tc>
          <w:tcPr>
            <w:tcW w:w="1659" w:type="dxa"/>
            <w:shd w:val="clear" w:color="auto" w:fill="auto"/>
          </w:tcPr>
          <w:p>
            <w:r>
              <w:rPr>
                <w:rFonts w:hint="eastAsia"/>
              </w:rPr>
              <w:t>产品放行</w:t>
            </w:r>
          </w:p>
        </w:tc>
        <w:tc>
          <w:tcPr>
            <w:tcW w:w="1000" w:type="dxa"/>
            <w:shd w:val="clear" w:color="auto" w:fill="auto"/>
          </w:tcPr>
          <w:p>
            <w:r>
              <w:rPr>
                <w:rFonts w:hint="eastAsia"/>
                <w:lang w:val="en-US" w:eastAsia="zh-CN"/>
              </w:rPr>
              <w:t>H(V1.0)</w:t>
            </w:r>
            <w:r>
              <w:rPr>
                <w:rFonts w:hint="eastAsia"/>
              </w:rPr>
              <w:t xml:space="preserve">3.8  </w:t>
            </w:r>
          </w:p>
        </w:tc>
        <w:tc>
          <w:tcPr>
            <w:tcW w:w="663" w:type="dxa"/>
            <w:shd w:val="clear" w:color="auto" w:fill="auto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10324" w:type="dxa"/>
            <w:shd w:val="clear" w:color="auto" w:fill="auto"/>
          </w:tcPr>
          <w:p>
            <w:r>
              <w:rPr>
                <w:rFonts w:hint="eastAsia"/>
              </w:rPr>
              <w:t>如：《产品检验控制程序》或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</w:rPr>
              <w:t>《产品放行控制程序》</w:t>
            </w:r>
          </w:p>
          <w:p>
            <w:r>
              <w:rPr>
                <w:rFonts w:hint="eastAsia"/>
              </w:rPr>
              <w:t>执行标准（接收准则）：</w:t>
            </w:r>
          </w:p>
          <w:tbl>
            <w:tblPr>
              <w:tblStyle w:val="10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34"/>
              <w:gridCol w:w="1498"/>
              <w:gridCol w:w="3615"/>
              <w:gridCol w:w="259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34" w:type="dxa"/>
                </w:tcPr>
                <w:p>
                  <w:r>
                    <w:rPr>
                      <w:rFonts w:hint="eastAsia"/>
                    </w:rPr>
                    <w:t>放行类型</w:t>
                  </w:r>
                </w:p>
              </w:tc>
              <w:tc>
                <w:tcPr>
                  <w:tcW w:w="1498" w:type="dxa"/>
                </w:tcPr>
                <w:p>
                  <w:r>
                    <w:rPr>
                      <w:rFonts w:hint="eastAsia"/>
                    </w:rPr>
                    <w:t>抽样要求</w:t>
                  </w:r>
                </w:p>
              </w:tc>
              <w:tc>
                <w:tcPr>
                  <w:tcW w:w="3615" w:type="dxa"/>
                </w:tcPr>
                <w:p>
                  <w:r>
                    <w:rPr>
                      <w:rFonts w:hint="eastAsia"/>
                    </w:rPr>
                    <w:t>执行标准或规范文件名称</w:t>
                  </w:r>
                </w:p>
              </w:tc>
              <w:tc>
                <w:tcPr>
                  <w:tcW w:w="2596" w:type="dxa"/>
                </w:tcPr>
                <w:p>
                  <w:r>
                    <w:rPr>
                      <w:rFonts w:hint="eastAsia"/>
                    </w:rPr>
                    <w:t>评价结论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34" w:type="dxa"/>
                </w:tcPr>
                <w:p>
                  <w:r>
                    <w:rPr>
                      <w:rFonts w:hint="eastAsia"/>
                    </w:rPr>
                    <w:t>原材料检验</w:t>
                  </w:r>
                </w:p>
              </w:tc>
              <w:tc>
                <w:tcPr>
                  <w:tcW w:w="1498" w:type="dxa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随机抽取</w:t>
                  </w:r>
                </w:p>
              </w:tc>
              <w:tc>
                <w:tcPr>
                  <w:tcW w:w="3615" w:type="dxa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符合《HACCP计划》、《良好卫生规范》的要求</w:t>
                  </w:r>
                </w:p>
              </w:tc>
              <w:tc>
                <w:tcPr>
                  <w:tcW w:w="2596" w:type="dxa"/>
                </w:tcPr>
                <w:p>
                  <w:r>
                    <w:rPr>
                      <w:rFonts w:hint="eastAsia"/>
                      <w:color w:val="000000"/>
                      <w:szCs w:val="21"/>
                    </w:rPr>
                    <w:sym w:font="Wingdings 2" w:char="0052"/>
                  </w:r>
                  <w:r>
                    <w:rPr>
                      <w:rFonts w:hint="eastAsia"/>
                    </w:rPr>
                    <w:t xml:space="preserve">符合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不符合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34" w:type="dxa"/>
                </w:tcPr>
                <w:p>
                  <w:r>
                    <w:rPr>
                      <w:rFonts w:hint="eastAsia"/>
                    </w:rPr>
                    <w:t>半成品首检</w:t>
                  </w:r>
                </w:p>
              </w:tc>
              <w:tc>
                <w:tcPr>
                  <w:tcW w:w="1498" w:type="dxa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——</w:t>
                  </w:r>
                </w:p>
              </w:tc>
              <w:tc>
                <w:tcPr>
                  <w:tcW w:w="3615" w:type="dxa"/>
                </w:tcPr>
                <w:p>
                  <w:r>
                    <w:rPr>
                      <w:rFonts w:hint="eastAsia"/>
                      <w:lang w:val="en-US" w:eastAsia="zh-CN"/>
                    </w:rPr>
                    <w:t>主要以感官检验为主</w:t>
                  </w:r>
                </w:p>
              </w:tc>
              <w:tc>
                <w:tcPr>
                  <w:tcW w:w="2596" w:type="dxa"/>
                </w:tcPr>
                <w:p>
                  <w:r>
                    <w:rPr>
                      <w:rFonts w:hint="eastAsia"/>
                      <w:color w:val="000000"/>
                      <w:szCs w:val="21"/>
                    </w:rPr>
                    <w:sym w:font="Wingdings 2" w:char="0052"/>
                  </w:r>
                  <w:r>
                    <w:rPr>
                      <w:rFonts w:hint="eastAsia"/>
                    </w:rPr>
                    <w:t xml:space="preserve">符合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不符合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1334" w:type="dxa"/>
                </w:tcPr>
                <w:p>
                  <w:r>
                    <w:rPr>
                      <w:rFonts w:hint="eastAsia"/>
                    </w:rPr>
                    <w:t>半成品检验</w:t>
                  </w:r>
                </w:p>
              </w:tc>
              <w:tc>
                <w:tcPr>
                  <w:tcW w:w="1498" w:type="dxa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随机抽取</w:t>
                  </w:r>
                </w:p>
              </w:tc>
              <w:tc>
                <w:tcPr>
                  <w:tcW w:w="3615" w:type="dxa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主要以感官检验为主</w:t>
                  </w:r>
                </w:p>
              </w:tc>
              <w:tc>
                <w:tcPr>
                  <w:tcW w:w="2596" w:type="dxa"/>
                </w:tcPr>
                <w:p>
                  <w:r>
                    <w:rPr>
                      <w:rFonts w:hint="eastAsia"/>
                      <w:color w:val="000000"/>
                      <w:szCs w:val="21"/>
                    </w:rPr>
                    <w:sym w:font="Wingdings 2" w:char="0052"/>
                  </w:r>
                  <w:r>
                    <w:rPr>
                      <w:rFonts w:hint="eastAsia"/>
                    </w:rPr>
                    <w:t xml:space="preserve">符合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不符合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34" w:type="dxa"/>
                </w:tcPr>
                <w:p>
                  <w:r>
                    <w:rPr>
                      <w:rFonts w:hint="eastAsia"/>
                    </w:rPr>
                    <w:t>成品检验</w:t>
                  </w:r>
                </w:p>
              </w:tc>
              <w:tc>
                <w:tcPr>
                  <w:tcW w:w="1498" w:type="dxa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随机抽取</w:t>
                  </w:r>
                </w:p>
              </w:tc>
              <w:tc>
                <w:tcPr>
                  <w:tcW w:w="3615" w:type="dxa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产品特殊性，主要以感官检验为主</w:t>
                  </w:r>
                </w:p>
              </w:tc>
              <w:tc>
                <w:tcPr>
                  <w:tcW w:w="2596" w:type="dxa"/>
                </w:tcPr>
                <w:p>
                  <w:r>
                    <w:rPr>
                      <w:rFonts w:hint="eastAsia"/>
                      <w:color w:val="000000"/>
                      <w:szCs w:val="21"/>
                    </w:rPr>
                    <w:sym w:font="Wingdings 2" w:char="0052"/>
                  </w:r>
                  <w:r>
                    <w:rPr>
                      <w:rFonts w:hint="eastAsia"/>
                    </w:rPr>
                    <w:t xml:space="preserve">符合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不符合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34" w:type="dxa"/>
                </w:tcPr>
                <w:p>
                  <w:r>
                    <w:rPr>
                      <w:rFonts w:hint="eastAsia"/>
                    </w:rPr>
                    <w:t>服务放行</w:t>
                  </w:r>
                </w:p>
              </w:tc>
              <w:tc>
                <w:tcPr>
                  <w:tcW w:w="1498" w:type="dxa"/>
                </w:tcPr>
                <w:p>
                  <w:pPr>
                    <w:rPr>
                      <w:rFonts w:hint="eastAsia" w:eastAsia="宋体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——</w:t>
                  </w:r>
                </w:p>
              </w:tc>
              <w:tc>
                <w:tcPr>
                  <w:tcW w:w="3615" w:type="dxa"/>
                </w:tcPr>
                <w:p/>
              </w:tc>
              <w:tc>
                <w:tcPr>
                  <w:tcW w:w="2596" w:type="dxa"/>
                </w:tcPr>
                <w:p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符合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不符合</w:t>
                  </w:r>
                </w:p>
              </w:tc>
            </w:tr>
          </w:tbl>
          <w:p/>
        </w:tc>
        <w:tc>
          <w:tcPr>
            <w:tcW w:w="1063" w:type="dxa"/>
            <w:shd w:val="clear" w:color="auto" w:fill="auto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>符合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不符合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659" w:type="dxa"/>
            <w:shd w:val="clear" w:color="auto" w:fill="auto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产品放行</w:t>
            </w:r>
          </w:p>
        </w:tc>
        <w:tc>
          <w:tcPr>
            <w:tcW w:w="1000" w:type="dxa"/>
            <w:shd w:val="clear" w:color="auto" w:fill="auto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H(V1.0)</w:t>
            </w:r>
            <w:r>
              <w:rPr>
                <w:rFonts w:hint="eastAsia"/>
              </w:rPr>
              <w:t xml:space="preserve">3.8  </w:t>
            </w:r>
          </w:p>
        </w:tc>
        <w:tc>
          <w:tcPr>
            <w:tcW w:w="663" w:type="dxa"/>
            <w:shd w:val="clear" w:color="auto" w:fill="auto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10324" w:type="dxa"/>
            <w:shd w:val="clear" w:color="auto" w:fill="auto"/>
          </w:tcPr>
          <w:p/>
          <w:p>
            <w:r>
              <w:rPr>
                <w:rFonts w:hint="eastAsia"/>
              </w:rPr>
              <w:t>放行包括：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</w:rPr>
              <w:t xml:space="preserve">原材料进厂  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</w:rPr>
              <w:t xml:space="preserve">半成品转序 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</w:rPr>
              <w:t xml:space="preserve">成品放行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</w:rPr>
              <w:t>服务放行</w:t>
            </w:r>
          </w:p>
          <w:p>
            <w:pPr>
              <w:rPr>
                <w:u w:val="single"/>
              </w:rPr>
            </w:pPr>
            <w:r>
              <w:rPr>
                <w:rFonts w:hint="eastAsia"/>
              </w:rPr>
              <w:t>抽取原材料检验相关记录名称：</w:t>
            </w:r>
            <w:r>
              <w:rPr>
                <w:rFonts w:hint="eastAsia"/>
                <w:u w:val="single"/>
              </w:rPr>
              <w:t xml:space="preserve">《 </w:t>
            </w:r>
            <w:r>
              <w:rPr>
                <w:rFonts w:hint="eastAsia"/>
                <w:u w:val="single"/>
                <w:lang w:val="en-US" w:eastAsia="zh-CN"/>
              </w:rPr>
              <w:t>果蔬类测试农残、肉类以查验合格证明为主，合格入库，主要体现为《采购入库单》、《农残检测报告》</w:t>
            </w:r>
            <w:r>
              <w:rPr>
                <w:rFonts w:hint="eastAsia"/>
                <w:u w:val="single"/>
              </w:rPr>
              <w:t xml:space="preserve">   》</w:t>
            </w:r>
          </w:p>
          <w:tbl>
            <w:tblPr>
              <w:tblStyle w:val="10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96"/>
              <w:gridCol w:w="1459"/>
              <w:gridCol w:w="729"/>
              <w:gridCol w:w="1580"/>
              <w:gridCol w:w="2784"/>
              <w:gridCol w:w="129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r>
                    <w:rPr>
                      <w:rFonts w:hint="eastAsia"/>
                    </w:rPr>
                    <w:t>日期</w:t>
                  </w:r>
                </w:p>
              </w:tc>
              <w:tc>
                <w:tcPr>
                  <w:tcW w:w="1543" w:type="dxa"/>
                </w:tcPr>
                <w:p>
                  <w:r>
                    <w:rPr>
                      <w:rFonts w:hint="eastAsia"/>
                    </w:rPr>
                    <w:t>物料名称/批次</w:t>
                  </w:r>
                </w:p>
              </w:tc>
              <w:tc>
                <w:tcPr>
                  <w:tcW w:w="759" w:type="dxa"/>
                </w:tcPr>
                <w:p>
                  <w:r>
                    <w:rPr>
                      <w:rFonts w:hint="eastAsia"/>
                    </w:rPr>
                    <w:t>抽样比例</w:t>
                  </w:r>
                </w:p>
              </w:tc>
              <w:tc>
                <w:tcPr>
                  <w:tcW w:w="1675" w:type="dxa"/>
                </w:tcPr>
                <w:p>
                  <w:r>
                    <w:rPr>
                      <w:rFonts w:hint="eastAsia"/>
                      <w:b/>
                      <w:bCs/>
                    </w:rPr>
                    <w:t>关键特性</w:t>
                  </w:r>
                  <w:r>
                    <w:rPr>
                      <w:rFonts w:hint="eastAsia"/>
                    </w:rPr>
                    <w:t>要求</w:t>
                  </w:r>
                </w:p>
              </w:tc>
              <w:tc>
                <w:tcPr>
                  <w:tcW w:w="2936" w:type="dxa"/>
                </w:tcPr>
                <w:p>
                  <w:r>
                    <w:rPr>
                      <w:rFonts w:hint="eastAsia"/>
                    </w:rPr>
                    <w:t>实测结果</w:t>
                  </w:r>
                </w:p>
              </w:tc>
              <w:tc>
                <w:tcPr>
                  <w:tcW w:w="1363" w:type="dxa"/>
                </w:tcPr>
                <w:p>
                  <w:r>
                    <w:rPr>
                      <w:rFonts w:hint="eastAsia"/>
                    </w:rPr>
                    <w:t>验证结论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2022-05-17日</w:t>
                  </w:r>
                </w:p>
              </w:tc>
              <w:tc>
                <w:tcPr>
                  <w:tcW w:w="1543" w:type="dxa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白条肉</w:t>
                  </w:r>
                </w:p>
              </w:tc>
              <w:tc>
                <w:tcPr>
                  <w:tcW w:w="759" w:type="dxa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随机</w:t>
                  </w:r>
                </w:p>
              </w:tc>
              <w:tc>
                <w:tcPr>
                  <w:tcW w:w="1675" w:type="dxa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来自合格供方、合格证明文件、感官</w:t>
                  </w:r>
                </w:p>
              </w:tc>
              <w:tc>
                <w:tcPr>
                  <w:tcW w:w="2936" w:type="dxa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符合合格供方要求，感官验收合格，</w:t>
                  </w:r>
                  <w:bookmarkStart w:id="0" w:name="_GoBack"/>
                  <w:r>
                    <w:rPr>
                      <w:rFonts w:hint="eastAsia"/>
                      <w:lang w:val="en-US" w:eastAsia="zh-CN"/>
                    </w:rPr>
                    <w:t>肉品品质合格证编号：（2021）06914851，嘉兴市动物产品交易确认单（仅限于嘉兴市境内分销使用）编号：3532363，日期：2022-05-17生猪尿样检测报告单编号：【2022】050536，日期：2022-05-17</w:t>
                  </w:r>
                  <w:bookmarkEnd w:id="0"/>
                </w:p>
              </w:tc>
              <w:tc>
                <w:tcPr>
                  <w:tcW w:w="1363" w:type="dxa"/>
                </w:tcPr>
                <w:p>
                  <w:r>
                    <w:rPr>
                      <w:rFonts w:hint="eastAsia"/>
                      <w:color w:val="000000"/>
                      <w:szCs w:val="21"/>
                    </w:rPr>
                    <w:sym w:font="Wingdings 2" w:char="0052"/>
                  </w:r>
                  <w:r>
                    <w:rPr>
                      <w:rFonts w:hint="eastAsia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2022-07-05</w:t>
                  </w:r>
                </w:p>
              </w:tc>
              <w:tc>
                <w:tcPr>
                  <w:tcW w:w="1543" w:type="dxa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夹心肉</w:t>
                  </w:r>
                </w:p>
              </w:tc>
              <w:tc>
                <w:tcPr>
                  <w:tcW w:w="759" w:type="dxa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随机</w:t>
                  </w:r>
                </w:p>
              </w:tc>
              <w:tc>
                <w:tcPr>
                  <w:tcW w:w="1675" w:type="dxa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莱克多巴胺、沙丁胺醇、磺胺类检测阴性</w:t>
                  </w:r>
                </w:p>
              </w:tc>
              <w:tc>
                <w:tcPr>
                  <w:tcW w:w="2936" w:type="dxa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莱克多巴胺、沙丁胺醇、磺胺类检测值阴性、</w:t>
                  </w:r>
                </w:p>
              </w:tc>
              <w:tc>
                <w:tcPr>
                  <w:tcW w:w="1363" w:type="dxa"/>
                </w:tcPr>
                <w:p>
                  <w:r>
                    <w:rPr>
                      <w:rFonts w:hint="eastAsia"/>
                      <w:color w:val="000000"/>
                      <w:szCs w:val="21"/>
                    </w:rPr>
                    <w:sym w:font="Wingdings 2" w:char="0052"/>
                  </w:r>
                  <w:r>
                    <w:rPr>
                      <w:rFonts w:hint="eastAsia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pPr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2022-03-22</w:t>
                  </w:r>
                </w:p>
              </w:tc>
              <w:tc>
                <w:tcPr>
                  <w:tcW w:w="1543" w:type="dxa"/>
                </w:tcPr>
                <w:p>
                  <w:pPr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纯精肉</w:t>
                  </w:r>
                </w:p>
              </w:tc>
              <w:tc>
                <w:tcPr>
                  <w:tcW w:w="759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随机</w:t>
                  </w:r>
                </w:p>
              </w:tc>
              <w:tc>
                <w:tcPr>
                  <w:tcW w:w="1675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莱克多巴胺、沙丁胺醇、磺胺类检测阴性</w:t>
                  </w:r>
                </w:p>
              </w:tc>
              <w:tc>
                <w:tcPr>
                  <w:tcW w:w="2936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莱克多巴胺、沙丁胺醇、磺胺类检测值阴性、</w:t>
                  </w:r>
                </w:p>
              </w:tc>
              <w:tc>
                <w:tcPr>
                  <w:tcW w:w="1363" w:type="dxa"/>
                  <w:vAlign w:val="top"/>
                </w:tcPr>
                <w:p>
                  <w:pPr>
                    <w:rPr>
                      <w:rFonts w:hint="eastAsia"/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sym w:font="Wingdings 2" w:char="0052"/>
                  </w:r>
                  <w:r>
                    <w:rPr>
                      <w:rFonts w:hint="eastAsia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pPr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2022-07-01</w:t>
                  </w:r>
                </w:p>
              </w:tc>
              <w:tc>
                <w:tcPr>
                  <w:tcW w:w="1543" w:type="dxa"/>
                </w:tcPr>
                <w:p>
                  <w:pPr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苹果、香蕉、水蜜桃、西瓜</w:t>
                  </w:r>
                </w:p>
              </w:tc>
              <w:tc>
                <w:tcPr>
                  <w:tcW w:w="759" w:type="dxa"/>
                  <w:vAlign w:val="top"/>
                </w:tcPr>
                <w:p>
                  <w:pPr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随机</w:t>
                  </w:r>
                </w:p>
              </w:tc>
              <w:tc>
                <w:tcPr>
                  <w:tcW w:w="1675" w:type="dxa"/>
                  <w:vAlign w:val="top"/>
                </w:tcPr>
                <w:p>
                  <w:pPr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来自合格供方、农残抑制率＜50%</w:t>
                  </w:r>
                </w:p>
              </w:tc>
              <w:tc>
                <w:tcPr>
                  <w:tcW w:w="2936" w:type="dxa"/>
                  <w:vAlign w:val="top"/>
                </w:tcPr>
                <w:p>
                  <w:pPr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来自合格供方，苹果农残抑制率：0.2%，香蕉：0.10%、水蜜桃：0.1%、西瓜：0.9%</w:t>
                  </w:r>
                </w:p>
              </w:tc>
              <w:tc>
                <w:tcPr>
                  <w:tcW w:w="1363" w:type="dxa"/>
                  <w:vAlign w:val="top"/>
                </w:tcPr>
                <w:p>
                  <w:pPr>
                    <w:rPr>
                      <w:rFonts w:hint="eastAsia"/>
                      <w:color w:val="000000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pPr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2022-05-16日</w:t>
                  </w:r>
                </w:p>
              </w:tc>
              <w:tc>
                <w:tcPr>
                  <w:tcW w:w="1543" w:type="dxa"/>
                </w:tcPr>
                <w:p>
                  <w:pPr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大白菜、茼蒿、丝瓜、青菜等</w:t>
                  </w:r>
                </w:p>
              </w:tc>
              <w:tc>
                <w:tcPr>
                  <w:tcW w:w="759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随机</w:t>
                  </w:r>
                </w:p>
              </w:tc>
              <w:tc>
                <w:tcPr>
                  <w:tcW w:w="1675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来自合格供方、农残抑制率＜50%</w:t>
                  </w:r>
                </w:p>
              </w:tc>
              <w:tc>
                <w:tcPr>
                  <w:tcW w:w="2936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来自合格供方，大白菜农残抑制率0.4%、茼蒿2.7%、丝瓜0.9%、青菜:0.4%</w:t>
                  </w:r>
                </w:p>
              </w:tc>
              <w:tc>
                <w:tcPr>
                  <w:tcW w:w="1363" w:type="dxa"/>
                  <w:vAlign w:val="top"/>
                </w:tcPr>
                <w:p>
                  <w:pPr>
                    <w:rPr>
                      <w:rFonts w:hint="eastAsia"/>
                      <w:color w:val="000000"/>
                      <w:szCs w:val="21"/>
                    </w:rPr>
                  </w:pPr>
                </w:p>
              </w:tc>
            </w:tr>
          </w:tbl>
          <w:p>
            <w:pPr>
              <w:rPr>
                <w:rFonts w:hint="eastAsia" w:ascii="Times New Roman" w:hAnsi="Times New Roman" w:cs="Times New Roman"/>
                <w:color w:val="0000FF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FF"/>
                <w:u w:val="single"/>
                <w:lang w:val="en-US" w:eastAsia="zh-CN"/>
              </w:rPr>
              <w:t>另抽查：1)2022-06-23白条肉、2022-05-22日白条肉、2022-03-03日白条肉、2022-07-03日白条肉，结论同2022-05-17日白条肉验收结果，合格；</w:t>
            </w:r>
          </w:p>
          <w:p>
            <w:pPr>
              <w:rPr>
                <w:rFonts w:hint="default" w:ascii="Times New Roman" w:hAnsi="Times New Roman" w:cs="Times New Roman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FF"/>
                <w:u w:val="single"/>
                <w:lang w:val="en-US" w:eastAsia="zh-CN"/>
              </w:rPr>
              <w:t>2）抽查2022-05-18日进货的橙子、荔枝等水果、2022-05-11日进货的洋葱、白苋菜、大娃娃菜等蔬菜、2022-03-04日进货的生菜、毛毛菜等蔬菜，农残抑制率＜50%，结论：合格。</w:t>
            </w:r>
          </w:p>
          <w:p/>
          <w:p>
            <w:pPr>
              <w:rPr>
                <w:u w:val="single"/>
              </w:rPr>
            </w:pPr>
            <w:r>
              <w:rPr>
                <w:rFonts w:hint="eastAsia"/>
              </w:rPr>
              <w:t>抽取半成品</w:t>
            </w:r>
            <w:r>
              <w:rPr>
                <w:rFonts w:hint="eastAsia"/>
                <w:b/>
                <w:bCs/>
              </w:rPr>
              <w:t>检验</w:t>
            </w:r>
            <w:r>
              <w:rPr>
                <w:rFonts w:hint="eastAsia"/>
              </w:rPr>
              <w:t>相关记录名称：</w:t>
            </w:r>
            <w:r>
              <w:rPr>
                <w:rFonts w:hint="eastAsia"/>
                <w:u w:val="single"/>
              </w:rPr>
              <w:t xml:space="preserve">《   </w:t>
            </w:r>
            <w:r>
              <w:rPr>
                <w:rFonts w:hint="eastAsia"/>
                <w:u w:val="single"/>
                <w:lang w:val="en-US" w:eastAsia="zh-CN"/>
              </w:rPr>
              <w:t>配送部在初加工过程中主要以感官检验为主</w:t>
            </w:r>
            <w:r>
              <w:rPr>
                <w:rFonts w:hint="eastAsia"/>
                <w:u w:val="single"/>
              </w:rPr>
              <w:t xml:space="preserve">  》</w:t>
            </w:r>
          </w:p>
          <w:tbl>
            <w:tblPr>
              <w:tblStyle w:val="10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7"/>
              <w:gridCol w:w="1620"/>
              <w:gridCol w:w="1364"/>
              <w:gridCol w:w="1680"/>
              <w:gridCol w:w="1566"/>
              <w:gridCol w:w="204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r>
                    <w:rPr>
                      <w:rFonts w:hint="eastAsia"/>
                    </w:rPr>
                    <w:t>日期</w:t>
                  </w:r>
                </w:p>
              </w:tc>
              <w:tc>
                <w:tcPr>
                  <w:tcW w:w="1620" w:type="dxa"/>
                </w:tcPr>
                <w:p>
                  <w:r>
                    <w:rPr>
                      <w:rFonts w:hint="eastAsia"/>
                    </w:rPr>
                    <w:t>成品名称/批次</w:t>
                  </w:r>
                </w:p>
              </w:tc>
              <w:tc>
                <w:tcPr>
                  <w:tcW w:w="1364" w:type="dxa"/>
                </w:tcPr>
                <w:p>
                  <w:r>
                    <w:rPr>
                      <w:rFonts w:hint="eastAsia"/>
                    </w:rPr>
                    <w:t>抽样比例</w:t>
                  </w:r>
                </w:p>
              </w:tc>
              <w:tc>
                <w:tcPr>
                  <w:tcW w:w="1680" w:type="dxa"/>
                </w:tcPr>
                <w:p>
                  <w:r>
                    <w:rPr>
                      <w:rFonts w:hint="eastAsia"/>
                      <w:b/>
                      <w:bCs/>
                    </w:rPr>
                    <w:t>关键特性</w:t>
                  </w:r>
                  <w:r>
                    <w:rPr>
                      <w:rFonts w:hint="eastAsia"/>
                    </w:rPr>
                    <w:t>要求</w:t>
                  </w:r>
                </w:p>
              </w:tc>
              <w:tc>
                <w:tcPr>
                  <w:tcW w:w="1566" w:type="dxa"/>
                </w:tcPr>
                <w:p>
                  <w:r>
                    <w:rPr>
                      <w:rFonts w:hint="eastAsia"/>
                    </w:rPr>
                    <w:t>实测结果</w:t>
                  </w:r>
                </w:p>
              </w:tc>
              <w:tc>
                <w:tcPr>
                  <w:tcW w:w="2046" w:type="dxa"/>
                </w:tcPr>
                <w:p>
                  <w:r>
                    <w:rPr>
                      <w:rFonts w:hint="eastAsia"/>
                    </w:rPr>
                    <w:t>验证结论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——</w:t>
                  </w:r>
                </w:p>
              </w:tc>
              <w:tc>
                <w:tcPr>
                  <w:tcW w:w="1620" w:type="dxa"/>
                </w:tcPr>
                <w:p>
                  <w:pPr>
                    <w:rPr>
                      <w:rFonts w:hint="eastAsia" w:eastAsia="宋体"/>
                      <w:lang w:val="en-US" w:eastAsia="zh-CN"/>
                    </w:rPr>
                  </w:pPr>
                </w:p>
              </w:tc>
              <w:tc>
                <w:tcPr>
                  <w:tcW w:w="1364" w:type="dxa"/>
                </w:tcPr>
                <w:p>
                  <w:pPr>
                    <w:rPr>
                      <w:rFonts w:hint="eastAsia" w:eastAsia="宋体"/>
                      <w:lang w:val="en-US" w:eastAsia="zh-CN"/>
                    </w:rPr>
                  </w:pPr>
                </w:p>
              </w:tc>
              <w:tc>
                <w:tcPr>
                  <w:tcW w:w="1680" w:type="dxa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</w:p>
              </w:tc>
              <w:tc>
                <w:tcPr>
                  <w:tcW w:w="1566" w:type="dxa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</w:p>
              </w:tc>
              <w:tc>
                <w:tcPr>
                  <w:tcW w:w="2046" w:type="dxa"/>
                </w:tcPr>
                <w:p>
                  <w:r>
                    <w:rPr>
                      <w:rFonts w:hint="eastAsia"/>
                      <w:color w:val="000000"/>
                      <w:szCs w:val="21"/>
                    </w:rPr>
                    <w:sym w:font="Wingdings 2" w:char="0052"/>
                  </w:r>
                  <w:r>
                    <w:rPr>
                      <w:rFonts w:hint="eastAsia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/>
              </w:tc>
              <w:tc>
                <w:tcPr>
                  <w:tcW w:w="1620" w:type="dxa"/>
                </w:tcPr>
                <w:p/>
              </w:tc>
              <w:tc>
                <w:tcPr>
                  <w:tcW w:w="1364" w:type="dxa"/>
                </w:tcPr>
                <w:p/>
              </w:tc>
              <w:tc>
                <w:tcPr>
                  <w:tcW w:w="1680" w:type="dxa"/>
                </w:tcPr>
                <w:p/>
              </w:tc>
              <w:tc>
                <w:tcPr>
                  <w:tcW w:w="1566" w:type="dxa"/>
                </w:tcPr>
                <w:p/>
              </w:tc>
              <w:tc>
                <w:tcPr>
                  <w:tcW w:w="2046" w:type="dxa"/>
                </w:tcPr>
                <w:p/>
              </w:tc>
            </w:tr>
          </w:tbl>
          <w:p/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抽取成品</w:t>
            </w:r>
            <w:r>
              <w:rPr>
                <w:rFonts w:hint="eastAsia"/>
                <w:b/>
                <w:bCs/>
                <w:highlight w:val="none"/>
              </w:rPr>
              <w:t>检验</w:t>
            </w:r>
            <w:r>
              <w:rPr>
                <w:rFonts w:hint="eastAsia"/>
                <w:highlight w:val="none"/>
              </w:rPr>
              <w:t>相关记录名称：</w:t>
            </w:r>
            <w:r>
              <w:rPr>
                <w:rFonts w:hint="eastAsia"/>
                <w:highlight w:val="none"/>
                <w:u w:val="single"/>
              </w:rPr>
              <w:t xml:space="preserve">《  </w:t>
            </w:r>
            <w:r>
              <w:rPr>
                <w:rFonts w:hint="eastAsia" w:ascii="Times New Roman" w:hAnsi="Times New Roman" w:cs="Times New Roman"/>
                <w:color w:val="0000FF"/>
                <w:u w:val="single"/>
                <w:lang w:val="en-US" w:eastAsia="zh-CN"/>
              </w:rPr>
              <w:t>配送部在初加工过程中主要以感官检验为主，感官检验合格后进行配送，主要体现在公司的《送货单》，见配送部审核记录</w:t>
            </w:r>
            <w:r>
              <w:rPr>
                <w:rFonts w:hint="eastAsia"/>
                <w:highlight w:val="none"/>
                <w:u w:val="single"/>
              </w:rPr>
              <w:t>》</w:t>
            </w:r>
          </w:p>
          <w:tbl>
            <w:tblPr>
              <w:tblStyle w:val="10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7"/>
              <w:gridCol w:w="1620"/>
              <w:gridCol w:w="1115"/>
              <w:gridCol w:w="2458"/>
              <w:gridCol w:w="1967"/>
              <w:gridCol w:w="111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日期</w:t>
                  </w:r>
                </w:p>
              </w:tc>
              <w:tc>
                <w:tcPr>
                  <w:tcW w:w="1620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成品名称/批次</w:t>
                  </w:r>
                </w:p>
              </w:tc>
              <w:tc>
                <w:tcPr>
                  <w:tcW w:w="1115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抽样比例</w:t>
                  </w:r>
                </w:p>
              </w:tc>
              <w:tc>
                <w:tcPr>
                  <w:tcW w:w="2458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b/>
                      <w:bCs/>
                      <w:highlight w:val="none"/>
                    </w:rPr>
                    <w:t>关键特性</w:t>
                  </w:r>
                  <w:r>
                    <w:rPr>
                      <w:rFonts w:hint="eastAsia"/>
                      <w:highlight w:val="none"/>
                    </w:rPr>
                    <w:t>要求</w:t>
                  </w:r>
                </w:p>
              </w:tc>
              <w:tc>
                <w:tcPr>
                  <w:tcW w:w="1967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实测结果</w:t>
                  </w:r>
                </w:p>
              </w:tc>
              <w:tc>
                <w:tcPr>
                  <w:tcW w:w="1116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验证结论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1620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1115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2458" w:type="dxa"/>
                </w:tcPr>
                <w:p>
                  <w:pPr>
                    <w:pStyle w:val="12"/>
                    <w:rPr>
                      <w:rFonts w:hint="default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1967" w:type="dxa"/>
                </w:tcPr>
                <w:p>
                  <w:pPr>
                    <w:pStyle w:val="12"/>
                    <w:rPr>
                      <w:rFonts w:hint="default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1116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sym w:font="Wingdings 2" w:char="0052"/>
                  </w:r>
                  <w:r>
                    <w:rPr>
                      <w:rFonts w:hint="eastAsia"/>
                      <w:highlight w:val="none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sym w:font="Wingdings 2" w:char="00A3"/>
                  </w:r>
                  <w:r>
                    <w:rPr>
                      <w:rFonts w:hint="eastAsia"/>
                      <w:highlight w:val="none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pPr>
                    <w:rPr>
                      <w:rFonts w:hint="eastAsia"/>
                      <w:highlight w:val="yellow"/>
                      <w:lang w:val="en-US" w:eastAsia="zh-CN"/>
                    </w:rPr>
                  </w:pPr>
                </w:p>
              </w:tc>
              <w:tc>
                <w:tcPr>
                  <w:tcW w:w="1620" w:type="dxa"/>
                </w:tcPr>
                <w:p>
                  <w:pPr>
                    <w:rPr>
                      <w:rFonts w:hint="eastAsia"/>
                      <w:highlight w:val="yellow"/>
                      <w:lang w:val="en-US" w:eastAsia="zh-CN"/>
                    </w:rPr>
                  </w:pPr>
                </w:p>
              </w:tc>
              <w:tc>
                <w:tcPr>
                  <w:tcW w:w="1115" w:type="dxa"/>
                </w:tcPr>
                <w:p>
                  <w:pPr>
                    <w:rPr>
                      <w:rFonts w:hint="eastAsia"/>
                      <w:highlight w:val="yellow"/>
                      <w:lang w:val="en-US" w:eastAsia="zh-CN"/>
                    </w:rPr>
                  </w:pPr>
                </w:p>
              </w:tc>
              <w:tc>
                <w:tcPr>
                  <w:tcW w:w="2458" w:type="dxa"/>
                </w:tcPr>
                <w:p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1967" w:type="dxa"/>
                </w:tcPr>
                <w:p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1116" w:type="dxa"/>
                </w:tcPr>
                <w:p>
                  <w:pPr>
                    <w:rPr>
                      <w:highlight w:val="yellow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pPr>
                    <w:rPr>
                      <w:rFonts w:hint="eastAsia"/>
                      <w:highlight w:val="yellow"/>
                      <w:lang w:val="en-US" w:eastAsia="zh-CN"/>
                    </w:rPr>
                  </w:pPr>
                </w:p>
              </w:tc>
              <w:tc>
                <w:tcPr>
                  <w:tcW w:w="1620" w:type="dxa"/>
                </w:tcPr>
                <w:p>
                  <w:pPr>
                    <w:rPr>
                      <w:rFonts w:hint="eastAsia"/>
                      <w:highlight w:val="yellow"/>
                      <w:lang w:val="en-US" w:eastAsia="zh-CN"/>
                    </w:rPr>
                  </w:pPr>
                </w:p>
              </w:tc>
              <w:tc>
                <w:tcPr>
                  <w:tcW w:w="1115" w:type="dxa"/>
                </w:tcPr>
                <w:p>
                  <w:pPr>
                    <w:rPr>
                      <w:rFonts w:hint="eastAsia"/>
                      <w:highlight w:val="yellow"/>
                      <w:lang w:val="en-US" w:eastAsia="zh-CN"/>
                    </w:rPr>
                  </w:pPr>
                </w:p>
              </w:tc>
              <w:tc>
                <w:tcPr>
                  <w:tcW w:w="2458" w:type="dxa"/>
                </w:tcPr>
                <w:p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1967" w:type="dxa"/>
                </w:tcPr>
                <w:p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1116" w:type="dxa"/>
                </w:tcPr>
                <w:p>
                  <w:pPr>
                    <w:rPr>
                      <w:highlight w:val="yellow"/>
                    </w:rPr>
                  </w:pPr>
                </w:p>
              </w:tc>
            </w:tr>
          </w:tbl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产品留样：提供有产品留样记录，随机抽取：</w:t>
            </w:r>
          </w:p>
          <w:tbl>
            <w:tblPr>
              <w:tblStyle w:val="10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96"/>
              <w:gridCol w:w="1521"/>
              <w:gridCol w:w="1304"/>
              <w:gridCol w:w="1640"/>
              <w:gridCol w:w="1471"/>
              <w:gridCol w:w="191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96" w:type="dxa"/>
                </w:tcPr>
                <w:p>
                  <w:r>
                    <w:rPr>
                      <w:rFonts w:hint="eastAsia"/>
                    </w:rPr>
                    <w:t>日期</w:t>
                  </w:r>
                </w:p>
              </w:tc>
              <w:tc>
                <w:tcPr>
                  <w:tcW w:w="1521" w:type="dxa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产品名称</w:t>
                  </w:r>
                </w:p>
              </w:tc>
              <w:tc>
                <w:tcPr>
                  <w:tcW w:w="1304" w:type="dxa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留样量/g</w:t>
                  </w:r>
                </w:p>
              </w:tc>
              <w:tc>
                <w:tcPr>
                  <w:tcW w:w="1640" w:type="dxa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解样时间</w:t>
                  </w:r>
                </w:p>
              </w:tc>
              <w:tc>
                <w:tcPr>
                  <w:tcW w:w="1471" w:type="dxa"/>
                </w:tcPr>
                <w:p>
                  <w:pPr>
                    <w:rPr>
                      <w:rFonts w:hint="eastAsia" w:eastAsia="宋体"/>
                      <w:lang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留样人</w:t>
                  </w:r>
                </w:p>
              </w:tc>
              <w:tc>
                <w:tcPr>
                  <w:tcW w:w="1911" w:type="dxa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存放条件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96" w:type="dxa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2022-06-10</w:t>
                  </w:r>
                </w:p>
              </w:tc>
              <w:tc>
                <w:tcPr>
                  <w:tcW w:w="1521" w:type="dxa"/>
                </w:tcPr>
                <w:p>
                  <w:pPr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腿肉</w:t>
                  </w:r>
                </w:p>
                <w:p>
                  <w:pPr>
                    <w:pStyle w:val="2"/>
                    <w:ind w:left="0" w:leftChars="0" w:firstLine="0" w:firstLineChars="0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纯精肉</w:t>
                  </w:r>
                </w:p>
                <w:p>
                  <w:pPr>
                    <w:pStyle w:val="2"/>
                    <w:ind w:left="0" w:leftChars="0" w:firstLine="0" w:firstLineChars="0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排骨</w:t>
                  </w:r>
                </w:p>
              </w:tc>
              <w:tc>
                <w:tcPr>
                  <w:tcW w:w="1304" w:type="dxa"/>
                </w:tcPr>
                <w:p>
                  <w:pPr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254g</w:t>
                  </w:r>
                </w:p>
                <w:p>
                  <w:pPr>
                    <w:pStyle w:val="2"/>
                    <w:ind w:left="0" w:leftChars="0" w:firstLine="0" w:firstLineChars="0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255g</w:t>
                  </w:r>
                </w:p>
                <w:p>
                  <w:pPr>
                    <w:pStyle w:val="2"/>
                    <w:ind w:left="0" w:leftChars="0" w:firstLine="0" w:firstLineChars="0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254g</w:t>
                  </w:r>
                </w:p>
              </w:tc>
              <w:tc>
                <w:tcPr>
                  <w:tcW w:w="1640" w:type="dxa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2022-06-13</w:t>
                  </w:r>
                </w:p>
              </w:tc>
              <w:tc>
                <w:tcPr>
                  <w:tcW w:w="1471" w:type="dxa"/>
                </w:tcPr>
                <w:p>
                  <w:pPr>
                    <w:rPr>
                      <w:rFonts w:hint="eastAsia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吴凯磊</w:t>
                  </w:r>
                </w:p>
              </w:tc>
              <w:tc>
                <w:tcPr>
                  <w:tcW w:w="1911" w:type="dxa"/>
                </w:tcPr>
                <w:p>
                  <w:pPr>
                    <w:rPr>
                      <w:rFonts w:hint="eastAsia" w:eastAsia="宋体"/>
                      <w:lang w:eastAsia="zh-CN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lang w:val="en-US" w:eastAsia="zh-CN"/>
                    </w:rPr>
                    <w:t>冷藏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96" w:type="dxa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2022-06-02</w:t>
                  </w:r>
                </w:p>
              </w:tc>
              <w:tc>
                <w:tcPr>
                  <w:tcW w:w="1521" w:type="dxa"/>
                </w:tcPr>
                <w:p>
                  <w:pPr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荔枝</w:t>
                  </w:r>
                </w:p>
                <w:p>
                  <w:pPr>
                    <w:pStyle w:val="2"/>
                    <w:ind w:left="0" w:leftChars="0" w:firstLine="0" w:firstLineChars="0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千禧小柿子</w:t>
                  </w:r>
                </w:p>
                <w:p>
                  <w:pPr>
                    <w:pStyle w:val="2"/>
                    <w:ind w:left="0" w:leftChars="0" w:firstLine="0" w:firstLineChars="0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橙子</w:t>
                  </w:r>
                </w:p>
                <w:p>
                  <w:pPr>
                    <w:pStyle w:val="2"/>
                    <w:ind w:left="0" w:leftChars="0" w:firstLine="0" w:firstLineChars="0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韭黄</w:t>
                  </w:r>
                </w:p>
                <w:p>
                  <w:pPr>
                    <w:pStyle w:val="2"/>
                    <w:ind w:left="0" w:leftChars="0" w:firstLine="0" w:firstLineChars="0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小米椒</w:t>
                  </w:r>
                </w:p>
              </w:tc>
              <w:tc>
                <w:tcPr>
                  <w:tcW w:w="1304" w:type="dxa"/>
                </w:tcPr>
                <w:p>
                  <w:pPr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200g</w:t>
                  </w:r>
                </w:p>
                <w:p>
                  <w:pPr>
                    <w:pStyle w:val="2"/>
                    <w:ind w:left="0" w:leftChars="0" w:firstLine="0" w:firstLineChars="0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203g</w:t>
                  </w:r>
                </w:p>
                <w:p>
                  <w:pPr>
                    <w:pStyle w:val="2"/>
                    <w:ind w:left="0" w:leftChars="0" w:firstLine="0" w:firstLineChars="0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201g</w:t>
                  </w:r>
                </w:p>
                <w:p>
                  <w:pPr>
                    <w:pStyle w:val="2"/>
                    <w:ind w:left="0" w:leftChars="0" w:firstLine="0" w:firstLineChars="0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264g</w:t>
                  </w:r>
                </w:p>
                <w:p>
                  <w:pPr>
                    <w:pStyle w:val="2"/>
                    <w:ind w:left="0" w:leftChars="0" w:firstLine="0" w:firstLineChars="0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201g</w:t>
                  </w:r>
                </w:p>
              </w:tc>
              <w:tc>
                <w:tcPr>
                  <w:tcW w:w="1640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2022-06-05</w:t>
                  </w:r>
                </w:p>
              </w:tc>
              <w:tc>
                <w:tcPr>
                  <w:tcW w:w="1471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吴凯磊</w:t>
                  </w:r>
                </w:p>
              </w:tc>
              <w:tc>
                <w:tcPr>
                  <w:tcW w:w="1911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lang w:val="en-US" w:eastAsia="zh-CN"/>
                    </w:rPr>
                    <w:t>冷藏</w:t>
                  </w:r>
                </w:p>
              </w:tc>
            </w:tr>
          </w:tbl>
          <w:p>
            <w:pPr>
              <w:pStyle w:val="12"/>
            </w:pPr>
          </w:p>
          <w:p>
            <w:pPr>
              <w:pStyle w:val="12"/>
            </w:pPr>
          </w:p>
          <w:p>
            <w:r>
              <w:rPr>
                <w:rFonts w:hint="eastAsia"/>
              </w:rPr>
              <w:t>抽取服务放行相关记录名称：</w:t>
            </w:r>
            <w:r>
              <w:rPr>
                <w:rFonts w:hint="eastAsia"/>
                <w:u w:val="single"/>
              </w:rPr>
              <w:t xml:space="preserve">《    </w:t>
            </w:r>
            <w:r>
              <w:rPr>
                <w:rFonts w:hint="eastAsia"/>
                <w:u w:val="single"/>
                <w:lang w:eastAsia="zh-CN"/>
              </w:rPr>
              <w:t>——</w:t>
            </w:r>
            <w:r>
              <w:rPr>
                <w:rFonts w:hint="eastAsia"/>
                <w:u w:val="single"/>
              </w:rPr>
              <w:t xml:space="preserve">     》</w:t>
            </w:r>
          </w:p>
          <w:tbl>
            <w:tblPr>
              <w:tblStyle w:val="10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7"/>
              <w:gridCol w:w="1620"/>
              <w:gridCol w:w="1364"/>
              <w:gridCol w:w="1680"/>
              <w:gridCol w:w="1566"/>
              <w:gridCol w:w="204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r>
                    <w:rPr>
                      <w:rFonts w:hint="eastAsia"/>
                    </w:rPr>
                    <w:t>日期</w:t>
                  </w:r>
                </w:p>
              </w:tc>
              <w:tc>
                <w:tcPr>
                  <w:tcW w:w="1620" w:type="dxa"/>
                </w:tcPr>
                <w:p>
                  <w:r>
                    <w:rPr>
                      <w:rFonts w:hint="eastAsia"/>
                    </w:rPr>
                    <w:t>岗位</w:t>
                  </w:r>
                </w:p>
              </w:tc>
              <w:tc>
                <w:tcPr>
                  <w:tcW w:w="1364" w:type="dxa"/>
                </w:tcPr>
                <w:p>
                  <w:r>
                    <w:rPr>
                      <w:rFonts w:hint="eastAsia"/>
                    </w:rPr>
                    <w:t>抽样比例</w:t>
                  </w:r>
                </w:p>
              </w:tc>
              <w:tc>
                <w:tcPr>
                  <w:tcW w:w="1680" w:type="dxa"/>
                </w:tcPr>
                <w:p>
                  <w:r>
                    <w:rPr>
                      <w:rFonts w:hint="eastAsia"/>
                      <w:b/>
                      <w:bCs/>
                    </w:rPr>
                    <w:t>服务规范</w:t>
                  </w:r>
                  <w:r>
                    <w:rPr>
                      <w:rFonts w:hint="eastAsia"/>
                    </w:rPr>
                    <w:t>要求</w:t>
                  </w:r>
                </w:p>
              </w:tc>
              <w:tc>
                <w:tcPr>
                  <w:tcW w:w="1566" w:type="dxa"/>
                </w:tcPr>
                <w:p>
                  <w:r>
                    <w:rPr>
                      <w:rFonts w:hint="eastAsia"/>
                    </w:rPr>
                    <w:t>检查结果</w:t>
                  </w:r>
                </w:p>
              </w:tc>
              <w:tc>
                <w:tcPr>
                  <w:tcW w:w="2046" w:type="dxa"/>
                </w:tcPr>
                <w:p>
                  <w:r>
                    <w:rPr>
                      <w:rFonts w:hint="eastAsia"/>
                    </w:rPr>
                    <w:t>验证结论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/>
              </w:tc>
              <w:tc>
                <w:tcPr>
                  <w:tcW w:w="1620" w:type="dxa"/>
                </w:tcPr>
                <w:p/>
              </w:tc>
              <w:tc>
                <w:tcPr>
                  <w:tcW w:w="1364" w:type="dxa"/>
                </w:tcPr>
                <w:p/>
              </w:tc>
              <w:tc>
                <w:tcPr>
                  <w:tcW w:w="1680" w:type="dxa"/>
                </w:tcPr>
                <w:p/>
              </w:tc>
              <w:tc>
                <w:tcPr>
                  <w:tcW w:w="1566" w:type="dxa"/>
                </w:tcPr>
                <w:p/>
              </w:tc>
              <w:tc>
                <w:tcPr>
                  <w:tcW w:w="2046" w:type="dxa"/>
                </w:tcPr>
                <w:p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/>
              </w:tc>
              <w:tc>
                <w:tcPr>
                  <w:tcW w:w="1620" w:type="dxa"/>
                </w:tcPr>
                <w:p/>
              </w:tc>
              <w:tc>
                <w:tcPr>
                  <w:tcW w:w="1364" w:type="dxa"/>
                </w:tcPr>
                <w:p/>
              </w:tc>
              <w:tc>
                <w:tcPr>
                  <w:tcW w:w="1680" w:type="dxa"/>
                </w:tcPr>
                <w:p/>
              </w:tc>
              <w:tc>
                <w:tcPr>
                  <w:tcW w:w="1566" w:type="dxa"/>
                </w:tcPr>
                <w:p/>
              </w:tc>
              <w:tc>
                <w:tcPr>
                  <w:tcW w:w="2046" w:type="dxa"/>
                </w:tcPr>
                <w:p/>
              </w:tc>
            </w:tr>
          </w:tbl>
          <w:p>
            <w:pPr>
              <w:rPr>
                <w:rFonts w:hint="default" w:eastAsia="宋体"/>
                <w:color w:val="558ED5" w:themeColor="text2" w:themeTint="99"/>
                <w:u w:val="single"/>
                <w:lang w:val="en-US" w:eastAsia="zh-CN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FF"/>
                <w:u w:val="single"/>
                <w:lang w:val="en-US" w:eastAsia="zh-CN"/>
              </w:rPr>
              <w:t>服务放行主要在客户现场完成、配送员将货物卸货至客户指定区域、客户签收即为服务完成。</w:t>
            </w:r>
          </w:p>
          <w:p>
            <w:pPr>
              <w:pStyle w:val="12"/>
            </w:pPr>
          </w:p>
          <w:p>
            <w:pPr>
              <w:pStyle w:val="12"/>
            </w:pPr>
          </w:p>
          <w:p>
            <w:r>
              <w:rPr>
                <w:rFonts w:hint="eastAsia"/>
              </w:rPr>
              <w:t>抽取成品例外（</w:t>
            </w:r>
            <w:r>
              <w:t>在策划的安排已圆满完成之前</w:t>
            </w:r>
            <w:r>
              <w:rPr>
                <w:rFonts w:hint="eastAsia"/>
              </w:rPr>
              <w:t>）放行相关记录：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</w:rPr>
              <w:t xml:space="preserve">已放生 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</w:rPr>
              <w:t>未发生</w:t>
            </w:r>
          </w:p>
          <w:tbl>
            <w:tblPr>
              <w:tblStyle w:val="10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7"/>
              <w:gridCol w:w="1176"/>
              <w:gridCol w:w="2714"/>
              <w:gridCol w:w="1237"/>
              <w:gridCol w:w="1329"/>
              <w:gridCol w:w="182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r>
                    <w:rPr>
                      <w:rFonts w:hint="eastAsia"/>
                    </w:rPr>
                    <w:t>日期</w:t>
                  </w:r>
                </w:p>
              </w:tc>
              <w:tc>
                <w:tcPr>
                  <w:tcW w:w="1176" w:type="dxa"/>
                </w:tcPr>
                <w:p>
                  <w:r>
                    <w:rPr>
                      <w:rFonts w:hint="eastAsia"/>
                    </w:rPr>
                    <w:t>成品名称/批次</w:t>
                  </w:r>
                </w:p>
              </w:tc>
              <w:tc>
                <w:tcPr>
                  <w:tcW w:w="2714" w:type="dxa"/>
                </w:tcPr>
                <w:p>
                  <w:r>
                    <w:rPr>
                      <w:rFonts w:hint="eastAsia"/>
                    </w:rPr>
                    <w:t>放行理由</w:t>
                  </w:r>
                </w:p>
              </w:tc>
              <w:tc>
                <w:tcPr>
                  <w:tcW w:w="1237" w:type="dxa"/>
                </w:tcPr>
                <w:p>
                  <w:r>
                    <w:t>授权人员的批准</w:t>
                  </w:r>
                </w:p>
              </w:tc>
              <w:tc>
                <w:tcPr>
                  <w:tcW w:w="1329" w:type="dxa"/>
                </w:tcPr>
                <w:p>
                  <w:r>
                    <w:t>顾客的批准</w:t>
                  </w:r>
                </w:p>
              </w:tc>
              <w:tc>
                <w:tcPr>
                  <w:tcW w:w="1820" w:type="dxa"/>
                </w:tcPr>
                <w:p>
                  <w:r>
                    <w:rPr>
                      <w:rFonts w:hint="eastAsia"/>
                    </w:rPr>
                    <w:t>后续结论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pPr>
                    <w:rPr>
                      <w:rFonts w:hint="eastAsia" w:eastAsia="宋体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——</w:t>
                  </w:r>
                </w:p>
              </w:tc>
              <w:tc>
                <w:tcPr>
                  <w:tcW w:w="1176" w:type="dxa"/>
                </w:tcPr>
                <w:p/>
              </w:tc>
              <w:tc>
                <w:tcPr>
                  <w:tcW w:w="2714" w:type="dxa"/>
                </w:tcPr>
                <w:p/>
              </w:tc>
              <w:tc>
                <w:tcPr>
                  <w:tcW w:w="1237" w:type="dxa"/>
                </w:tcPr>
                <w:p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是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否</w:t>
                  </w:r>
                </w:p>
              </w:tc>
              <w:tc>
                <w:tcPr>
                  <w:tcW w:w="1329" w:type="dxa"/>
                </w:tcPr>
                <w:p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是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否</w:t>
                  </w:r>
                </w:p>
              </w:tc>
              <w:tc>
                <w:tcPr>
                  <w:tcW w:w="1820" w:type="dxa"/>
                </w:tcPr>
                <w:p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/>
              </w:tc>
              <w:tc>
                <w:tcPr>
                  <w:tcW w:w="1176" w:type="dxa"/>
                </w:tcPr>
                <w:p/>
              </w:tc>
              <w:tc>
                <w:tcPr>
                  <w:tcW w:w="2714" w:type="dxa"/>
                </w:tcPr>
                <w:p/>
              </w:tc>
              <w:tc>
                <w:tcPr>
                  <w:tcW w:w="1237" w:type="dxa"/>
                </w:tcPr>
                <w:p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是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否</w:t>
                  </w:r>
                </w:p>
              </w:tc>
              <w:tc>
                <w:tcPr>
                  <w:tcW w:w="1329" w:type="dxa"/>
                </w:tcPr>
                <w:p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是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否</w:t>
                  </w:r>
                </w:p>
              </w:tc>
              <w:tc>
                <w:tcPr>
                  <w:tcW w:w="1820" w:type="dxa"/>
                </w:tcPr>
                <w:p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不合格</w:t>
                  </w:r>
                </w:p>
              </w:tc>
            </w:tr>
          </w:tbl>
          <w:p/>
          <w:p>
            <w:r>
              <w:rPr>
                <w:rFonts w:hint="eastAsia"/>
              </w:rPr>
              <w:t>上述成品/服务放行的人员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</w:rPr>
              <w:t xml:space="preserve">与公司授权一致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</w:rPr>
              <w:t>与公司授权存在不一致</w:t>
            </w:r>
          </w:p>
          <w:p/>
        </w:tc>
        <w:tc>
          <w:tcPr>
            <w:tcW w:w="1063" w:type="dxa"/>
            <w:shd w:val="clear" w:color="auto" w:fill="auto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>符合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不符合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659" w:type="dxa"/>
            <w:vMerge w:val="restart"/>
          </w:tcPr>
          <w:p>
            <w:r>
              <w:rPr>
                <w:rFonts w:hint="eastAsia"/>
              </w:rPr>
              <w:t>CCP的监控</w:t>
            </w:r>
          </w:p>
        </w:tc>
        <w:tc>
          <w:tcPr>
            <w:tcW w:w="1000" w:type="dxa"/>
            <w:vMerge w:val="restart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H(V1.0)</w:t>
            </w:r>
          </w:p>
          <w:p>
            <w:r>
              <w:rPr>
                <w:rFonts w:hint="eastAsia"/>
              </w:rPr>
              <w:t xml:space="preserve">4.3.4.3  </w:t>
            </w:r>
          </w:p>
          <w:p/>
        </w:tc>
        <w:tc>
          <w:tcPr>
            <w:tcW w:w="663" w:type="dxa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10324" w:type="dxa"/>
          </w:tcPr>
          <w:p>
            <w:r>
              <w:rPr>
                <w:rFonts w:hint="eastAsia"/>
                <w:color w:val="0000FF"/>
              </w:rPr>
              <w:sym w:font="Wingdings" w:char="00FE"/>
            </w:r>
            <w:r>
              <w:rPr>
                <w:rFonts w:hint="eastAsia"/>
              </w:rPr>
              <w:t>《HACCP计划》、</w:t>
            </w:r>
          </w:p>
        </w:tc>
        <w:tc>
          <w:tcPr>
            <w:tcW w:w="1063" w:type="dxa"/>
            <w:vMerge w:val="restart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>符合</w:t>
            </w:r>
          </w:p>
          <w:p>
            <w:pPr>
              <w:pStyle w:val="12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659" w:type="dxa"/>
            <w:vMerge w:val="continue"/>
          </w:tcPr>
          <w:p/>
        </w:tc>
        <w:tc>
          <w:tcPr>
            <w:tcW w:w="1000" w:type="dxa"/>
            <w:vMerge w:val="continue"/>
          </w:tcPr>
          <w:p/>
        </w:tc>
        <w:tc>
          <w:tcPr>
            <w:tcW w:w="663" w:type="dxa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10324" w:type="dxa"/>
          </w:tcPr>
          <w:p>
            <w:pPr>
              <w:pStyle w:val="4"/>
              <w:spacing w:line="240" w:lineRule="auto"/>
              <w:rPr>
                <w:rFonts w:ascii="Times New Roman" w:hAnsi="Times New Roman" w:eastAsia="宋体"/>
                <w:sz w:val="21"/>
              </w:rPr>
            </w:pPr>
            <w:r>
              <w:rPr>
                <w:rFonts w:hint="eastAsia" w:ascii="Times New Roman" w:hAnsi="Times New Roman" w:eastAsia="宋体"/>
                <w:sz w:val="21"/>
              </w:rPr>
              <w:t>应针对每个</w:t>
            </w:r>
            <w:r>
              <w:rPr>
                <w:rFonts w:ascii="Times New Roman" w:hAnsi="Times New Roman" w:eastAsia="宋体"/>
                <w:sz w:val="21"/>
              </w:rPr>
              <w:t>CCP</w:t>
            </w:r>
            <w:r>
              <w:rPr>
                <w:rFonts w:hint="eastAsia" w:ascii="Times New Roman" w:hAnsi="Times New Roman" w:eastAsia="宋体"/>
                <w:sz w:val="21"/>
              </w:rPr>
              <w:t>制定并实施有效的监控措施，保证C</w:t>
            </w:r>
            <w:r>
              <w:rPr>
                <w:rFonts w:ascii="Times New Roman" w:hAnsi="Times New Roman" w:eastAsia="宋体"/>
                <w:sz w:val="21"/>
              </w:rPr>
              <w:t>CP</w:t>
            </w:r>
            <w:r>
              <w:rPr>
                <w:rFonts w:hint="eastAsia" w:ascii="Times New Roman" w:hAnsi="Times New Roman" w:eastAsia="宋体"/>
                <w:sz w:val="21"/>
              </w:rPr>
              <w:t>处于受控状态；监控措施应包括监控对象/监控方法/监控频率/监控人员。</w:t>
            </w:r>
          </w:p>
          <w:p>
            <w:r>
              <w:rPr>
                <w:rFonts w:hint="eastAsia"/>
              </w:rPr>
              <w:t>监控方法应准确及时；</w:t>
            </w:r>
          </w:p>
          <w:p>
            <w:r>
              <w:rPr>
                <w:rFonts w:hint="eastAsia"/>
              </w:rPr>
              <w:t>监控频率一般应实施连续监控，若采用非连续监控时，其频次应能保证C</w:t>
            </w:r>
            <w:r>
              <w:t>CP</w:t>
            </w:r>
            <w:r>
              <w:rPr>
                <w:rFonts w:hint="eastAsia"/>
              </w:rPr>
              <w:t>受控的需要；</w:t>
            </w:r>
          </w:p>
          <w:p>
            <w:pPr>
              <w:rPr>
                <w:rFonts w:hint="eastAsia"/>
                <w:highlight w:val="yellow"/>
              </w:rPr>
            </w:pPr>
            <w:r>
              <w:rPr>
                <w:rFonts w:hint="eastAsia"/>
              </w:rPr>
              <w:t>监控人员应接受适当的培训，理解监控的目的和重要性，熟悉监控操作并及时准确地记录和报告监控结果。</w:t>
            </w:r>
          </w:p>
          <w:tbl>
            <w:tblPr>
              <w:tblStyle w:val="9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57" w:type="dxa"/>
                <w:bottom w:w="0" w:type="dxa"/>
                <w:right w:w="57" w:type="dxa"/>
              </w:tblCellMar>
            </w:tblPr>
            <w:tblGrid>
              <w:gridCol w:w="667"/>
              <w:gridCol w:w="658"/>
              <w:gridCol w:w="1323"/>
              <w:gridCol w:w="1051"/>
              <w:gridCol w:w="390"/>
              <w:gridCol w:w="390"/>
              <w:gridCol w:w="1125"/>
              <w:gridCol w:w="4063"/>
              <w:gridCol w:w="35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446" w:hRule="atLeast"/>
                <w:tblHeader/>
              </w:trPr>
              <w:tc>
                <w:tcPr>
                  <w:tcW w:w="0" w:type="auto"/>
                  <w:vAlign w:val="top"/>
                </w:tcPr>
                <w:p>
                  <w:pPr>
                    <w:pStyle w:val="19"/>
                    <w:jc w:val="both"/>
                    <w:rPr>
                      <w:highlight w:val="none"/>
                      <w:lang w:eastAsia="zh-CN"/>
                    </w:rPr>
                  </w:pPr>
                  <w:r>
                    <w:rPr>
                      <w:rFonts w:hint="eastAsia"/>
                      <w:highlight w:val="none"/>
                      <w:lang w:eastAsia="zh-CN"/>
                    </w:rPr>
                    <w:t>序号</w:t>
                  </w:r>
                </w:p>
              </w:tc>
              <w:tc>
                <w:tcPr>
                  <w:tcW w:w="0" w:type="auto"/>
                  <w:gridSpan w:val="5"/>
                  <w:vAlign w:val="top"/>
                </w:tcPr>
                <w:p>
                  <w:pPr>
                    <w:pStyle w:val="19"/>
                    <w:rPr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eastAsia="zh-CN"/>
                    </w:rPr>
                    <w:t>监控措施</w:t>
                  </w:r>
                </w:p>
              </w:tc>
              <w:tc>
                <w:tcPr>
                  <w:tcW w:w="0" w:type="auto"/>
                  <w:vMerge w:val="restart"/>
                  <w:vAlign w:val="top"/>
                </w:tcPr>
                <w:p>
                  <w:pPr>
                    <w:pStyle w:val="19"/>
                    <w:jc w:val="both"/>
                    <w:rPr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相关记录名称</w:t>
                  </w:r>
                </w:p>
              </w:tc>
              <w:tc>
                <w:tcPr>
                  <w:tcW w:w="0" w:type="auto"/>
                  <w:vMerge w:val="restart"/>
                  <w:vAlign w:val="top"/>
                </w:tcPr>
                <w:p>
                  <w:pPr>
                    <w:pStyle w:val="19"/>
                    <w:jc w:val="both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现场情况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pStyle w:val="19"/>
                    <w:jc w:val="both"/>
                    <w:rPr>
                      <w:rFonts w:hint="eastAsia"/>
                      <w:highlight w:val="no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446" w:hRule="atLeast"/>
                <w:tblHeader/>
              </w:trPr>
              <w:tc>
                <w:tcPr>
                  <w:tcW w:w="0" w:type="auto"/>
                  <w:vAlign w:val="top"/>
                </w:tcPr>
                <w:p>
                  <w:pPr>
                    <w:pStyle w:val="19"/>
                    <w:rPr>
                      <w:highlight w:val="none"/>
                      <w:lang w:eastAsia="zh-CN"/>
                    </w:rPr>
                  </w:pPr>
                  <w:r>
                    <w:rPr>
                      <w:rFonts w:hint="eastAsia"/>
                      <w:highlight w:val="none"/>
                      <w:lang w:eastAsia="zh-CN"/>
                    </w:rPr>
                    <w:t>C</w:t>
                  </w:r>
                  <w:r>
                    <w:rPr>
                      <w:highlight w:val="none"/>
                      <w:lang w:eastAsia="zh-CN"/>
                    </w:rPr>
                    <w:t>CP</w:t>
                  </w:r>
                  <w:r>
                    <w:rPr>
                      <w:rFonts w:hint="eastAsia"/>
                      <w:highlight w:val="none"/>
                      <w:lang w:eastAsia="zh-CN"/>
                    </w:rPr>
                    <w:t>点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pStyle w:val="19"/>
                    <w:rPr>
                      <w:highlight w:val="none"/>
                      <w:lang w:eastAsia="zh-CN"/>
                    </w:rPr>
                  </w:pPr>
                  <w:r>
                    <w:rPr>
                      <w:rFonts w:hint="eastAsia"/>
                      <w:highlight w:val="none"/>
                      <w:lang w:eastAsia="zh-CN"/>
                    </w:rPr>
                    <w:t>监控对象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pStyle w:val="19"/>
                    <w:rPr>
                      <w:highlight w:val="none"/>
                      <w:lang w:val="en-US" w:eastAsia="zh-CN"/>
                    </w:rPr>
                  </w:pPr>
                  <w:r>
                    <w:rPr>
                      <w:highlight w:val="none"/>
                      <w:lang w:eastAsia="zh-CN"/>
                    </w:rPr>
                    <w:t>CL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pStyle w:val="19"/>
                    <w:rPr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监控方法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pStyle w:val="19"/>
                    <w:rPr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监控频率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pStyle w:val="19"/>
                    <w:rPr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监控人员</w:t>
                  </w:r>
                </w:p>
              </w:tc>
              <w:tc>
                <w:tcPr>
                  <w:tcW w:w="0" w:type="auto"/>
                  <w:vMerge w:val="continue"/>
                  <w:vAlign w:val="top"/>
                </w:tcPr>
                <w:p>
                  <w:pPr>
                    <w:pStyle w:val="19"/>
                    <w:jc w:val="both"/>
                    <w:rPr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top"/>
                </w:tcPr>
                <w:p>
                  <w:pPr>
                    <w:pStyle w:val="19"/>
                    <w:jc w:val="both"/>
                    <w:rPr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pStyle w:val="19"/>
                    <w:jc w:val="both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结论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1962" w:hRule="atLeast"/>
              </w:trPr>
              <w:tc>
                <w:tcPr>
                  <w:tcW w:w="0" w:type="auto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jc w:val="center"/>
                    <w:rPr>
                      <w:rFonts w:hint="default" w:eastAsia="宋体"/>
                      <w:color w:val="0000FF"/>
                      <w:sz w:val="18"/>
                      <w:szCs w:val="18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0000FF"/>
                      <w:sz w:val="18"/>
                      <w:szCs w:val="18"/>
                      <w:highlight w:val="none"/>
                    </w:rPr>
                    <w:t>CCP1</w:t>
                  </w:r>
                  <w:r>
                    <w:rPr>
                      <w:rFonts w:hint="eastAsia"/>
                      <w:color w:val="0000FF"/>
                      <w:sz w:val="18"/>
                      <w:szCs w:val="18"/>
                      <w:highlight w:val="none"/>
                      <w:lang w:val="en-US" w:eastAsia="zh-CN"/>
                    </w:rPr>
                    <w:t>果蔬验收</w:t>
                  </w:r>
                </w:p>
              </w:tc>
              <w:tc>
                <w:tcPr>
                  <w:tcW w:w="0" w:type="auto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jc w:val="left"/>
                    <w:rPr>
                      <w:rFonts w:hint="default" w:eastAsia="宋体"/>
                      <w:color w:val="0000FF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0000FF"/>
                      <w:highlight w:val="none"/>
                      <w:lang w:val="en-US" w:eastAsia="zh-CN"/>
                    </w:rPr>
                    <w:t>速测仪的抑制率指标/合格证明</w:t>
                  </w:r>
                </w:p>
              </w:tc>
              <w:tc>
                <w:tcPr>
                  <w:tcW w:w="0" w:type="auto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jc w:val="left"/>
                    <w:rPr>
                      <w:color w:val="0000FF"/>
                      <w:highlight w:val="none"/>
                    </w:rPr>
                  </w:pPr>
                  <w:r>
                    <w:rPr>
                      <w:rFonts w:hint="eastAsia"/>
                      <w:color w:val="0000FF"/>
                      <w:highlight w:val="none"/>
                      <w:u w:val="single"/>
                      <w:lang w:val="en-US" w:eastAsia="zh-CN"/>
                    </w:rPr>
                    <w:t xml:space="preserve">农残抑制率＜50%或索取合格供应商的农残检测报告/符合要求的合格证明 </w:t>
                  </w:r>
                </w:p>
              </w:tc>
              <w:tc>
                <w:tcPr>
                  <w:tcW w:w="0" w:type="auto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jc w:val="left"/>
                    <w:rPr>
                      <w:rFonts w:hint="default" w:eastAsia="宋体"/>
                      <w:color w:val="0000FF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0000FF"/>
                      <w:highlight w:val="none"/>
                      <w:lang w:val="en-US" w:eastAsia="zh-CN"/>
                    </w:rPr>
                    <w:t>查客户提供的“合格证明检测报告”或自测农残</w:t>
                  </w:r>
                </w:p>
              </w:tc>
              <w:tc>
                <w:tcPr>
                  <w:tcW w:w="0" w:type="auto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jc w:val="left"/>
                    <w:rPr>
                      <w:rFonts w:hint="default" w:eastAsia="宋体"/>
                      <w:color w:val="0000FF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0000FF"/>
                      <w:highlight w:val="none"/>
                      <w:lang w:val="en-US" w:eastAsia="zh-CN"/>
                    </w:rPr>
                    <w:t>每批</w:t>
                  </w:r>
                </w:p>
              </w:tc>
              <w:tc>
                <w:tcPr>
                  <w:tcW w:w="0" w:type="auto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jc w:val="left"/>
                    <w:rPr>
                      <w:rFonts w:hint="default" w:eastAsia="宋体"/>
                      <w:color w:val="0000FF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0000FF"/>
                      <w:highlight w:val="none"/>
                      <w:lang w:val="en-US" w:eastAsia="zh-CN"/>
                    </w:rPr>
                    <w:t>检验员</w:t>
                  </w:r>
                </w:p>
              </w:tc>
              <w:tc>
                <w:tcPr>
                  <w:tcW w:w="0" w:type="auto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jc w:val="left"/>
                    <w:rPr>
                      <w:rFonts w:hint="eastAsia" w:eastAsia="宋体"/>
                      <w:color w:val="0000FF"/>
                      <w:highlight w:val="none"/>
                      <w:lang w:eastAsia="zh-CN"/>
                    </w:rPr>
                  </w:pPr>
                  <w:r>
                    <w:rPr>
                      <w:rFonts w:hint="eastAsia"/>
                      <w:color w:val="0000FF"/>
                      <w:highlight w:val="none"/>
                      <w:lang w:eastAsia="zh-CN"/>
                    </w:rPr>
                    <w:t>《</w:t>
                  </w:r>
                  <w:r>
                    <w:rPr>
                      <w:rFonts w:hint="eastAsia"/>
                      <w:color w:val="0000FF"/>
                      <w:highlight w:val="none"/>
                      <w:lang w:val="en-US" w:eastAsia="zh-CN"/>
                    </w:rPr>
                    <w:t>产品检测报告</w:t>
                  </w:r>
                  <w:r>
                    <w:rPr>
                      <w:rFonts w:hint="eastAsia"/>
                      <w:color w:val="0000FF"/>
                      <w:highlight w:val="none"/>
                      <w:lang w:eastAsia="zh-CN"/>
                    </w:rPr>
                    <w:t>》、《</w:t>
                  </w:r>
                  <w:r>
                    <w:rPr>
                      <w:rFonts w:hint="eastAsia"/>
                      <w:color w:val="0000FF"/>
                      <w:highlight w:val="none"/>
                      <w:lang w:val="en-US" w:eastAsia="zh-CN"/>
                    </w:rPr>
                    <w:t>农残测试报告</w:t>
                  </w:r>
                  <w:r>
                    <w:rPr>
                      <w:rFonts w:hint="eastAsia"/>
                      <w:color w:val="0000FF"/>
                      <w:highlight w:val="none"/>
                      <w:lang w:eastAsia="zh-CN"/>
                    </w:rPr>
                    <w:t>》</w:t>
                  </w:r>
                </w:p>
              </w:tc>
              <w:tc>
                <w:tcPr>
                  <w:tcW w:w="0" w:type="auto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jc w:val="left"/>
                    <w:rPr>
                      <w:rFonts w:hint="default"/>
                      <w:color w:val="0000FF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0000FF"/>
                      <w:highlight w:val="none"/>
                      <w:lang w:val="en-US" w:eastAsia="zh-CN"/>
                    </w:rPr>
                    <w:t>2022-07-01日</w:t>
                  </w:r>
                  <w:r>
                    <w:rPr>
                      <w:rFonts w:hint="eastAsia"/>
                      <w:highlight w:val="none"/>
                      <w:lang w:val="en-US" w:eastAsia="zh-CN"/>
                    </w:rPr>
                    <w:t>苹果、香蕉、水蜜桃、西瓜等水果农残抑制率＜50%，2022-07-01日韭黄、西芹、西蓝花等蔬菜等农残抑制率＜50%；产品的外检报告供方每年提供一次，见配送部审核记录</w:t>
                  </w:r>
                </w:p>
              </w:tc>
              <w:tc>
                <w:tcPr>
                  <w:tcW w:w="0" w:type="auto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jc w:val="left"/>
                    <w:rPr>
                      <w:rFonts w:hint="default"/>
                      <w:color w:val="0000FF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0000FF"/>
                      <w:highlight w:val="none"/>
                      <w:lang w:val="en-US" w:eastAsia="zh-CN"/>
                    </w:rPr>
                    <w:t>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90" w:hRule="atLeast"/>
              </w:trPr>
              <w:tc>
                <w:tcPr>
                  <w:tcW w:w="0" w:type="auto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jc w:val="center"/>
                    <w:rPr>
                      <w:rFonts w:hint="default" w:eastAsia="宋体"/>
                      <w:color w:val="0000FF"/>
                      <w:sz w:val="18"/>
                      <w:szCs w:val="18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0000FF"/>
                      <w:sz w:val="18"/>
                      <w:szCs w:val="18"/>
                      <w:highlight w:val="none"/>
                    </w:rPr>
                    <w:t>CCP2</w:t>
                  </w:r>
                  <w:r>
                    <w:rPr>
                      <w:rFonts w:hint="eastAsia"/>
                      <w:color w:val="0000FF"/>
                      <w:sz w:val="18"/>
                      <w:szCs w:val="18"/>
                      <w:highlight w:val="none"/>
                      <w:lang w:val="en-US" w:eastAsia="zh-CN"/>
                    </w:rPr>
                    <w:t>畜禽肉验收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jc w:val="left"/>
                    <w:rPr>
                      <w:rFonts w:hint="default" w:eastAsia="宋体"/>
                      <w:color w:val="0000FF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0000FF"/>
                      <w:highlight w:val="none"/>
                      <w:lang w:val="en-US" w:eastAsia="zh-CN"/>
                    </w:rPr>
                    <w:t>速测仪的结果或合格证明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jc w:val="left"/>
                    <w:rPr>
                      <w:color w:val="0000FF"/>
                      <w:highlight w:val="none"/>
                    </w:rPr>
                  </w:pPr>
                  <w:r>
                    <w:rPr>
                      <w:rFonts w:hint="eastAsia"/>
                      <w:color w:val="0000FF"/>
                      <w:highlight w:val="none"/>
                      <w:u w:val="single"/>
                      <w:lang w:val="en-US" w:eastAsia="zh-CN"/>
                    </w:rPr>
                    <w:t>瘦肉精检测符合要求或索取合格供应商的符合要求的检验检疫证明</w:t>
                  </w:r>
                </w:p>
              </w:tc>
              <w:tc>
                <w:tcPr>
                  <w:tcW w:w="0" w:type="auto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jc w:val="left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查看客户提供的检验检疫合格证</w:t>
                  </w:r>
                </w:p>
                <w:p>
                  <w:pPr>
                    <w:pStyle w:val="2"/>
                    <w:ind w:left="0" w:leftChars="0" w:firstLine="0" w:firstLineChars="0"/>
                    <w:rPr>
                      <w:rFonts w:hint="default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jc w:val="left"/>
                    <w:rPr>
                      <w:rFonts w:hint="eastAsia" w:eastAsia="宋体"/>
                      <w:color w:val="0000FF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0000FF"/>
                      <w:highlight w:val="none"/>
                      <w:lang w:val="en-US" w:eastAsia="zh-CN"/>
                    </w:rPr>
                    <w:t>每批</w:t>
                  </w:r>
                </w:p>
              </w:tc>
              <w:tc>
                <w:tcPr>
                  <w:tcW w:w="0" w:type="auto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jc w:val="left"/>
                    <w:rPr>
                      <w:color w:val="0000FF"/>
                      <w:highlight w:val="none"/>
                    </w:rPr>
                  </w:pPr>
                  <w:r>
                    <w:rPr>
                      <w:rFonts w:hint="eastAsia"/>
                      <w:color w:val="0000FF"/>
                      <w:highlight w:val="none"/>
                      <w:lang w:val="en-US" w:eastAsia="zh-CN"/>
                    </w:rPr>
                    <w:t>检验员</w:t>
                  </w:r>
                </w:p>
              </w:tc>
              <w:tc>
                <w:tcPr>
                  <w:tcW w:w="0" w:type="auto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jc w:val="left"/>
                    <w:rPr>
                      <w:rFonts w:hint="default" w:eastAsia="宋体"/>
                      <w:color w:val="0000FF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0000FF"/>
                      <w:highlight w:val="none"/>
                      <w:lang w:val="en-US" w:eastAsia="zh-CN"/>
                    </w:rPr>
                    <w:t>产品合格证明</w:t>
                  </w:r>
                </w:p>
              </w:tc>
              <w:tc>
                <w:tcPr>
                  <w:tcW w:w="0" w:type="auto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jc w:val="left"/>
                    <w:rPr>
                      <w:rFonts w:hint="default"/>
                      <w:color w:val="0000FF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抽查2022-05-17日白条肉：肉品品质合格证编号：（2021）06914851，嘉兴市动物产品交易确认单（仅限于嘉兴市境内分销使用）编号：3532363，生猪尿样检测报告单编号：【2022】050536，结果：阴性；结论：合格；另抽查：2022-04-22日，结论同上</w:t>
                  </w:r>
                </w:p>
              </w:tc>
              <w:tc>
                <w:tcPr>
                  <w:tcW w:w="0" w:type="auto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jc w:val="left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0000FF"/>
                      <w:highlight w:val="none"/>
                      <w:lang w:val="en-US" w:eastAsia="zh-CN"/>
                    </w:rPr>
                    <w:t>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1055" w:hRule="atLeast"/>
              </w:trPr>
              <w:tc>
                <w:tcPr>
                  <w:tcW w:w="0" w:type="auto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jc w:val="center"/>
                    <w:rPr>
                      <w:rFonts w:hint="eastAsia"/>
                      <w:color w:val="0000FF"/>
                      <w:sz w:val="18"/>
                      <w:szCs w:val="18"/>
                      <w:highlight w:val="none"/>
                    </w:rPr>
                  </w:pPr>
                </w:p>
              </w:tc>
              <w:tc>
                <w:tcPr>
                  <w:tcW w:w="0" w:type="auto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jc w:val="left"/>
                    <w:rPr>
                      <w:rFonts w:hint="eastAsia"/>
                      <w:color w:val="0000FF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0" w:type="auto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jc w:val="left"/>
                    <w:rPr>
                      <w:rFonts w:hint="eastAsia"/>
                      <w:color w:val="0000FF"/>
                      <w:highlight w:val="none"/>
                      <w:u w:val="single"/>
                      <w:lang w:val="en-US" w:eastAsia="zh-CN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pStyle w:val="2"/>
                    <w:ind w:left="0" w:leftChars="0" w:firstLine="0" w:firstLineChars="0"/>
                    <w:rPr>
                      <w:rFonts w:hint="eastAsia"/>
                      <w:color w:val="0000FF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0000FF"/>
                      <w:highlight w:val="none"/>
                      <w:lang w:val="en-US" w:eastAsia="zh-CN"/>
                    </w:rPr>
                    <w:t>自测兽药残留</w:t>
                  </w:r>
                </w:p>
              </w:tc>
              <w:tc>
                <w:tcPr>
                  <w:tcW w:w="0" w:type="auto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jc w:val="left"/>
                    <w:rPr>
                      <w:rFonts w:hint="default" w:eastAsia="宋体"/>
                      <w:color w:val="0000FF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0000FF"/>
                      <w:highlight w:val="none"/>
                      <w:lang w:val="en-US" w:eastAsia="zh-CN"/>
                    </w:rPr>
                    <w:t>每周</w:t>
                  </w:r>
                </w:p>
              </w:tc>
              <w:tc>
                <w:tcPr>
                  <w:tcW w:w="0" w:type="auto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jc w:val="left"/>
                    <w:rPr>
                      <w:color w:val="0000FF"/>
                      <w:highlight w:val="none"/>
                    </w:rPr>
                  </w:pPr>
                  <w:r>
                    <w:rPr>
                      <w:rFonts w:hint="eastAsia"/>
                      <w:color w:val="0000FF"/>
                      <w:highlight w:val="none"/>
                      <w:lang w:val="en-US" w:eastAsia="zh-CN"/>
                    </w:rPr>
                    <w:t>检验员</w:t>
                  </w:r>
                </w:p>
              </w:tc>
              <w:tc>
                <w:tcPr>
                  <w:tcW w:w="0" w:type="auto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jc w:val="left"/>
                    <w:rPr>
                      <w:rFonts w:hint="eastAsia" w:eastAsia="宋体"/>
                      <w:color w:val="0000FF"/>
                      <w:highlight w:val="none"/>
                      <w:lang w:eastAsia="zh-CN"/>
                    </w:rPr>
                  </w:pPr>
                  <w:r>
                    <w:rPr>
                      <w:rFonts w:hint="eastAsia"/>
                      <w:color w:val="0000FF"/>
                      <w:highlight w:val="none"/>
                      <w:lang w:eastAsia="zh-CN"/>
                    </w:rPr>
                    <w:t>《</w:t>
                  </w:r>
                  <w:r>
                    <w:rPr>
                      <w:rFonts w:hint="eastAsia"/>
                      <w:color w:val="0000FF"/>
                      <w:highlight w:val="none"/>
                      <w:lang w:val="en-US" w:eastAsia="zh-CN"/>
                    </w:rPr>
                    <w:t>检验检测记录</w:t>
                  </w:r>
                  <w:r>
                    <w:rPr>
                      <w:rFonts w:hint="eastAsia"/>
                      <w:color w:val="0000FF"/>
                      <w:highlight w:val="none"/>
                      <w:lang w:eastAsia="zh-CN"/>
                    </w:rPr>
                    <w:t>》</w:t>
                  </w:r>
                </w:p>
              </w:tc>
              <w:tc>
                <w:tcPr>
                  <w:tcW w:w="0" w:type="auto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jc w:val="left"/>
                    <w:rPr>
                      <w:rFonts w:hint="default"/>
                      <w:color w:val="0000FF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0000FF"/>
                      <w:highlight w:val="none"/>
                      <w:lang w:val="en-US" w:eastAsia="zh-CN"/>
                    </w:rPr>
                    <w:t>2022-03-09日腿肉：盐酸克伦特罗、沙丁胺醇、莱克多巴胺、磺胺类、喹诺酮类均为阴性；抽查：2022-02-22日夹心肉、2021-12-26日腿肉、2022-04-03日腿肉，检测结果：阴性。</w:t>
                  </w:r>
                </w:p>
              </w:tc>
              <w:tc>
                <w:tcPr>
                  <w:tcW w:w="0" w:type="auto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jc w:val="left"/>
                    <w:rPr>
                      <w:rFonts w:hint="eastAsia"/>
                      <w:color w:val="0000FF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0000FF"/>
                      <w:highlight w:val="none"/>
                      <w:lang w:val="en-US" w:eastAsia="zh-CN"/>
                    </w:rPr>
                    <w:t>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326" w:hRule="atLeast"/>
              </w:trPr>
              <w:tc>
                <w:tcPr>
                  <w:tcW w:w="0" w:type="auto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rPr>
                      <w:color w:val="0000FF"/>
                      <w:sz w:val="18"/>
                      <w:szCs w:val="18"/>
                      <w:highlight w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spacing w:line="280" w:lineRule="exact"/>
                    <w:jc w:val="left"/>
                    <w:rPr>
                      <w:color w:val="0000FF"/>
                      <w:highlight w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jc w:val="left"/>
                    <w:rPr>
                      <w:bCs/>
                      <w:color w:val="0000FF"/>
                      <w:highlight w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jc w:val="left"/>
                    <w:rPr>
                      <w:bCs/>
                      <w:color w:val="0000FF"/>
                      <w:highlight w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jc w:val="left"/>
                    <w:rPr>
                      <w:bCs/>
                      <w:color w:val="0000FF"/>
                      <w:highlight w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jc w:val="left"/>
                    <w:rPr>
                      <w:bCs/>
                      <w:color w:val="0000FF"/>
                      <w:highlight w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jc w:val="left"/>
                    <w:rPr>
                      <w:bCs/>
                      <w:color w:val="0000FF"/>
                      <w:highlight w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jc w:val="left"/>
                    <w:rPr>
                      <w:bCs/>
                      <w:color w:val="0000FF"/>
                      <w:highlight w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jc w:val="left"/>
                    <w:rPr>
                      <w:bCs/>
                      <w:color w:val="0000FF"/>
                      <w:highlight w:val="none"/>
                    </w:rPr>
                  </w:pPr>
                </w:p>
              </w:tc>
            </w:tr>
          </w:tbl>
          <w:p>
            <w:pPr>
              <w:rPr>
                <w:rFonts w:hint="default" w:eastAsia="宋体"/>
                <w:highlight w:val="yellow"/>
                <w:lang w:val="en-US" w:eastAsia="zh-CN"/>
              </w:rPr>
            </w:pPr>
          </w:p>
          <w:p>
            <w:pPr>
              <w:pStyle w:val="12"/>
            </w:pPr>
          </w:p>
          <w:p>
            <w:r>
              <w:rPr>
                <w:rFonts w:hint="eastAsia"/>
              </w:rPr>
              <w:t>当监控表明偏离操作限值时，监控人员应及时采取纠偏，以防止关键限值的偏离。</w:t>
            </w:r>
          </w:p>
          <w:p>
            <w:pPr>
              <w:rPr>
                <w:color w:val="0000FF"/>
                <w:u w:val="single"/>
              </w:rPr>
            </w:pPr>
            <w:r>
              <w:rPr>
                <w:rFonts w:hint="eastAsia"/>
                <w:color w:val="0000FF"/>
              </w:rPr>
              <w:sym w:font="Wingdings" w:char="00FE"/>
            </w:r>
            <w:r>
              <w:rPr>
                <w:color w:val="0000FF"/>
              </w:rPr>
              <w:t xml:space="preserve"> </w:t>
            </w:r>
            <w:r>
              <w:rPr>
                <w:rFonts w:hint="eastAsia"/>
                <w:color w:val="0000FF"/>
              </w:rPr>
              <w:t xml:space="preserve">未发生 </w:t>
            </w:r>
            <w:r>
              <w:rPr>
                <w:color w:val="0000FF"/>
              </w:rPr>
              <w:t xml:space="preserve"> </w:t>
            </w:r>
            <w:r>
              <w:rPr>
                <w:rFonts w:hint="eastAsia"/>
                <w:color w:val="0000FF"/>
              </w:rPr>
              <w:sym w:font="Wingdings" w:char="00A8"/>
            </w:r>
            <w:r>
              <w:rPr>
                <w:rFonts w:hint="eastAsia"/>
                <w:color w:val="0000FF"/>
              </w:rPr>
              <w:t xml:space="preserve">发生，采取的纠偏 </w:t>
            </w:r>
            <w:r>
              <w:rPr>
                <w:color w:val="0000FF"/>
                <w:u w:val="single"/>
              </w:rPr>
              <w:t xml:space="preserve">                                    </w:t>
            </w:r>
          </w:p>
          <w:p/>
          <w:tbl>
            <w:tblPr>
              <w:tblStyle w:val="9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65"/>
              <w:gridCol w:w="1640"/>
              <w:gridCol w:w="1519"/>
              <w:gridCol w:w="1559"/>
              <w:gridCol w:w="1722"/>
              <w:gridCol w:w="153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65" w:type="dxa"/>
                </w:tcPr>
                <w:p>
                  <w:pPr>
                    <w:rPr>
                      <w:color w:val="0000FF"/>
                    </w:rPr>
                  </w:pPr>
                  <w:r>
                    <w:rPr>
                      <w:rFonts w:hint="eastAsia"/>
                      <w:color w:val="0000FF"/>
                    </w:rPr>
                    <w:t>日期</w:t>
                  </w:r>
                </w:p>
              </w:tc>
              <w:tc>
                <w:tcPr>
                  <w:tcW w:w="1640" w:type="dxa"/>
                </w:tcPr>
                <w:p>
                  <w:pPr>
                    <w:rPr>
                      <w:color w:val="0000FF"/>
                    </w:rPr>
                  </w:pPr>
                  <w:r>
                    <w:rPr>
                      <w:rFonts w:hint="eastAsia"/>
                      <w:color w:val="0000FF"/>
                    </w:rPr>
                    <w:t>不合格的性质</w:t>
                  </w:r>
                </w:p>
              </w:tc>
              <w:tc>
                <w:tcPr>
                  <w:tcW w:w="1519" w:type="dxa"/>
                </w:tcPr>
                <w:p>
                  <w:pPr>
                    <w:rPr>
                      <w:color w:val="0000FF"/>
                    </w:rPr>
                  </w:pPr>
                  <w:r>
                    <w:rPr>
                      <w:rFonts w:hint="eastAsia"/>
                      <w:color w:val="0000FF"/>
                    </w:rPr>
                    <w:t>不合格描述</w:t>
                  </w:r>
                </w:p>
              </w:tc>
              <w:tc>
                <w:tcPr>
                  <w:tcW w:w="1559" w:type="dxa"/>
                </w:tcPr>
                <w:p>
                  <w:pPr>
                    <w:rPr>
                      <w:color w:val="0000FF"/>
                    </w:rPr>
                  </w:pPr>
                  <w:r>
                    <w:rPr>
                      <w:rFonts w:hint="eastAsia"/>
                      <w:color w:val="0000FF"/>
                    </w:rPr>
                    <w:t>不合格的原因</w:t>
                  </w:r>
                </w:p>
              </w:tc>
              <w:tc>
                <w:tcPr>
                  <w:tcW w:w="1722" w:type="dxa"/>
                </w:tcPr>
                <w:p>
                  <w:pPr>
                    <w:rPr>
                      <w:color w:val="0000FF"/>
                    </w:rPr>
                  </w:pPr>
                  <w:r>
                    <w:rPr>
                      <w:rFonts w:hint="eastAsia"/>
                      <w:color w:val="0000FF"/>
                    </w:rPr>
                    <w:t>不合格的后果</w:t>
                  </w:r>
                </w:p>
              </w:tc>
              <w:tc>
                <w:tcPr>
                  <w:tcW w:w="1538" w:type="dxa"/>
                </w:tcPr>
                <w:p>
                  <w:pPr>
                    <w:rPr>
                      <w:color w:val="0000FF"/>
                    </w:rPr>
                  </w:pPr>
                  <w:r>
                    <w:rPr>
                      <w:rFonts w:hint="eastAsia"/>
                      <w:color w:val="0000FF"/>
                    </w:rPr>
                    <w:t>纠正方法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65" w:type="dxa"/>
                </w:tcPr>
                <w:p>
                  <w:pPr>
                    <w:rPr>
                      <w:rFonts w:hint="eastAsia" w:eastAsia="宋体"/>
                      <w:color w:val="0000FF"/>
                      <w:lang w:eastAsia="zh-CN"/>
                    </w:rPr>
                  </w:pPr>
                  <w:r>
                    <w:rPr>
                      <w:rFonts w:hint="eastAsia"/>
                      <w:color w:val="0000FF"/>
                      <w:lang w:eastAsia="zh-CN"/>
                    </w:rPr>
                    <w:t>——</w:t>
                  </w:r>
                </w:p>
              </w:tc>
              <w:tc>
                <w:tcPr>
                  <w:tcW w:w="1640" w:type="dxa"/>
                </w:tcPr>
                <w:p>
                  <w:pPr>
                    <w:rPr>
                      <w:color w:val="0000FF"/>
                    </w:rPr>
                  </w:pPr>
                  <w:r>
                    <w:rPr>
                      <w:rFonts w:hint="eastAsia"/>
                      <w:color w:val="0000FF"/>
                    </w:rPr>
                    <w:sym w:font="Wingdings" w:char="00FE"/>
                  </w:r>
                  <w:r>
                    <w:rPr>
                      <w:rFonts w:hint="eastAsia"/>
                      <w:color w:val="0000FF"/>
                    </w:rPr>
                    <w:t>超出CL</w:t>
                  </w:r>
                </w:p>
                <w:p>
                  <w:pPr>
                    <w:rPr>
                      <w:color w:val="0000FF"/>
                    </w:rPr>
                  </w:pPr>
                  <w:r>
                    <w:rPr>
                      <w:rFonts w:hint="eastAsia"/>
                      <w:color w:val="0000FF"/>
                    </w:rPr>
                    <w:sym w:font="Wingdings" w:char="00A8"/>
                  </w:r>
                  <w:r>
                    <w:rPr>
                      <w:rFonts w:hint="eastAsia"/>
                      <w:color w:val="0000FF"/>
                    </w:rPr>
                    <w:t>OPRP失控</w:t>
                  </w:r>
                </w:p>
              </w:tc>
              <w:tc>
                <w:tcPr>
                  <w:tcW w:w="1519" w:type="dxa"/>
                </w:tcPr>
                <w:p>
                  <w:pPr>
                    <w:rPr>
                      <w:color w:val="0000FF"/>
                    </w:rPr>
                  </w:pPr>
                </w:p>
              </w:tc>
              <w:tc>
                <w:tcPr>
                  <w:tcW w:w="1559" w:type="dxa"/>
                </w:tcPr>
                <w:p>
                  <w:pPr>
                    <w:rPr>
                      <w:color w:val="0000FF"/>
                    </w:rPr>
                  </w:pPr>
                </w:p>
              </w:tc>
              <w:tc>
                <w:tcPr>
                  <w:tcW w:w="1722" w:type="dxa"/>
                </w:tcPr>
                <w:p>
                  <w:pPr>
                    <w:rPr>
                      <w:color w:val="0000FF"/>
                    </w:rPr>
                  </w:pPr>
                </w:p>
              </w:tc>
              <w:tc>
                <w:tcPr>
                  <w:tcW w:w="1538" w:type="dxa"/>
                </w:tcPr>
                <w:p>
                  <w:pPr>
                    <w:rPr>
                      <w:color w:val="0000FF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65" w:type="dxa"/>
                </w:tcPr>
                <w:p>
                  <w:pPr>
                    <w:rPr>
                      <w:color w:val="0000FF"/>
                    </w:rPr>
                  </w:pPr>
                </w:p>
              </w:tc>
              <w:tc>
                <w:tcPr>
                  <w:tcW w:w="1640" w:type="dxa"/>
                </w:tcPr>
                <w:p>
                  <w:pPr>
                    <w:rPr>
                      <w:color w:val="0000FF"/>
                    </w:rPr>
                  </w:pPr>
                  <w:r>
                    <w:rPr>
                      <w:rFonts w:hint="eastAsia"/>
                      <w:color w:val="0000FF"/>
                    </w:rPr>
                    <w:sym w:font="Wingdings" w:char="00A8"/>
                  </w:r>
                  <w:r>
                    <w:rPr>
                      <w:rFonts w:hint="eastAsia"/>
                      <w:color w:val="0000FF"/>
                    </w:rPr>
                    <w:t>超出CL</w:t>
                  </w:r>
                </w:p>
                <w:p>
                  <w:pPr>
                    <w:rPr>
                      <w:color w:val="0000FF"/>
                    </w:rPr>
                  </w:pPr>
                  <w:r>
                    <w:rPr>
                      <w:rFonts w:hint="eastAsia"/>
                      <w:color w:val="0000FF"/>
                    </w:rPr>
                    <w:sym w:font="Wingdings" w:char="00A8"/>
                  </w:r>
                  <w:r>
                    <w:rPr>
                      <w:rFonts w:hint="eastAsia"/>
                      <w:color w:val="0000FF"/>
                    </w:rPr>
                    <w:t>OPR失控</w:t>
                  </w:r>
                </w:p>
              </w:tc>
              <w:tc>
                <w:tcPr>
                  <w:tcW w:w="1519" w:type="dxa"/>
                </w:tcPr>
                <w:p>
                  <w:pPr>
                    <w:rPr>
                      <w:color w:val="0000FF"/>
                    </w:rPr>
                  </w:pPr>
                </w:p>
              </w:tc>
              <w:tc>
                <w:tcPr>
                  <w:tcW w:w="1559" w:type="dxa"/>
                </w:tcPr>
                <w:p>
                  <w:pPr>
                    <w:rPr>
                      <w:color w:val="0000FF"/>
                    </w:rPr>
                  </w:pPr>
                </w:p>
              </w:tc>
              <w:tc>
                <w:tcPr>
                  <w:tcW w:w="1722" w:type="dxa"/>
                </w:tcPr>
                <w:p>
                  <w:pPr>
                    <w:rPr>
                      <w:color w:val="0000FF"/>
                    </w:rPr>
                  </w:pPr>
                </w:p>
              </w:tc>
              <w:tc>
                <w:tcPr>
                  <w:tcW w:w="1538" w:type="dxa"/>
                </w:tcPr>
                <w:p>
                  <w:pPr>
                    <w:rPr>
                      <w:color w:val="0000FF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65" w:type="dxa"/>
                </w:tcPr>
                <w:p>
                  <w:pPr>
                    <w:rPr>
                      <w:color w:val="0000FF"/>
                    </w:rPr>
                  </w:pPr>
                </w:p>
              </w:tc>
              <w:tc>
                <w:tcPr>
                  <w:tcW w:w="1640" w:type="dxa"/>
                </w:tcPr>
                <w:p>
                  <w:pPr>
                    <w:rPr>
                      <w:color w:val="0000FF"/>
                    </w:rPr>
                  </w:pPr>
                  <w:r>
                    <w:rPr>
                      <w:rFonts w:hint="eastAsia"/>
                      <w:color w:val="0000FF"/>
                    </w:rPr>
                    <w:sym w:font="Wingdings" w:char="00A8"/>
                  </w:r>
                  <w:r>
                    <w:rPr>
                      <w:rFonts w:hint="eastAsia"/>
                      <w:color w:val="0000FF"/>
                    </w:rPr>
                    <w:t>超出CL</w:t>
                  </w:r>
                </w:p>
                <w:p>
                  <w:pPr>
                    <w:rPr>
                      <w:color w:val="0000FF"/>
                    </w:rPr>
                  </w:pPr>
                  <w:r>
                    <w:rPr>
                      <w:rFonts w:hint="eastAsia"/>
                      <w:color w:val="0000FF"/>
                    </w:rPr>
                    <w:sym w:font="Wingdings" w:char="00A8"/>
                  </w:r>
                  <w:r>
                    <w:rPr>
                      <w:rFonts w:hint="eastAsia"/>
                      <w:color w:val="0000FF"/>
                    </w:rPr>
                    <w:t>OPRP失控</w:t>
                  </w:r>
                </w:p>
              </w:tc>
              <w:tc>
                <w:tcPr>
                  <w:tcW w:w="1519" w:type="dxa"/>
                </w:tcPr>
                <w:p>
                  <w:pPr>
                    <w:rPr>
                      <w:color w:val="0000FF"/>
                    </w:rPr>
                  </w:pPr>
                </w:p>
              </w:tc>
              <w:tc>
                <w:tcPr>
                  <w:tcW w:w="1559" w:type="dxa"/>
                </w:tcPr>
                <w:p>
                  <w:pPr>
                    <w:rPr>
                      <w:color w:val="0000FF"/>
                    </w:rPr>
                  </w:pPr>
                </w:p>
              </w:tc>
              <w:tc>
                <w:tcPr>
                  <w:tcW w:w="1722" w:type="dxa"/>
                </w:tcPr>
                <w:p>
                  <w:pPr>
                    <w:rPr>
                      <w:color w:val="0000FF"/>
                    </w:rPr>
                  </w:pPr>
                </w:p>
              </w:tc>
              <w:tc>
                <w:tcPr>
                  <w:tcW w:w="1538" w:type="dxa"/>
                </w:tcPr>
                <w:p>
                  <w:pPr>
                    <w:rPr>
                      <w:color w:val="0000FF"/>
                    </w:rPr>
                  </w:pPr>
                </w:p>
              </w:tc>
            </w:tr>
          </w:tbl>
          <w:p/>
          <w:p>
            <w:pPr>
              <w:rPr>
                <w:color w:val="0000FF"/>
                <w:u w:val="single"/>
              </w:rPr>
            </w:pPr>
            <w:r>
              <w:rPr>
                <w:rFonts w:hint="eastAsia"/>
                <w:color w:val="0000FF"/>
              </w:rPr>
              <w:t>见《不合格品处置记录》</w:t>
            </w:r>
          </w:p>
          <w:p>
            <w:r>
              <w:rPr>
                <w:rFonts w:hint="eastAsia"/>
              </w:rPr>
              <w:t>当监控表明偏离关键限值时，监控人员应立即停止该操作步骤的运行，并及时采取纠偏措施。</w:t>
            </w:r>
          </w:p>
          <w:p>
            <w:pPr>
              <w:rPr>
                <w:u w:val="single"/>
              </w:rPr>
            </w:pPr>
            <w:r>
              <w:rPr>
                <w:rFonts w:hint="eastAsia"/>
              </w:rPr>
              <w:t>保持监控记录情况，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保持 </w:t>
            </w:r>
            <w:r>
              <w:t xml:space="preserve">   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未保持，说明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                        </w:t>
            </w:r>
          </w:p>
          <w:p/>
        </w:tc>
        <w:tc>
          <w:tcPr>
            <w:tcW w:w="1063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659" w:type="dxa"/>
            <w:vMerge w:val="restart"/>
          </w:tcPr>
          <w:p>
            <w:r>
              <w:rPr>
                <w:rFonts w:hint="eastAsia"/>
              </w:rPr>
              <w:t>HACCP体系验证</w:t>
            </w:r>
          </w:p>
        </w:tc>
        <w:tc>
          <w:tcPr>
            <w:tcW w:w="1000" w:type="dxa"/>
            <w:vMerge w:val="restart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H(V1.0)</w:t>
            </w:r>
          </w:p>
          <w:p>
            <w:r>
              <w:rPr>
                <w:rFonts w:hint="eastAsia"/>
              </w:rPr>
              <w:t xml:space="preserve">4.5  </w:t>
            </w:r>
          </w:p>
        </w:tc>
        <w:tc>
          <w:tcPr>
            <w:tcW w:w="663" w:type="dxa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10324" w:type="dxa"/>
          </w:tcPr>
          <w:p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《</w:t>
            </w:r>
            <w:r>
              <w:rPr>
                <w:rFonts w:hint="eastAsia"/>
                <w:lang w:val="en-US" w:eastAsia="zh-CN"/>
              </w:rPr>
              <w:t>验证活动策划、实施和评价程序</w:t>
            </w:r>
            <w:r>
              <w:rPr>
                <w:rFonts w:hint="eastAsia"/>
                <w:highlight w:val="none"/>
              </w:rPr>
              <w:t>》</w:t>
            </w:r>
          </w:p>
        </w:tc>
        <w:tc>
          <w:tcPr>
            <w:tcW w:w="1063" w:type="dxa"/>
            <w:vMerge w:val="restart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>符合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不符合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</w:p>
          <w:p>
            <w:pPr>
              <w:pStyle w:val="12"/>
              <w:rPr>
                <w:rFonts w:hint="eastAsia"/>
                <w:lang w:val="en-US" w:eastAsia="zh-CN"/>
              </w:rPr>
            </w:pPr>
          </w:p>
          <w:p>
            <w:pPr>
              <w:pStyle w:val="12"/>
              <w:rPr>
                <w:rFonts w:hint="eastAsia"/>
                <w:lang w:val="en-US" w:eastAsia="zh-CN"/>
              </w:rPr>
            </w:pPr>
          </w:p>
          <w:p>
            <w:pPr>
              <w:pStyle w:val="12"/>
              <w:rPr>
                <w:rFonts w:hint="eastAsia"/>
                <w:lang w:val="en-US" w:eastAsia="zh-CN"/>
              </w:rPr>
            </w:pPr>
          </w:p>
          <w:p>
            <w:pPr>
              <w:pStyle w:val="12"/>
              <w:rPr>
                <w:rFonts w:hint="eastAsia"/>
                <w:lang w:val="en-US" w:eastAsia="zh-CN"/>
              </w:rPr>
            </w:pPr>
          </w:p>
          <w:p>
            <w:pPr>
              <w:pStyle w:val="12"/>
              <w:rPr>
                <w:rFonts w:hint="eastAsia"/>
                <w:lang w:val="en-US" w:eastAsia="zh-CN"/>
              </w:rPr>
            </w:pPr>
          </w:p>
          <w:p>
            <w:pPr>
              <w:pStyle w:val="12"/>
              <w:rPr>
                <w:rFonts w:hint="eastAsia"/>
                <w:lang w:val="en-US" w:eastAsia="zh-CN"/>
              </w:rPr>
            </w:pPr>
          </w:p>
          <w:p>
            <w:pPr>
              <w:pStyle w:val="12"/>
              <w:rPr>
                <w:rFonts w:hint="eastAsia"/>
                <w:lang w:val="en-US" w:eastAsia="zh-CN"/>
              </w:rPr>
            </w:pPr>
          </w:p>
          <w:p>
            <w:pPr>
              <w:pStyle w:val="12"/>
              <w:rPr>
                <w:rFonts w:hint="eastAsia"/>
                <w:lang w:val="en-US" w:eastAsia="zh-CN"/>
              </w:rPr>
            </w:pPr>
          </w:p>
          <w:p>
            <w:pPr>
              <w:pStyle w:val="12"/>
              <w:rPr>
                <w:rFonts w:hint="eastAsia"/>
                <w:lang w:val="en-US" w:eastAsia="zh-CN"/>
              </w:rPr>
            </w:pPr>
          </w:p>
          <w:p>
            <w:pPr>
              <w:pStyle w:val="12"/>
              <w:rPr>
                <w:rFonts w:hint="eastAsia"/>
                <w:lang w:val="en-US" w:eastAsia="zh-CN"/>
              </w:rPr>
            </w:pPr>
          </w:p>
          <w:p>
            <w:pPr>
              <w:pStyle w:val="12"/>
              <w:rPr>
                <w:rFonts w:hint="eastAsia"/>
                <w:lang w:val="en-US" w:eastAsia="zh-CN"/>
              </w:rPr>
            </w:pPr>
          </w:p>
          <w:p>
            <w:pPr>
              <w:pStyle w:val="12"/>
              <w:rPr>
                <w:rFonts w:hint="eastAsia"/>
                <w:lang w:val="en-US" w:eastAsia="zh-CN"/>
              </w:rPr>
            </w:pPr>
          </w:p>
          <w:p>
            <w:pPr>
              <w:pStyle w:val="12"/>
              <w:rPr>
                <w:rFonts w:hint="eastAsia"/>
                <w:lang w:val="en-US" w:eastAsia="zh-CN"/>
              </w:rPr>
            </w:pPr>
          </w:p>
          <w:p>
            <w:pPr>
              <w:pStyle w:val="12"/>
              <w:rPr>
                <w:rFonts w:hint="eastAsia"/>
                <w:lang w:val="en-US" w:eastAsia="zh-CN"/>
              </w:rPr>
            </w:pPr>
          </w:p>
          <w:p>
            <w:pPr>
              <w:pStyle w:val="12"/>
              <w:rPr>
                <w:rFonts w:hint="eastAsia"/>
                <w:lang w:val="en-US" w:eastAsia="zh-CN"/>
              </w:rPr>
            </w:pPr>
          </w:p>
          <w:p>
            <w:pPr>
              <w:pStyle w:val="12"/>
              <w:rPr>
                <w:rFonts w:hint="eastAsia"/>
                <w:lang w:val="en-US" w:eastAsia="zh-CN"/>
              </w:rPr>
            </w:pPr>
          </w:p>
          <w:p>
            <w:pPr>
              <w:pStyle w:val="12"/>
              <w:rPr>
                <w:rFonts w:hint="eastAsia"/>
                <w:lang w:val="en-US" w:eastAsia="zh-CN"/>
              </w:rPr>
            </w:pPr>
          </w:p>
          <w:p>
            <w:pPr>
              <w:pStyle w:val="12"/>
              <w:rPr>
                <w:rFonts w:hint="eastAsia"/>
                <w:lang w:val="en-US" w:eastAsia="zh-CN"/>
              </w:rPr>
            </w:pPr>
          </w:p>
          <w:p>
            <w:pPr>
              <w:pStyle w:val="12"/>
              <w:rPr>
                <w:rFonts w:hint="eastAsia"/>
                <w:lang w:val="en-US" w:eastAsia="zh-CN"/>
              </w:rPr>
            </w:pPr>
          </w:p>
          <w:p>
            <w:pPr>
              <w:pStyle w:val="12"/>
              <w:rPr>
                <w:rFonts w:hint="eastAsia"/>
                <w:lang w:val="en-US" w:eastAsia="zh-CN"/>
              </w:rPr>
            </w:pPr>
          </w:p>
          <w:p>
            <w:pPr>
              <w:pStyle w:val="12"/>
              <w:rPr>
                <w:rFonts w:hint="eastAsia"/>
                <w:lang w:val="en-US" w:eastAsia="zh-CN"/>
              </w:rPr>
            </w:pPr>
          </w:p>
          <w:p>
            <w:pPr>
              <w:pStyle w:val="12"/>
              <w:rPr>
                <w:rFonts w:hint="eastAsia"/>
                <w:lang w:val="en-US" w:eastAsia="zh-CN"/>
              </w:rPr>
            </w:pPr>
          </w:p>
          <w:p>
            <w:pPr>
              <w:pStyle w:val="12"/>
              <w:rPr>
                <w:rFonts w:hint="eastAsia"/>
                <w:lang w:val="en-US" w:eastAsia="zh-CN"/>
              </w:rPr>
            </w:pPr>
          </w:p>
          <w:p>
            <w:pPr>
              <w:pStyle w:val="12"/>
              <w:rPr>
                <w:rFonts w:hint="eastAsia"/>
                <w:lang w:val="en-US" w:eastAsia="zh-CN"/>
              </w:rPr>
            </w:pPr>
          </w:p>
          <w:p>
            <w:pPr>
              <w:pStyle w:val="12"/>
              <w:rPr>
                <w:rFonts w:hint="eastAsia"/>
                <w:lang w:val="en-US" w:eastAsia="zh-CN"/>
              </w:rPr>
            </w:pPr>
          </w:p>
          <w:p>
            <w:pPr>
              <w:pStyle w:val="12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659" w:type="dxa"/>
            <w:vMerge w:val="continue"/>
          </w:tcPr>
          <w:p/>
        </w:tc>
        <w:tc>
          <w:tcPr>
            <w:tcW w:w="1000" w:type="dxa"/>
            <w:vMerge w:val="continue"/>
          </w:tcPr>
          <w:p/>
        </w:tc>
        <w:tc>
          <w:tcPr>
            <w:tcW w:w="663" w:type="dxa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10324" w:type="dxa"/>
          </w:tcPr>
          <w:p>
            <w:r>
              <w:rPr>
                <w:rFonts w:hint="eastAsia"/>
              </w:rPr>
              <w:t>验证程序包括：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0000FF"/>
                <w:u w:val="single"/>
                <w:lang w:eastAsia="zh-CN"/>
              </w:rPr>
              <w:t>——</w:t>
            </w:r>
            <w:r>
              <w:rPr>
                <w:rFonts w:hint="eastAsia" w:ascii="Times New Roman" w:hAnsi="Times New Roman" w:cs="Times New Roman"/>
                <w:color w:val="0000FF"/>
                <w:u w:val="single"/>
                <w:lang w:val="en-US" w:eastAsia="zh-CN"/>
              </w:rPr>
              <w:t>见“HACCP小组审核记录”</w:t>
            </w:r>
            <w:r>
              <w:rPr>
                <w:rFonts w:hint="eastAsia"/>
                <w:u w:val="single"/>
              </w:rPr>
              <w:t xml:space="preserve"> </w:t>
            </w:r>
          </w:p>
          <w:p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验证的依据和方法、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验证的频率、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验证的人员、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验证的人员、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验证的内容、</w:t>
            </w:r>
          </w:p>
          <w:p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验证结果及采取的措施、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验证记录、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其他</w:t>
            </w:r>
          </w:p>
          <w:p/>
          <w:p>
            <w:r>
              <w:rPr>
                <w:rFonts w:hint="eastAsia"/>
              </w:rPr>
              <w:t>验证内容包括：</w:t>
            </w:r>
            <w:r>
              <w:rPr>
                <w:rFonts w:hint="eastAsia"/>
                <w:lang w:eastAsia="zh-CN"/>
              </w:rPr>
              <w:t>——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0000FF"/>
                <w:u w:val="single"/>
                <w:lang w:val="en-US" w:eastAsia="zh-CN"/>
              </w:rPr>
              <w:t>见“HACCP小组审核记录”</w:t>
            </w:r>
            <w:r>
              <w:rPr>
                <w:rFonts w:hint="eastAsia" w:ascii="Times New Roman" w:hAnsi="Times New Roman" w:cs="Times New Roman"/>
                <w:color w:val="0000FF"/>
                <w:u w:val="single"/>
              </w:rPr>
              <w:t xml:space="preserve"> </w:t>
            </w:r>
          </w:p>
          <w:p/>
          <w:p>
            <w:r>
              <w:rPr>
                <w:rFonts w:hint="eastAsia"/>
              </w:rPr>
              <w:t xml:space="preserve">a）评审监控记录以确定关键控制点处于受控状态；                           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是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否</w:t>
            </w:r>
          </w:p>
          <w:p>
            <w:r>
              <w:rPr>
                <w:rFonts w:hint="eastAsia"/>
              </w:rPr>
              <w:t>b）评审纠正措施记录，包括具体的偏离、产品处置和分析，以确定偏离的根本原因；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是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否</w:t>
            </w:r>
          </w:p>
          <w:p>
            <w:r>
              <w:rPr>
                <w:rFonts w:hint="eastAsia"/>
              </w:rPr>
              <w:t xml:space="preserve">c）校准或检查计量器具的准确性；                                         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是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否</w:t>
            </w:r>
          </w:p>
          <w:p>
            <w:r>
              <w:rPr>
                <w:rFonts w:hint="eastAsia"/>
              </w:rPr>
              <w:t xml:space="preserve">d）观察控制措施是否按照HACCP计划实施；                               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是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否</w:t>
            </w:r>
          </w:p>
          <w:p>
            <w:r>
              <w:rPr>
                <w:rFonts w:hint="eastAsia"/>
              </w:rPr>
              <w:t xml:space="preserve">e）抽样检测验证产品的安全性；                                           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是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否</w:t>
            </w:r>
          </w:p>
          <w:p>
            <w:r>
              <w:rPr>
                <w:rFonts w:hint="eastAsia"/>
              </w:rPr>
              <w:t xml:space="preserve">f）环境采样和检测；                                                     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是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否</w:t>
            </w:r>
          </w:p>
          <w:p>
            <w:r>
              <w:rPr>
                <w:rFonts w:hint="eastAsia"/>
              </w:rPr>
              <w:t xml:space="preserve">g）HACCP体系审核。                                                    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是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否</w:t>
            </w:r>
          </w:p>
          <w:p/>
          <w:p>
            <w:pPr>
              <w:rPr>
                <w:rFonts w:hint="eastAsia" w:ascii="Times New Roman" w:hAnsi="Times New Roman" w:cs="Times New Roman"/>
                <w:color w:val="0000FF"/>
                <w:u w:val="single"/>
              </w:rPr>
            </w:pPr>
            <w:r>
              <w:rPr>
                <w:rFonts w:hint="eastAsia"/>
              </w:rPr>
              <w:t>验证活动采用方式：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lang w:eastAsia="zh-CN"/>
              </w:rPr>
              <w:t>——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0000FF"/>
                <w:u w:val="single"/>
                <w:lang w:val="en-US" w:eastAsia="zh-CN"/>
              </w:rPr>
              <w:t>见“HACCP小组审核记录”</w:t>
            </w:r>
            <w:r>
              <w:rPr>
                <w:rFonts w:hint="eastAsia" w:ascii="Times New Roman" w:hAnsi="Times New Roman" w:cs="Times New Roman"/>
                <w:color w:val="0000FF"/>
                <w:u w:val="single"/>
              </w:rPr>
              <w:t xml:space="preserve"> </w:t>
            </w:r>
          </w:p>
          <w:p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观察、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内部审核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外部审核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校准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抽样检测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记录评审 。</w:t>
            </w:r>
          </w:p>
          <w:p>
            <w:pPr>
              <w:rPr>
                <w:color w:val="0000FF"/>
              </w:rPr>
            </w:pPr>
          </w:p>
          <w:p>
            <w:r>
              <w:rPr>
                <w:rFonts w:hint="eastAsia"/>
              </w:rPr>
              <w:t>《验证控制程序》的内容包括：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内容全面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内容不全面，说明：</w:t>
            </w:r>
            <w:r>
              <w:rPr>
                <w:rFonts w:hint="eastAsia"/>
                <w:u w:val="single"/>
              </w:rPr>
              <w:t xml:space="preserve">                    </w:t>
            </w:r>
          </w:p>
          <w:p/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见《验证报告》和《检验报告》</w:t>
            </w:r>
          </w:p>
          <w:p>
            <w:pPr>
              <w:rPr>
                <w:highlight w:val="none"/>
                <w:u w:val="single"/>
              </w:rPr>
            </w:pPr>
            <w:r>
              <w:rPr>
                <w:rFonts w:hint="eastAsia"/>
                <w:highlight w:val="none"/>
              </w:rPr>
              <w:t>抽取作业环境（人员、空气、工器具、接触面等）检验相关记录名称：</w:t>
            </w:r>
            <w:r>
              <w:rPr>
                <w:rFonts w:hint="eastAsia"/>
                <w:highlight w:val="none"/>
                <w:u w:val="single"/>
              </w:rPr>
              <w:t>《</w:t>
            </w:r>
            <w:r>
              <w:rPr>
                <w:rFonts w:hint="eastAsia"/>
                <w:highlight w:val="none"/>
                <w:u w:val="single"/>
                <w:lang w:eastAsia="zh-CN"/>
              </w:rPr>
              <w:t>——</w:t>
            </w:r>
            <w:r>
              <w:rPr>
                <w:rFonts w:hint="eastAsia"/>
                <w:highlight w:val="none"/>
                <w:u w:val="single"/>
              </w:rPr>
              <w:t xml:space="preserve">  》</w:t>
            </w:r>
          </w:p>
          <w:tbl>
            <w:tblPr>
              <w:tblStyle w:val="9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7"/>
              <w:gridCol w:w="1620"/>
              <w:gridCol w:w="1364"/>
              <w:gridCol w:w="1680"/>
              <w:gridCol w:w="1563"/>
              <w:gridCol w:w="204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日期</w:t>
                  </w:r>
                </w:p>
              </w:tc>
              <w:tc>
                <w:tcPr>
                  <w:tcW w:w="1620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样品名称</w:t>
                  </w:r>
                </w:p>
              </w:tc>
              <w:tc>
                <w:tcPr>
                  <w:tcW w:w="1364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抽样比例</w:t>
                  </w:r>
                </w:p>
              </w:tc>
              <w:tc>
                <w:tcPr>
                  <w:tcW w:w="1680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b/>
                      <w:bCs/>
                      <w:highlight w:val="none"/>
                    </w:rPr>
                    <w:t>关键特性</w:t>
                  </w:r>
                  <w:r>
                    <w:rPr>
                      <w:rFonts w:hint="eastAsia"/>
                      <w:highlight w:val="none"/>
                    </w:rPr>
                    <w:t>要求</w:t>
                  </w:r>
                </w:p>
              </w:tc>
              <w:tc>
                <w:tcPr>
                  <w:tcW w:w="1563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实测结果</w:t>
                  </w:r>
                </w:p>
              </w:tc>
              <w:tc>
                <w:tcPr>
                  <w:tcW w:w="2049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验证结论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——</w:t>
                  </w:r>
                </w:p>
              </w:tc>
              <w:tc>
                <w:tcPr>
                  <w:tcW w:w="1620" w:type="dxa"/>
                </w:tcPr>
                <w:p>
                  <w:pPr>
                    <w:rPr>
                      <w:rFonts w:hint="eastAsia" w:eastAsia="宋体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1364" w:type="dxa"/>
                </w:tcPr>
                <w:p>
                  <w:pPr>
                    <w:rPr>
                      <w:rFonts w:hint="eastAsia" w:eastAsia="宋体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1680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1563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2049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sym w:font="Wingdings 2" w:char="00A3"/>
                  </w:r>
                  <w:r>
                    <w:rPr>
                      <w:rFonts w:hint="eastAsia"/>
                      <w:highlight w:val="none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pPr>
                    <w:rPr>
                      <w:highlight w:val="cyan"/>
                    </w:rPr>
                  </w:pPr>
                </w:p>
              </w:tc>
              <w:tc>
                <w:tcPr>
                  <w:tcW w:w="1620" w:type="dxa"/>
                </w:tcPr>
                <w:p>
                  <w:pPr>
                    <w:rPr>
                      <w:highlight w:val="cyan"/>
                    </w:rPr>
                  </w:pPr>
                </w:p>
              </w:tc>
              <w:tc>
                <w:tcPr>
                  <w:tcW w:w="1364" w:type="dxa"/>
                </w:tcPr>
                <w:p>
                  <w:pPr>
                    <w:rPr>
                      <w:highlight w:val="cyan"/>
                    </w:rPr>
                  </w:pPr>
                </w:p>
              </w:tc>
              <w:tc>
                <w:tcPr>
                  <w:tcW w:w="1680" w:type="dxa"/>
                </w:tcPr>
                <w:p>
                  <w:pPr>
                    <w:rPr>
                      <w:highlight w:val="cyan"/>
                    </w:rPr>
                  </w:pPr>
                </w:p>
              </w:tc>
              <w:tc>
                <w:tcPr>
                  <w:tcW w:w="1563" w:type="dxa"/>
                </w:tcPr>
                <w:p>
                  <w:pPr>
                    <w:rPr>
                      <w:highlight w:val="cyan"/>
                    </w:rPr>
                  </w:pPr>
                </w:p>
              </w:tc>
              <w:tc>
                <w:tcPr>
                  <w:tcW w:w="2049" w:type="dxa"/>
                </w:tcPr>
                <w:p>
                  <w:pPr>
                    <w:rPr>
                      <w:highlight w:val="cya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pPr>
                    <w:rPr>
                      <w:highlight w:val="cyan"/>
                    </w:rPr>
                  </w:pPr>
                </w:p>
              </w:tc>
              <w:tc>
                <w:tcPr>
                  <w:tcW w:w="1620" w:type="dxa"/>
                </w:tcPr>
                <w:p>
                  <w:pPr>
                    <w:rPr>
                      <w:highlight w:val="cyan"/>
                    </w:rPr>
                  </w:pPr>
                </w:p>
              </w:tc>
              <w:tc>
                <w:tcPr>
                  <w:tcW w:w="1364" w:type="dxa"/>
                </w:tcPr>
                <w:p>
                  <w:pPr>
                    <w:rPr>
                      <w:highlight w:val="cyan"/>
                    </w:rPr>
                  </w:pPr>
                </w:p>
              </w:tc>
              <w:tc>
                <w:tcPr>
                  <w:tcW w:w="1680" w:type="dxa"/>
                </w:tcPr>
                <w:p>
                  <w:pPr>
                    <w:rPr>
                      <w:highlight w:val="cyan"/>
                    </w:rPr>
                  </w:pPr>
                </w:p>
              </w:tc>
              <w:tc>
                <w:tcPr>
                  <w:tcW w:w="1563" w:type="dxa"/>
                </w:tcPr>
                <w:p>
                  <w:pPr>
                    <w:rPr>
                      <w:highlight w:val="cyan"/>
                    </w:rPr>
                  </w:pPr>
                </w:p>
              </w:tc>
              <w:tc>
                <w:tcPr>
                  <w:tcW w:w="2049" w:type="dxa"/>
                </w:tcPr>
                <w:p>
                  <w:pPr>
                    <w:rPr>
                      <w:highlight w:val="cya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pPr>
                    <w:rPr>
                      <w:highlight w:val="cyan"/>
                    </w:rPr>
                  </w:pPr>
                </w:p>
              </w:tc>
              <w:tc>
                <w:tcPr>
                  <w:tcW w:w="1620" w:type="dxa"/>
                </w:tcPr>
                <w:p>
                  <w:pPr>
                    <w:rPr>
                      <w:highlight w:val="cyan"/>
                    </w:rPr>
                  </w:pPr>
                </w:p>
              </w:tc>
              <w:tc>
                <w:tcPr>
                  <w:tcW w:w="1364" w:type="dxa"/>
                </w:tcPr>
                <w:p>
                  <w:pPr>
                    <w:rPr>
                      <w:highlight w:val="cyan"/>
                    </w:rPr>
                  </w:pPr>
                </w:p>
              </w:tc>
              <w:tc>
                <w:tcPr>
                  <w:tcW w:w="1680" w:type="dxa"/>
                </w:tcPr>
                <w:p>
                  <w:pPr>
                    <w:rPr>
                      <w:highlight w:val="cyan"/>
                    </w:rPr>
                  </w:pPr>
                </w:p>
              </w:tc>
              <w:tc>
                <w:tcPr>
                  <w:tcW w:w="1563" w:type="dxa"/>
                </w:tcPr>
                <w:p>
                  <w:pPr>
                    <w:rPr>
                      <w:highlight w:val="cyan"/>
                    </w:rPr>
                  </w:pPr>
                </w:p>
              </w:tc>
              <w:tc>
                <w:tcPr>
                  <w:tcW w:w="2049" w:type="dxa"/>
                </w:tcPr>
                <w:p>
                  <w:pPr>
                    <w:rPr>
                      <w:highlight w:val="cyan"/>
                    </w:rPr>
                  </w:pPr>
                </w:p>
              </w:tc>
            </w:tr>
          </w:tbl>
          <w:p>
            <w:pPr>
              <w:rPr>
                <w:rFonts w:hint="default" w:eastAsia="宋体"/>
                <w:u w:val="single"/>
                <w:lang w:val="en-US" w:eastAsia="zh-CN"/>
              </w:rPr>
            </w:pPr>
            <w:r>
              <w:rPr>
                <w:rFonts w:hint="eastAsia"/>
                <w:u w:val="single"/>
                <w:lang w:val="en-US" w:eastAsia="zh-CN"/>
              </w:rPr>
              <w:t>主要以清洁消毒为主，见“配送部审核记录”</w:t>
            </w:r>
          </w:p>
          <w:p>
            <w:pPr>
              <w:pStyle w:val="12"/>
            </w:pPr>
          </w:p>
          <w:p/>
          <w:p>
            <w:pPr>
              <w:rPr>
                <w:u w:val="single"/>
              </w:rPr>
            </w:pPr>
            <w:r>
              <w:rPr>
                <w:rFonts w:hint="eastAsia"/>
              </w:rPr>
              <w:t>抽取生产用水、蒸汽、冰</w:t>
            </w:r>
            <w:r>
              <w:rPr>
                <w:rFonts w:hint="eastAsia"/>
                <w:b/>
                <w:bCs/>
              </w:rPr>
              <w:t>检验</w:t>
            </w:r>
            <w:r>
              <w:rPr>
                <w:rFonts w:hint="eastAsia"/>
              </w:rPr>
              <w:t>相关记录名称：</w:t>
            </w:r>
            <w:r>
              <w:rPr>
                <w:rFonts w:hint="eastAsia"/>
                <w:u w:val="single"/>
              </w:rPr>
              <w:t xml:space="preserve">《  </w:t>
            </w:r>
            <w:r>
              <w:rPr>
                <w:rFonts w:hint="eastAsia" w:ascii="Times New Roman" w:hAnsi="Times New Roman" w:cs="Times New Roman"/>
                <w:color w:val="0000FF"/>
                <w:u w:val="single"/>
                <w:lang w:val="en-US" w:eastAsia="zh-CN"/>
              </w:rPr>
              <w:t xml:space="preserve">——见“HACCP小组审核记录”   </w:t>
            </w:r>
            <w:r>
              <w:rPr>
                <w:rFonts w:hint="eastAsia"/>
                <w:u w:val="single"/>
              </w:rPr>
              <w:t xml:space="preserve">    》</w:t>
            </w:r>
          </w:p>
          <w:tbl>
            <w:tblPr>
              <w:tblStyle w:val="9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7"/>
              <w:gridCol w:w="1620"/>
              <w:gridCol w:w="1364"/>
              <w:gridCol w:w="1680"/>
              <w:gridCol w:w="1566"/>
              <w:gridCol w:w="204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r>
                    <w:rPr>
                      <w:rFonts w:hint="eastAsia"/>
                    </w:rPr>
                    <w:t>日期</w:t>
                  </w:r>
                </w:p>
              </w:tc>
              <w:tc>
                <w:tcPr>
                  <w:tcW w:w="1620" w:type="dxa"/>
                </w:tcPr>
                <w:p>
                  <w:r>
                    <w:rPr>
                      <w:rFonts w:hint="eastAsia"/>
                    </w:rPr>
                    <w:t>成品名称/批次</w:t>
                  </w:r>
                </w:p>
              </w:tc>
              <w:tc>
                <w:tcPr>
                  <w:tcW w:w="1364" w:type="dxa"/>
                </w:tcPr>
                <w:p>
                  <w:r>
                    <w:rPr>
                      <w:rFonts w:hint="eastAsia"/>
                    </w:rPr>
                    <w:t>抽样比例</w:t>
                  </w:r>
                </w:p>
              </w:tc>
              <w:tc>
                <w:tcPr>
                  <w:tcW w:w="1680" w:type="dxa"/>
                </w:tcPr>
                <w:p>
                  <w:r>
                    <w:rPr>
                      <w:rFonts w:hint="eastAsia"/>
                      <w:b/>
                      <w:bCs/>
                    </w:rPr>
                    <w:t>关键特性</w:t>
                  </w:r>
                  <w:r>
                    <w:rPr>
                      <w:rFonts w:hint="eastAsia"/>
                    </w:rPr>
                    <w:t>要求</w:t>
                  </w:r>
                </w:p>
              </w:tc>
              <w:tc>
                <w:tcPr>
                  <w:tcW w:w="1566" w:type="dxa"/>
                </w:tcPr>
                <w:p>
                  <w:r>
                    <w:rPr>
                      <w:rFonts w:hint="eastAsia"/>
                    </w:rPr>
                    <w:t>实测结果</w:t>
                  </w:r>
                </w:p>
              </w:tc>
              <w:tc>
                <w:tcPr>
                  <w:tcW w:w="2046" w:type="dxa"/>
                </w:tcPr>
                <w:p>
                  <w:r>
                    <w:rPr>
                      <w:rFonts w:hint="eastAsia"/>
                    </w:rPr>
                    <w:t>验证结论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/>
              </w:tc>
              <w:tc>
                <w:tcPr>
                  <w:tcW w:w="1620" w:type="dxa"/>
                </w:tcPr>
                <w:p/>
              </w:tc>
              <w:tc>
                <w:tcPr>
                  <w:tcW w:w="1364" w:type="dxa"/>
                </w:tcPr>
                <w:p/>
              </w:tc>
              <w:tc>
                <w:tcPr>
                  <w:tcW w:w="1680" w:type="dxa"/>
                </w:tcPr>
                <w:p/>
              </w:tc>
              <w:tc>
                <w:tcPr>
                  <w:tcW w:w="1566" w:type="dxa"/>
                </w:tcPr>
                <w:p/>
              </w:tc>
              <w:tc>
                <w:tcPr>
                  <w:tcW w:w="2046" w:type="dxa"/>
                </w:tcPr>
                <w:p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/>
              </w:tc>
              <w:tc>
                <w:tcPr>
                  <w:tcW w:w="1620" w:type="dxa"/>
                </w:tcPr>
                <w:p/>
              </w:tc>
              <w:tc>
                <w:tcPr>
                  <w:tcW w:w="1364" w:type="dxa"/>
                </w:tcPr>
                <w:p/>
              </w:tc>
              <w:tc>
                <w:tcPr>
                  <w:tcW w:w="1680" w:type="dxa"/>
                </w:tcPr>
                <w:p/>
              </w:tc>
              <w:tc>
                <w:tcPr>
                  <w:tcW w:w="1566" w:type="dxa"/>
                </w:tcPr>
                <w:p/>
              </w:tc>
              <w:tc>
                <w:tcPr>
                  <w:tcW w:w="2046" w:type="dxa"/>
                </w:tcPr>
                <w:p/>
              </w:tc>
            </w:tr>
          </w:tbl>
          <w:p>
            <w:pPr>
              <w:rPr>
                <w:color w:val="000000"/>
                <w:szCs w:val="21"/>
              </w:rPr>
            </w:pPr>
          </w:p>
          <w:p>
            <w:r>
              <w:rPr>
                <w:rFonts w:hint="eastAsia"/>
              </w:rPr>
              <w:t>验证的结果需要输入到管理评审中，以确保这些重要数据资源能被适当考虑并对整个H</w:t>
            </w:r>
            <w:r>
              <w:t>ACCP</w:t>
            </w:r>
            <w:r>
              <w:rPr>
                <w:rFonts w:hint="eastAsia"/>
              </w:rPr>
              <w:t>体系持续改进其作用；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0000FF"/>
                <w:u w:val="single"/>
                <w:lang w:eastAsia="zh-CN"/>
              </w:rPr>
              <w:t>——</w:t>
            </w:r>
            <w:r>
              <w:rPr>
                <w:rFonts w:hint="eastAsia" w:ascii="Times New Roman" w:hAnsi="Times New Roman" w:cs="Times New Roman"/>
                <w:color w:val="0000FF"/>
                <w:u w:val="single"/>
                <w:lang w:val="en-US" w:eastAsia="zh-CN"/>
              </w:rPr>
              <w:t>见“HACCP小组审核记录”</w:t>
            </w:r>
            <w:r>
              <w:rPr>
                <w:rFonts w:hint="eastAsia" w:ascii="Times New Roman" w:hAnsi="Times New Roman" w:cs="Times New Roman"/>
                <w:color w:val="0000FF"/>
                <w:u w:val="single"/>
              </w:rPr>
              <w:t xml:space="preserve"> </w:t>
            </w:r>
          </w:p>
          <w:p>
            <w:pPr>
              <w:rPr>
                <w:rFonts w:hint="eastAsia" w:eastAsia="宋体"/>
                <w:u w:val="single"/>
                <w:lang w:eastAsia="zh-CN"/>
              </w:rPr>
            </w:pPr>
            <w:r>
              <w:rPr>
                <w:rFonts w:hint="eastAsia"/>
              </w:rPr>
              <w:t>见</w:t>
            </w:r>
            <w:r>
              <w:rPr>
                <w:rFonts w:hint="eastAsia"/>
                <w:color w:val="0000FF"/>
                <w:u w:val="single"/>
              </w:rPr>
              <w:t>《管理评审》</w:t>
            </w:r>
            <w:r>
              <w:rPr>
                <w:rFonts w:hint="eastAsia"/>
                <w:color w:val="0000FF"/>
                <w:u w:val="single"/>
                <w:lang w:val="en-US" w:eastAsia="zh-CN"/>
              </w:rPr>
              <w:t xml:space="preserve"> </w:t>
            </w:r>
          </w:p>
          <w:p>
            <w:r>
              <w:rPr>
                <w:rFonts w:hint="eastAsia"/>
              </w:rPr>
              <w:t>当验证结果不符合要求时，应采取纠正措施并进行再验证。</w:t>
            </w:r>
          </w:p>
          <w:p/>
          <w:p>
            <w:r>
              <w:rPr>
                <w:rFonts w:hint="eastAsia"/>
              </w:rPr>
              <w:t>验证活动证实：</w:t>
            </w:r>
          </w:p>
          <w:p>
            <w:r>
              <w:rPr>
                <w:rFonts w:hint="eastAsia"/>
              </w:rPr>
              <w:t>—HACCP计划得以实施，并持续控制危害；</w:t>
            </w:r>
            <w:r>
              <w:rPr>
                <w:rFonts w:hint="eastAsia"/>
                <w:color w:val="0000FF"/>
              </w:rPr>
              <w:sym w:font="Wingdings" w:char="00FE"/>
            </w:r>
            <w:r>
              <w:rPr>
                <w:rFonts w:hint="eastAsia"/>
                <w:color w:val="0000FF"/>
              </w:rPr>
              <w:t>有效</w:t>
            </w:r>
            <w:r>
              <w:rPr>
                <w:color w:val="0000FF"/>
              </w:rPr>
              <w:t xml:space="preserve">  </w:t>
            </w:r>
            <w:r>
              <w:rPr>
                <w:rFonts w:hint="eastAsia"/>
                <w:color w:val="0000FF"/>
              </w:rPr>
              <w:t xml:space="preserve"> </w:t>
            </w:r>
            <w:r>
              <w:rPr>
                <w:rFonts w:hint="eastAsia"/>
                <w:color w:val="0000FF"/>
              </w:rPr>
              <w:sym w:font="Wingdings" w:char="00A8"/>
            </w:r>
            <w:r>
              <w:rPr>
                <w:rFonts w:hint="eastAsia"/>
                <w:color w:val="0000FF"/>
              </w:rPr>
              <w:t>失效，说明</w:t>
            </w:r>
            <w:r>
              <w:rPr>
                <w:rFonts w:hint="eastAsia"/>
                <w:color w:val="0000FF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>见“HACCP小组审核记录”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color w:val="0000FF"/>
                <w:u w:val="single"/>
              </w:rPr>
              <w:t xml:space="preserve">                           </w:t>
            </w:r>
          </w:p>
          <w:p>
            <w:r>
              <w:rPr>
                <w:rFonts w:hint="eastAsia"/>
              </w:rPr>
              <w:t xml:space="preserve">—控制措施按照预期有效控制相应危害。   </w:t>
            </w:r>
            <w:r>
              <w:rPr>
                <w:rFonts w:hint="eastAsia"/>
                <w:color w:val="0000FF"/>
              </w:rPr>
              <w:sym w:font="Wingdings" w:char="00FE"/>
            </w:r>
            <w:r>
              <w:rPr>
                <w:rFonts w:hint="eastAsia"/>
                <w:color w:val="0000FF"/>
              </w:rPr>
              <w:t>有效</w:t>
            </w:r>
            <w:r>
              <w:rPr>
                <w:color w:val="0000FF"/>
              </w:rPr>
              <w:t xml:space="preserve">  </w:t>
            </w:r>
            <w:r>
              <w:rPr>
                <w:rFonts w:hint="eastAsia"/>
                <w:color w:val="0000FF"/>
              </w:rPr>
              <w:t xml:space="preserve"> </w:t>
            </w:r>
            <w:r>
              <w:rPr>
                <w:rFonts w:hint="eastAsia"/>
                <w:color w:val="0000FF"/>
              </w:rPr>
              <w:sym w:font="Wingdings" w:char="00A8"/>
            </w:r>
            <w:r>
              <w:rPr>
                <w:rFonts w:hint="eastAsia"/>
                <w:color w:val="0000FF"/>
              </w:rPr>
              <w:t>失效，说明</w:t>
            </w:r>
            <w:r>
              <w:rPr>
                <w:rFonts w:hint="eastAsia"/>
                <w:color w:val="0000FF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  <w:u w:val="single"/>
                <w:lang w:val="en-US" w:eastAsia="zh-CN"/>
              </w:rPr>
              <w:t>见“HACCP小组审核记录”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color w:val="0000FF"/>
                <w:u w:val="single"/>
              </w:rPr>
              <w:t xml:space="preserve">                         </w:t>
            </w:r>
          </w:p>
          <w:p/>
          <w:p>
            <w:r>
              <w:rPr>
                <w:rFonts w:hint="eastAsia"/>
              </w:rPr>
              <w:t>验证不应由实施监控和纠正措施的人员进行。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是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否</w:t>
            </w:r>
          </w:p>
          <w:p/>
          <w:p>
            <w:r>
              <w:rPr>
                <w:rFonts w:hint="eastAsia"/>
              </w:rPr>
              <w:t>如部分验证活动无法由企业内部实施，可委托具备能力的外部专家或第三方实施。</w:t>
            </w:r>
          </w:p>
          <w:p>
            <w:pPr>
              <w:rPr>
                <w:u w:val="single"/>
              </w:rPr>
            </w:pPr>
            <w:r>
              <w:rPr>
                <w:rFonts w:hint="eastAsia"/>
              </w:rPr>
              <w:t>外部专家或第三方名称：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  <w:u w:val="single"/>
                <w:lang w:val="en-US" w:eastAsia="zh-CN"/>
              </w:rPr>
              <w:t>见“HACCP小组审核记录”</w:t>
            </w:r>
            <w:r>
              <w:rPr>
                <w:rFonts w:hint="eastAsia"/>
                <w:u w:val="single"/>
              </w:rPr>
              <w:t xml:space="preserve">                   ；</w:t>
            </w:r>
          </w:p>
          <w:p>
            <w:pPr>
              <w:rPr>
                <w:u w:val="single"/>
              </w:rPr>
            </w:pPr>
            <w:r>
              <w:rPr>
                <w:rFonts w:hint="eastAsia"/>
              </w:rPr>
              <w:t>外委验证的内容：</w:t>
            </w:r>
            <w:r>
              <w:rPr>
                <w:rFonts w:hint="eastAsia"/>
                <w:u w:val="single"/>
              </w:rPr>
              <w:t xml:space="preserve">       </w:t>
            </w:r>
            <w:r>
              <w:rPr>
                <w:rFonts w:hint="eastAsia"/>
                <w:u w:val="single"/>
                <w:lang w:val="en-US" w:eastAsia="zh-CN"/>
              </w:rPr>
              <w:t>见“HACCP小组审核记录”</w:t>
            </w:r>
            <w:r>
              <w:rPr>
                <w:rFonts w:hint="eastAsia"/>
                <w:u w:val="single"/>
              </w:rPr>
              <w:t xml:space="preserve">         ；</w:t>
            </w:r>
          </w:p>
          <w:p/>
          <w:p>
            <w:pPr>
              <w:pStyle w:val="2"/>
              <w:ind w:left="0" w:leftChars="0" w:firstLine="0" w:firstLineChars="0"/>
              <w:rPr>
                <w:rFonts w:hint="eastAsia" w:ascii="Times New Roman" w:hAnsi="Times New Roman" w:eastAsia="宋体" w:cs="Times New Roman"/>
                <w:color w:val="0000FF"/>
                <w:kern w:val="2"/>
                <w:sz w:val="21"/>
                <w:szCs w:val="20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FF"/>
                <w:kern w:val="2"/>
                <w:sz w:val="21"/>
                <w:szCs w:val="20"/>
                <w:u w:val="single"/>
                <w:lang w:val="en-US" w:eastAsia="zh-CN" w:bidi="ar-SA"/>
              </w:rPr>
              <w:t>产品的安全性验证，果蔬类每批次自测农残、肉类索证验证外，每年索取供方送检的安全性验证报告，具体见“配送部 H3.5条款审核记录”</w:t>
            </w:r>
          </w:p>
          <w:p>
            <w:pPr>
              <w:pStyle w:val="2"/>
              <w:ind w:left="0" w:leftChars="0" w:firstLine="0" w:firstLineChars="0"/>
              <w:rPr>
                <w:rFonts w:hint="default" w:ascii="Times New Roman" w:hAnsi="Times New Roman" w:eastAsia="宋体" w:cs="Times New Roman"/>
                <w:color w:val="0000FF"/>
                <w:kern w:val="2"/>
                <w:sz w:val="21"/>
                <w:szCs w:val="20"/>
                <w:u w:val="single"/>
                <w:lang w:val="en-US" w:eastAsia="zh-CN" w:bidi="ar-SA"/>
              </w:rPr>
            </w:pPr>
          </w:p>
          <w:p>
            <w:r>
              <w:rPr>
                <w:rFonts w:hint="eastAsia"/>
              </w:rPr>
              <w:t>应定期对HACCP体系充分性进行评审，适用时进行重新评审。</w:t>
            </w:r>
          </w:p>
        </w:tc>
        <w:tc>
          <w:tcPr>
            <w:tcW w:w="1063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659" w:type="dxa"/>
            <w:vMerge w:val="restart"/>
            <w:shd w:val="clear" w:color="auto" w:fill="auto"/>
          </w:tcPr>
          <w:p>
            <w:r>
              <w:rPr>
                <w:rFonts w:hint="eastAsia"/>
              </w:rPr>
              <w:t>不合格和纠正措施</w:t>
            </w:r>
          </w:p>
        </w:tc>
        <w:tc>
          <w:tcPr>
            <w:tcW w:w="1000" w:type="dxa"/>
            <w:vMerge w:val="restart"/>
            <w:shd w:val="clear" w:color="auto" w:fill="auto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H(V1.0)</w:t>
            </w:r>
          </w:p>
          <w:p>
            <w:r>
              <w:rPr>
                <w:rFonts w:hint="eastAsia"/>
              </w:rPr>
              <w:t xml:space="preserve">5.1 </w:t>
            </w:r>
          </w:p>
        </w:tc>
        <w:tc>
          <w:tcPr>
            <w:tcW w:w="663" w:type="dxa"/>
            <w:shd w:val="clear" w:color="auto" w:fill="auto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10324" w:type="dxa"/>
            <w:shd w:val="clear" w:color="auto" w:fill="auto"/>
          </w:tcPr>
          <w:p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《不合格</w:t>
            </w:r>
            <w:r>
              <w:rPr>
                <w:rFonts w:hint="eastAsia"/>
                <w:lang w:val="en-US" w:eastAsia="zh-CN"/>
              </w:rPr>
              <w:t>品</w:t>
            </w:r>
            <w:r>
              <w:rPr>
                <w:rFonts w:hint="eastAsia"/>
              </w:rPr>
              <w:t>控制程序》</w:t>
            </w:r>
          </w:p>
        </w:tc>
        <w:tc>
          <w:tcPr>
            <w:tcW w:w="1063" w:type="dxa"/>
            <w:vMerge w:val="restart"/>
            <w:shd w:val="clear" w:color="auto" w:fill="auto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>符合</w:t>
            </w:r>
          </w:p>
          <w:p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659" w:type="dxa"/>
            <w:vMerge w:val="continue"/>
            <w:shd w:val="clear" w:color="auto" w:fill="auto"/>
          </w:tcPr>
          <w:p/>
        </w:tc>
        <w:tc>
          <w:tcPr>
            <w:tcW w:w="1000" w:type="dxa"/>
            <w:vMerge w:val="continue"/>
            <w:shd w:val="clear" w:color="auto" w:fill="auto"/>
          </w:tcPr>
          <w:p/>
        </w:tc>
        <w:tc>
          <w:tcPr>
            <w:tcW w:w="663" w:type="dxa"/>
            <w:shd w:val="clear" w:color="auto" w:fill="auto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10324" w:type="dxa"/>
            <w:shd w:val="clear" w:color="auto" w:fill="auto"/>
          </w:tcPr>
          <w:p>
            <w:r>
              <w:rPr>
                <w:rFonts w:hint="eastAsia"/>
              </w:rPr>
              <w:t>5.1.1 不合格</w:t>
            </w:r>
          </w:p>
          <w:p>
            <w:r>
              <w:rPr>
                <w:rFonts w:hint="eastAsia"/>
              </w:rPr>
              <w:t>抽取不合格原材料处置相关记录名称：</w:t>
            </w:r>
            <w:r>
              <w:rPr>
                <w:rFonts w:hint="eastAsia"/>
                <w:u w:val="single"/>
              </w:rPr>
              <w:t xml:space="preserve">《  </w:t>
            </w:r>
            <w:r>
              <w:rPr>
                <w:rFonts w:hint="eastAsia" w:ascii="Times New Roman" w:hAnsi="Times New Roman" w:eastAsia="宋体" w:cs="Times New Roman"/>
                <w:color w:val="0000FF"/>
                <w:kern w:val="2"/>
                <w:sz w:val="21"/>
                <w:szCs w:val="20"/>
                <w:u w:val="single"/>
                <w:lang w:val="en-US" w:eastAsia="zh-CN" w:bidi="ar-SA"/>
              </w:rPr>
              <w:t xml:space="preserve">审核周期内未发生   </w:t>
            </w:r>
            <w:r>
              <w:rPr>
                <w:rFonts w:hint="eastAsia"/>
                <w:u w:val="single"/>
              </w:rPr>
              <w:t>》</w:t>
            </w:r>
          </w:p>
          <w:tbl>
            <w:tblPr>
              <w:tblStyle w:val="10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7"/>
              <w:gridCol w:w="1620"/>
              <w:gridCol w:w="2165"/>
              <w:gridCol w:w="2445"/>
              <w:gridCol w:w="204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r>
                    <w:rPr>
                      <w:rFonts w:hint="eastAsia"/>
                    </w:rPr>
                    <w:t>日期</w:t>
                  </w:r>
                </w:p>
              </w:tc>
              <w:tc>
                <w:tcPr>
                  <w:tcW w:w="1620" w:type="dxa"/>
                </w:tcPr>
                <w:p>
                  <w:r>
                    <w:rPr>
                      <w:rFonts w:hint="eastAsia"/>
                    </w:rPr>
                    <w:t>物料名称/批次</w:t>
                  </w:r>
                </w:p>
              </w:tc>
              <w:tc>
                <w:tcPr>
                  <w:tcW w:w="2165" w:type="dxa"/>
                </w:tcPr>
                <w:p>
                  <w:r>
                    <w:rPr>
                      <w:rFonts w:hint="eastAsia"/>
                    </w:rPr>
                    <w:t>不合格信息描述</w:t>
                  </w:r>
                </w:p>
              </w:tc>
              <w:tc>
                <w:tcPr>
                  <w:tcW w:w="2445" w:type="dxa"/>
                </w:tcPr>
                <w:p>
                  <w:r>
                    <w:rPr>
                      <w:rFonts w:hint="eastAsia"/>
                    </w:rPr>
                    <w:t>处理方式</w:t>
                  </w:r>
                </w:p>
              </w:tc>
              <w:tc>
                <w:tcPr>
                  <w:tcW w:w="2046" w:type="dxa"/>
                </w:tcPr>
                <w:p>
                  <w:r>
                    <w:rPr>
                      <w:rFonts w:hint="eastAsia"/>
                    </w:rPr>
                    <w:t>纠正之后应验证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pPr>
                    <w:rPr>
                      <w:rFonts w:hint="eastAsia" w:eastAsia="宋体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——</w:t>
                  </w:r>
                </w:p>
              </w:tc>
              <w:tc>
                <w:tcPr>
                  <w:tcW w:w="1620" w:type="dxa"/>
                </w:tcPr>
                <w:p/>
              </w:tc>
              <w:tc>
                <w:tcPr>
                  <w:tcW w:w="2165" w:type="dxa"/>
                </w:tcPr>
                <w:p/>
              </w:tc>
              <w:tc>
                <w:tcPr>
                  <w:tcW w:w="2445" w:type="dxa"/>
                </w:tcPr>
                <w:p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退货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换货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降等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让步接收</w:t>
                  </w:r>
                </w:p>
              </w:tc>
              <w:tc>
                <w:tcPr>
                  <w:tcW w:w="2046" w:type="dxa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767" w:type="dxa"/>
                </w:tcPr>
                <w:p/>
              </w:tc>
              <w:tc>
                <w:tcPr>
                  <w:tcW w:w="1620" w:type="dxa"/>
                </w:tcPr>
                <w:p/>
              </w:tc>
              <w:tc>
                <w:tcPr>
                  <w:tcW w:w="2165" w:type="dxa"/>
                </w:tcPr>
                <w:p/>
              </w:tc>
              <w:tc>
                <w:tcPr>
                  <w:tcW w:w="2445" w:type="dxa"/>
                </w:tcPr>
                <w:p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退货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换货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降等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让步接收</w:t>
                  </w:r>
                </w:p>
              </w:tc>
              <w:tc>
                <w:tcPr>
                  <w:tcW w:w="2046" w:type="dxa"/>
                </w:tcPr>
                <w:p/>
              </w:tc>
            </w:tr>
          </w:tbl>
          <w:p/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抽取不合格半成品处置相关记录名称：</w:t>
            </w:r>
            <w:r>
              <w:rPr>
                <w:rFonts w:hint="eastAsia"/>
                <w:highlight w:val="none"/>
                <w:u w:val="single"/>
              </w:rPr>
              <w:t xml:space="preserve">《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FF"/>
                <w:kern w:val="2"/>
                <w:sz w:val="21"/>
                <w:szCs w:val="20"/>
                <w:u w:val="single"/>
                <w:lang w:val="en-US" w:eastAsia="zh-CN" w:bidi="ar-SA"/>
              </w:rPr>
              <w:t xml:space="preserve">审核周期内未发生  </w:t>
            </w:r>
            <w:r>
              <w:rPr>
                <w:rFonts w:hint="eastAsia"/>
                <w:highlight w:val="none"/>
                <w:u w:val="single"/>
              </w:rPr>
              <w:t xml:space="preserve">    》</w:t>
            </w:r>
          </w:p>
          <w:tbl>
            <w:tblPr>
              <w:tblStyle w:val="10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7"/>
              <w:gridCol w:w="1560"/>
              <w:gridCol w:w="2225"/>
              <w:gridCol w:w="2445"/>
              <w:gridCol w:w="204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日期</w:t>
                  </w:r>
                </w:p>
              </w:tc>
              <w:tc>
                <w:tcPr>
                  <w:tcW w:w="1560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名称/批次</w:t>
                  </w:r>
                </w:p>
              </w:tc>
              <w:tc>
                <w:tcPr>
                  <w:tcW w:w="2225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不合格信息描述</w:t>
                  </w:r>
                </w:p>
              </w:tc>
              <w:tc>
                <w:tcPr>
                  <w:tcW w:w="2445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处理方式</w:t>
                  </w:r>
                </w:p>
              </w:tc>
              <w:tc>
                <w:tcPr>
                  <w:tcW w:w="2046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纠正之后应验证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767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——</w:t>
                  </w:r>
                </w:p>
              </w:tc>
              <w:tc>
                <w:tcPr>
                  <w:tcW w:w="1560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2225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2445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sym w:font="Wingdings 2" w:char="00A3"/>
                  </w:r>
                  <w:r>
                    <w:rPr>
                      <w:rFonts w:hint="eastAsia"/>
                      <w:highlight w:val="none"/>
                    </w:rPr>
                    <w:t xml:space="preserve">返工 </w:t>
                  </w: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 xml:space="preserve">返修 </w:t>
                  </w: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 xml:space="preserve">降等 </w:t>
                  </w: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 xml:space="preserve">报废 </w:t>
                  </w: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 xml:space="preserve">让步接收 </w:t>
                  </w:r>
                </w:p>
              </w:tc>
              <w:tc>
                <w:tcPr>
                  <w:tcW w:w="2046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1560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2225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2445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 xml:space="preserve">返工 </w:t>
                  </w: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 xml:space="preserve">返修 </w:t>
                  </w: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 xml:space="preserve">降等 </w:t>
                  </w: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 xml:space="preserve">报废 </w:t>
                  </w: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 xml:space="preserve">让步接收 </w:t>
                  </w:r>
                </w:p>
              </w:tc>
              <w:tc>
                <w:tcPr>
                  <w:tcW w:w="2046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</w:tr>
          </w:tbl>
          <w:p/>
          <w:p>
            <w:r>
              <w:rPr>
                <w:rFonts w:hint="eastAsia"/>
              </w:rPr>
              <w:t>抽取不合格成品处置相关记录名称：</w:t>
            </w:r>
            <w:r>
              <w:rPr>
                <w:rFonts w:hint="eastAsia"/>
                <w:u w:val="single"/>
              </w:rPr>
              <w:t xml:space="preserve">《  </w:t>
            </w:r>
            <w:r>
              <w:rPr>
                <w:rFonts w:hint="eastAsia" w:ascii="Times New Roman" w:hAnsi="Times New Roman" w:eastAsia="宋体" w:cs="Times New Roman"/>
                <w:color w:val="0000FF"/>
                <w:kern w:val="2"/>
                <w:sz w:val="21"/>
                <w:szCs w:val="20"/>
                <w:u w:val="single"/>
                <w:lang w:val="en-US" w:eastAsia="zh-CN" w:bidi="ar-SA"/>
              </w:rPr>
              <w:t xml:space="preserve">审核周期内未发生  </w:t>
            </w:r>
            <w:r>
              <w:rPr>
                <w:rFonts w:hint="eastAsia"/>
                <w:u w:val="single"/>
              </w:rPr>
              <w:t xml:space="preserve">    》</w:t>
            </w:r>
          </w:p>
          <w:tbl>
            <w:tblPr>
              <w:tblStyle w:val="10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7"/>
              <w:gridCol w:w="1580"/>
              <w:gridCol w:w="2205"/>
              <w:gridCol w:w="2445"/>
              <w:gridCol w:w="204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r>
                    <w:rPr>
                      <w:rFonts w:hint="eastAsia"/>
                    </w:rPr>
                    <w:t>日期</w:t>
                  </w:r>
                </w:p>
              </w:tc>
              <w:tc>
                <w:tcPr>
                  <w:tcW w:w="1580" w:type="dxa"/>
                </w:tcPr>
                <w:p>
                  <w:r>
                    <w:rPr>
                      <w:rFonts w:hint="eastAsia"/>
                    </w:rPr>
                    <w:t>名称/批次</w:t>
                  </w:r>
                </w:p>
              </w:tc>
              <w:tc>
                <w:tcPr>
                  <w:tcW w:w="2205" w:type="dxa"/>
                </w:tcPr>
                <w:p>
                  <w:r>
                    <w:rPr>
                      <w:rFonts w:hint="eastAsia"/>
                    </w:rPr>
                    <w:t>不合格信息描述</w:t>
                  </w:r>
                </w:p>
              </w:tc>
              <w:tc>
                <w:tcPr>
                  <w:tcW w:w="2445" w:type="dxa"/>
                </w:tcPr>
                <w:p>
                  <w:r>
                    <w:rPr>
                      <w:rFonts w:hint="eastAsia"/>
                    </w:rPr>
                    <w:t>处理方式</w:t>
                  </w:r>
                </w:p>
              </w:tc>
              <w:tc>
                <w:tcPr>
                  <w:tcW w:w="2046" w:type="dxa"/>
                </w:tcPr>
                <w:p>
                  <w:r>
                    <w:rPr>
                      <w:rFonts w:hint="eastAsia"/>
                    </w:rPr>
                    <w:t>纠正之后应验证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pPr>
                    <w:rPr>
                      <w:rFonts w:hint="eastAsia" w:eastAsia="宋体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——</w:t>
                  </w:r>
                </w:p>
              </w:tc>
              <w:tc>
                <w:tcPr>
                  <w:tcW w:w="1580" w:type="dxa"/>
                </w:tcPr>
                <w:p/>
              </w:tc>
              <w:tc>
                <w:tcPr>
                  <w:tcW w:w="2205" w:type="dxa"/>
                </w:tcPr>
                <w:p/>
              </w:tc>
              <w:tc>
                <w:tcPr>
                  <w:tcW w:w="2445" w:type="dxa"/>
                </w:tcPr>
                <w:p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返工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返修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降等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报废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让步接收</w:t>
                  </w:r>
                </w:p>
              </w:tc>
              <w:tc>
                <w:tcPr>
                  <w:tcW w:w="2046" w:type="dxa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/>
              </w:tc>
              <w:tc>
                <w:tcPr>
                  <w:tcW w:w="1580" w:type="dxa"/>
                </w:tcPr>
                <w:p/>
              </w:tc>
              <w:tc>
                <w:tcPr>
                  <w:tcW w:w="2205" w:type="dxa"/>
                </w:tcPr>
                <w:p/>
              </w:tc>
              <w:tc>
                <w:tcPr>
                  <w:tcW w:w="2445" w:type="dxa"/>
                </w:tcPr>
                <w:p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返工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返修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降等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报废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让步接收</w:t>
                  </w:r>
                </w:p>
              </w:tc>
              <w:tc>
                <w:tcPr>
                  <w:tcW w:w="2046" w:type="dxa"/>
                </w:tcPr>
                <w:p/>
              </w:tc>
            </w:tr>
          </w:tbl>
          <w:p/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抽取出厂后不合格成品处置相关记录：名称：</w:t>
            </w:r>
            <w:r>
              <w:rPr>
                <w:rFonts w:hint="eastAsia"/>
                <w:highlight w:val="none"/>
                <w:u w:val="single"/>
              </w:rPr>
              <w:t>《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FF"/>
                <w:kern w:val="2"/>
                <w:sz w:val="21"/>
                <w:szCs w:val="20"/>
                <w:u w:val="single"/>
                <w:lang w:val="en-US" w:eastAsia="zh-CN" w:bidi="ar-SA"/>
              </w:rPr>
              <w:t xml:space="preserve">审核周期内未发生  </w:t>
            </w:r>
            <w:r>
              <w:rPr>
                <w:rFonts w:hint="eastAsia"/>
                <w:highlight w:val="none"/>
                <w:u w:val="single"/>
              </w:rPr>
              <w:t>》</w:t>
            </w:r>
          </w:p>
          <w:tbl>
            <w:tblPr>
              <w:tblStyle w:val="10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7"/>
              <w:gridCol w:w="1580"/>
              <w:gridCol w:w="2205"/>
              <w:gridCol w:w="2445"/>
              <w:gridCol w:w="204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日期</w:t>
                  </w:r>
                </w:p>
              </w:tc>
              <w:tc>
                <w:tcPr>
                  <w:tcW w:w="1580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名称/批次</w:t>
                  </w:r>
                </w:p>
              </w:tc>
              <w:tc>
                <w:tcPr>
                  <w:tcW w:w="2205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不合格信息描述</w:t>
                  </w:r>
                </w:p>
              </w:tc>
              <w:tc>
                <w:tcPr>
                  <w:tcW w:w="2445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处理方式</w:t>
                  </w:r>
                </w:p>
              </w:tc>
              <w:tc>
                <w:tcPr>
                  <w:tcW w:w="2046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纠正之后应验证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1580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2205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2445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 xml:space="preserve">退货 </w:t>
                  </w: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 xml:space="preserve">换货 </w:t>
                  </w: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sym w:font="Wingdings 2" w:char="0052"/>
                  </w:r>
                  <w:r>
                    <w:rPr>
                      <w:rFonts w:hint="eastAsia"/>
                      <w:highlight w:val="none"/>
                    </w:rPr>
                    <w:t xml:space="preserve">降等 </w:t>
                  </w: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 xml:space="preserve">道歉 </w:t>
                  </w: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 xml:space="preserve">赔偿 </w:t>
                  </w: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 xml:space="preserve">召回  </w:t>
                  </w: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 xml:space="preserve">让步接收   </w:t>
                  </w:r>
                </w:p>
              </w:tc>
              <w:tc>
                <w:tcPr>
                  <w:tcW w:w="2046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客户接受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1580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2205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2445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 xml:space="preserve">退货 </w:t>
                  </w: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 xml:space="preserve">换货 </w:t>
                  </w: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 xml:space="preserve">降等 </w:t>
                  </w: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 xml:space="preserve">道歉 </w:t>
                  </w: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 xml:space="preserve">赔偿 </w:t>
                  </w: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 xml:space="preserve">召回  </w:t>
                  </w: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 xml:space="preserve">让步接收   </w:t>
                  </w:r>
                </w:p>
              </w:tc>
              <w:tc>
                <w:tcPr>
                  <w:tcW w:w="2046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</w:tr>
          </w:tbl>
          <w:p/>
          <w:p>
            <w:r>
              <w:rPr>
                <w:rFonts w:hint="eastAsia"/>
              </w:rPr>
              <w:t>抽取出厂后不合格服务相关记录名称：</w:t>
            </w:r>
            <w:r>
              <w:rPr>
                <w:rFonts w:hint="eastAsia"/>
                <w:u w:val="single"/>
              </w:rPr>
              <w:t xml:space="preserve">《     </w:t>
            </w:r>
            <w:r>
              <w:rPr>
                <w:rFonts w:hint="eastAsia"/>
                <w:u w:val="single"/>
                <w:lang w:eastAsia="zh-CN"/>
              </w:rPr>
              <w:t>——</w:t>
            </w:r>
            <w:r>
              <w:rPr>
                <w:rFonts w:hint="eastAsia"/>
                <w:u w:val="single"/>
              </w:rPr>
              <w:t xml:space="preserve">      》</w:t>
            </w:r>
          </w:p>
          <w:tbl>
            <w:tblPr>
              <w:tblStyle w:val="10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7"/>
              <w:gridCol w:w="1580"/>
              <w:gridCol w:w="2205"/>
              <w:gridCol w:w="2445"/>
              <w:gridCol w:w="204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r>
                    <w:rPr>
                      <w:rFonts w:hint="eastAsia"/>
                    </w:rPr>
                    <w:t>日期</w:t>
                  </w:r>
                </w:p>
              </w:tc>
              <w:tc>
                <w:tcPr>
                  <w:tcW w:w="1580" w:type="dxa"/>
                </w:tcPr>
                <w:p>
                  <w:r>
                    <w:rPr>
                      <w:rFonts w:hint="eastAsia"/>
                    </w:rPr>
                    <w:t>人员/岗位</w:t>
                  </w:r>
                </w:p>
              </w:tc>
              <w:tc>
                <w:tcPr>
                  <w:tcW w:w="2205" w:type="dxa"/>
                </w:tcPr>
                <w:p>
                  <w:r>
                    <w:rPr>
                      <w:rFonts w:hint="eastAsia"/>
                    </w:rPr>
                    <w:t>不合格信息描述</w:t>
                  </w:r>
                </w:p>
              </w:tc>
              <w:tc>
                <w:tcPr>
                  <w:tcW w:w="2445" w:type="dxa"/>
                </w:tcPr>
                <w:p>
                  <w:r>
                    <w:rPr>
                      <w:rFonts w:hint="eastAsia"/>
                    </w:rPr>
                    <w:t>处理方式</w:t>
                  </w:r>
                </w:p>
              </w:tc>
              <w:tc>
                <w:tcPr>
                  <w:tcW w:w="2046" w:type="dxa"/>
                </w:tcPr>
                <w:p>
                  <w:r>
                    <w:rPr>
                      <w:rFonts w:hint="eastAsia"/>
                    </w:rPr>
                    <w:t>纠正之后应验证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/>
              </w:tc>
              <w:tc>
                <w:tcPr>
                  <w:tcW w:w="1580" w:type="dxa"/>
                </w:tcPr>
                <w:p/>
              </w:tc>
              <w:tc>
                <w:tcPr>
                  <w:tcW w:w="2205" w:type="dxa"/>
                </w:tcPr>
                <w:p/>
              </w:tc>
              <w:tc>
                <w:tcPr>
                  <w:tcW w:w="2445" w:type="dxa"/>
                </w:tcPr>
                <w:p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道歉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赔偿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暂停服务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让步接收</w:t>
                  </w:r>
                </w:p>
              </w:tc>
              <w:tc>
                <w:tcPr>
                  <w:tcW w:w="2046" w:type="dxa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/>
              </w:tc>
              <w:tc>
                <w:tcPr>
                  <w:tcW w:w="1580" w:type="dxa"/>
                </w:tcPr>
                <w:p/>
              </w:tc>
              <w:tc>
                <w:tcPr>
                  <w:tcW w:w="2205" w:type="dxa"/>
                </w:tcPr>
                <w:p/>
              </w:tc>
              <w:tc>
                <w:tcPr>
                  <w:tcW w:w="2445" w:type="dxa"/>
                </w:tcPr>
                <w:p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道歉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赔偿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暂停服务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让步接收</w:t>
                  </w:r>
                </w:p>
              </w:tc>
              <w:tc>
                <w:tcPr>
                  <w:tcW w:w="2046" w:type="dxa"/>
                </w:tcPr>
                <w:p/>
              </w:tc>
            </w:tr>
          </w:tbl>
          <w:p/>
          <w:p>
            <w:r>
              <w:rPr>
                <w:rFonts w:hint="eastAsia"/>
              </w:rPr>
              <w:t>上述不合格处置的人员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</w:rPr>
              <w:t xml:space="preserve">与公司授权一致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</w:rPr>
              <w:t>与公司授权存在不一致</w:t>
            </w:r>
          </w:p>
        </w:tc>
        <w:tc>
          <w:tcPr>
            <w:tcW w:w="1063" w:type="dxa"/>
            <w:vMerge w:val="continue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659" w:type="dxa"/>
            <w:vMerge w:val="restart"/>
            <w:shd w:val="clear" w:color="auto" w:fill="auto"/>
          </w:tcPr>
          <w:p>
            <w:r>
              <w:rPr>
                <w:rFonts w:hint="eastAsia"/>
              </w:rPr>
              <w:t>纠正措施</w:t>
            </w:r>
          </w:p>
          <w:p/>
        </w:tc>
        <w:tc>
          <w:tcPr>
            <w:tcW w:w="1000" w:type="dxa"/>
            <w:vMerge w:val="restart"/>
            <w:shd w:val="clear" w:color="auto" w:fill="auto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H(V1.0)</w:t>
            </w:r>
          </w:p>
          <w:p>
            <w:r>
              <w:rPr>
                <w:rFonts w:hint="eastAsia"/>
              </w:rPr>
              <w:t xml:space="preserve">5.1.2 </w:t>
            </w:r>
          </w:p>
          <w:p/>
        </w:tc>
        <w:tc>
          <w:tcPr>
            <w:tcW w:w="663" w:type="dxa"/>
            <w:shd w:val="clear" w:color="auto" w:fill="auto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10324" w:type="dxa"/>
            <w:shd w:val="clear" w:color="auto" w:fill="auto"/>
          </w:tcPr>
          <w:p>
            <w:r>
              <w:rPr/>
              <w:sym w:font="Wingdings" w:char="00FE"/>
            </w:r>
            <w:r>
              <w:rPr>
                <w:rFonts w:hint="eastAsia"/>
              </w:rPr>
              <w:t>《纠正措施控制程序》</w:t>
            </w:r>
          </w:p>
        </w:tc>
        <w:tc>
          <w:tcPr>
            <w:tcW w:w="1063" w:type="dxa"/>
            <w:vMerge w:val="restart"/>
            <w:shd w:val="clear" w:color="auto" w:fill="auto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>符合</w:t>
            </w:r>
          </w:p>
          <w:p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659" w:type="dxa"/>
            <w:vMerge w:val="continue"/>
            <w:shd w:val="clear" w:color="auto" w:fill="auto"/>
          </w:tcPr>
          <w:p/>
        </w:tc>
        <w:tc>
          <w:tcPr>
            <w:tcW w:w="1000" w:type="dxa"/>
            <w:vMerge w:val="continue"/>
            <w:shd w:val="clear" w:color="auto" w:fill="auto"/>
          </w:tcPr>
          <w:p/>
        </w:tc>
        <w:tc>
          <w:tcPr>
            <w:tcW w:w="663" w:type="dxa"/>
            <w:shd w:val="clear" w:color="auto" w:fill="auto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10324" w:type="dxa"/>
            <w:shd w:val="clear" w:color="auto" w:fill="auto"/>
          </w:tcPr>
          <w:p>
            <w:r>
              <w:rPr>
                <w:rFonts w:hint="eastAsia"/>
              </w:rPr>
              <w:t>不符合的来源：</w:t>
            </w:r>
          </w:p>
          <w:p>
            <w:r>
              <w:rPr/>
              <w:sym w:font="Wingdings" w:char="00A8"/>
            </w:r>
            <w:r>
              <w:rPr>
                <w:rFonts w:hint="eastAsia"/>
              </w:rPr>
              <w:t xml:space="preserve">顾客投诉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食品安全问题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工作运行中的问题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其他  </w:t>
            </w:r>
          </w:p>
          <w:p>
            <w:pPr>
              <w:rPr>
                <w:u w:val="single"/>
              </w:rPr>
            </w:pPr>
            <w:r>
              <w:rPr>
                <w:rFonts w:hint="eastAsia"/>
              </w:rPr>
              <w:t>抽查采取纠正措施相关记录名称：</w:t>
            </w:r>
            <w:r>
              <w:rPr>
                <w:rFonts w:hint="eastAsia"/>
                <w:u w:val="single"/>
              </w:rPr>
              <w:t xml:space="preserve">《 </w:t>
            </w:r>
            <w:r>
              <w:rPr>
                <w:rFonts w:hint="eastAsia" w:ascii="Times New Roman" w:hAnsi="Times New Roman" w:eastAsia="宋体" w:cs="Times New Roman"/>
                <w:color w:val="0000FF"/>
                <w:kern w:val="2"/>
                <w:sz w:val="21"/>
                <w:szCs w:val="20"/>
                <w:u w:val="single"/>
                <w:lang w:val="en-US" w:eastAsia="zh-CN" w:bidi="ar-SA"/>
              </w:rPr>
              <w:t xml:space="preserve">审核周期内未发生  </w:t>
            </w:r>
            <w:r>
              <w:rPr>
                <w:rFonts w:hint="eastAsia"/>
                <w:u w:val="single"/>
              </w:rPr>
              <w:t xml:space="preserve">  》     </w:t>
            </w:r>
          </w:p>
          <w:p>
            <w:pPr>
              <w:rPr>
                <w:u w:val="single"/>
              </w:rPr>
            </w:pPr>
          </w:p>
          <w:tbl>
            <w:tblPr>
              <w:tblStyle w:val="10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97"/>
              <w:gridCol w:w="1563"/>
              <w:gridCol w:w="1390"/>
              <w:gridCol w:w="1680"/>
              <w:gridCol w:w="2105"/>
              <w:gridCol w:w="150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97" w:type="dxa"/>
                </w:tcPr>
                <w:p>
                  <w:r>
                    <w:rPr>
                      <w:rFonts w:hint="eastAsia"/>
                    </w:rPr>
                    <w:t>日期</w:t>
                  </w:r>
                </w:p>
              </w:tc>
              <w:tc>
                <w:tcPr>
                  <w:tcW w:w="1563" w:type="dxa"/>
                </w:tcPr>
                <w:p>
                  <w:r>
                    <w:rPr>
                      <w:rFonts w:hint="eastAsia"/>
                    </w:rPr>
                    <w:t>不符合描述</w:t>
                  </w:r>
                </w:p>
              </w:tc>
              <w:tc>
                <w:tcPr>
                  <w:tcW w:w="1390" w:type="dxa"/>
                </w:tcPr>
                <w:p>
                  <w:r>
                    <w:rPr>
                      <w:rFonts w:hint="eastAsia"/>
                    </w:rPr>
                    <w:t>不符合纠正</w:t>
                  </w:r>
                </w:p>
              </w:tc>
              <w:tc>
                <w:tcPr>
                  <w:tcW w:w="1680" w:type="dxa"/>
                </w:tcPr>
                <w:p>
                  <w:r>
                    <w:rPr>
                      <w:rFonts w:hint="eastAsia"/>
                    </w:rPr>
                    <w:t>原因分析</w:t>
                  </w:r>
                </w:p>
              </w:tc>
              <w:tc>
                <w:tcPr>
                  <w:tcW w:w="2105" w:type="dxa"/>
                </w:tcPr>
                <w:p>
                  <w:r>
                    <w:rPr>
                      <w:rFonts w:hint="eastAsia"/>
                    </w:rPr>
                    <w:t>纠正措施</w:t>
                  </w:r>
                </w:p>
              </w:tc>
              <w:tc>
                <w:tcPr>
                  <w:tcW w:w="1508" w:type="dxa"/>
                </w:tcPr>
                <w:p>
                  <w:r>
                    <w:rPr>
                      <w:rFonts w:hint="eastAsia"/>
                    </w:rPr>
                    <w:t>有效性评价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97" w:type="dxa"/>
                </w:tcPr>
                <w:p>
                  <w:pPr>
                    <w:rPr>
                      <w:rFonts w:hint="eastAsia" w:eastAsia="宋体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——</w:t>
                  </w:r>
                </w:p>
              </w:tc>
              <w:tc>
                <w:tcPr>
                  <w:tcW w:w="1563" w:type="dxa"/>
                </w:tcPr>
                <w:p>
                  <w:pPr>
                    <w:rPr>
                      <w:rFonts w:hint="default"/>
                      <w:lang w:val="en-US"/>
                    </w:rPr>
                  </w:pPr>
                </w:p>
              </w:tc>
              <w:tc>
                <w:tcPr>
                  <w:tcW w:w="1390" w:type="dxa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</w:p>
              </w:tc>
              <w:tc>
                <w:tcPr>
                  <w:tcW w:w="1680" w:type="dxa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</w:p>
              </w:tc>
              <w:tc>
                <w:tcPr>
                  <w:tcW w:w="2105" w:type="dxa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</w:p>
              </w:tc>
              <w:tc>
                <w:tcPr>
                  <w:tcW w:w="1508" w:type="dxa"/>
                </w:tcPr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未再次发生</w:t>
                  </w:r>
                </w:p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再次发生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97" w:type="dxa"/>
                </w:tcPr>
                <w:p/>
              </w:tc>
              <w:tc>
                <w:tcPr>
                  <w:tcW w:w="1563" w:type="dxa"/>
                </w:tcPr>
                <w:p/>
              </w:tc>
              <w:tc>
                <w:tcPr>
                  <w:tcW w:w="1390" w:type="dxa"/>
                </w:tcPr>
                <w:p/>
              </w:tc>
              <w:tc>
                <w:tcPr>
                  <w:tcW w:w="1680" w:type="dxa"/>
                </w:tcPr>
                <w:p/>
              </w:tc>
              <w:tc>
                <w:tcPr>
                  <w:tcW w:w="2105" w:type="dxa"/>
                </w:tcPr>
                <w:p/>
              </w:tc>
              <w:tc>
                <w:tcPr>
                  <w:tcW w:w="1508" w:type="dxa"/>
                </w:tcPr>
                <w:p/>
              </w:tc>
            </w:tr>
          </w:tbl>
          <w:p/>
          <w:p>
            <w:r>
              <w:rPr>
                <w:rFonts w:hint="eastAsia"/>
              </w:rPr>
              <w:t>纠正措施是否与不合格所产生的影响相适应。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是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否</w:t>
            </w:r>
          </w:p>
        </w:tc>
        <w:tc>
          <w:tcPr>
            <w:tcW w:w="1063" w:type="dxa"/>
            <w:vMerge w:val="continue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659" w:type="dxa"/>
            <w:vMerge w:val="restart"/>
            <w:shd w:val="clear" w:color="auto" w:fill="auto"/>
          </w:tcPr>
          <w:p>
            <w:r>
              <w:rPr>
                <w:rFonts w:hint="eastAsia"/>
              </w:rPr>
              <w:t>不合格处置</w:t>
            </w:r>
          </w:p>
        </w:tc>
        <w:tc>
          <w:tcPr>
            <w:tcW w:w="1000" w:type="dxa"/>
            <w:vMerge w:val="restart"/>
            <w:shd w:val="clear" w:color="auto" w:fill="auto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H(V1.0)</w:t>
            </w:r>
          </w:p>
          <w:p>
            <w:r>
              <w:rPr>
                <w:rFonts w:hint="eastAsia"/>
              </w:rPr>
              <w:t xml:space="preserve">5.1.3 </w:t>
            </w:r>
          </w:p>
        </w:tc>
        <w:tc>
          <w:tcPr>
            <w:tcW w:w="663" w:type="dxa"/>
            <w:shd w:val="clear" w:color="auto" w:fill="auto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10324" w:type="dxa"/>
            <w:shd w:val="clear" w:color="auto" w:fill="auto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  <w:lang w:eastAsia="zh-CN"/>
              </w:rPr>
              <w:t>《</w:t>
            </w:r>
            <w:r>
              <w:rPr>
                <w:rFonts w:hint="eastAsia"/>
                <w:lang w:val="en-US" w:eastAsia="zh-CN"/>
              </w:rPr>
              <w:t>不合格品控制程序</w:t>
            </w:r>
            <w:r>
              <w:rPr>
                <w:rFonts w:hint="eastAsia"/>
                <w:lang w:eastAsia="zh-CN"/>
              </w:rPr>
              <w:t>》</w:t>
            </w:r>
          </w:p>
        </w:tc>
        <w:tc>
          <w:tcPr>
            <w:tcW w:w="1063" w:type="dxa"/>
            <w:vMerge w:val="restart"/>
            <w:shd w:val="clear" w:color="auto" w:fill="auto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>符合</w:t>
            </w:r>
          </w:p>
          <w:p>
            <w:pPr>
              <w:pStyle w:val="12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659" w:type="dxa"/>
            <w:vMerge w:val="continue"/>
          </w:tcPr>
          <w:p/>
        </w:tc>
        <w:tc>
          <w:tcPr>
            <w:tcW w:w="1000" w:type="dxa"/>
            <w:vMerge w:val="continue"/>
          </w:tcPr>
          <w:p/>
        </w:tc>
        <w:tc>
          <w:tcPr>
            <w:tcW w:w="663" w:type="dxa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10324" w:type="dxa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企业应保留不合格处置记录，以作为以下证据：</w:t>
            </w:r>
            <w:r>
              <w:rPr>
                <w:rFonts w:hint="eastAsia"/>
                <w:lang w:eastAsia="zh-CN"/>
              </w:rPr>
              <w:t>——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FF"/>
                <w:kern w:val="2"/>
                <w:sz w:val="21"/>
                <w:szCs w:val="20"/>
                <w:u w:val="single"/>
                <w:lang w:val="en-US" w:eastAsia="zh-CN" w:bidi="ar-SA"/>
              </w:rPr>
              <w:t xml:space="preserve">审核周期内未发生  </w:t>
            </w:r>
          </w:p>
          <w:p>
            <w:r>
              <w:rPr>
                <w:rFonts w:hint="eastAsia"/>
              </w:rPr>
              <w:t>a）不合格的性质以及随后采取的措施；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b）纠正措施的结果。</w:t>
            </w:r>
          </w:p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u w:val="single"/>
                <w:lang w:val="en-US" w:eastAsia="zh-CN"/>
              </w:rPr>
              <w:t>已保留，见《不合格品评审单》</w:t>
            </w:r>
          </w:p>
        </w:tc>
        <w:tc>
          <w:tcPr>
            <w:tcW w:w="1063" w:type="dxa"/>
            <w:vMerge w:val="continue"/>
          </w:tcPr>
          <w:p/>
        </w:tc>
      </w:tr>
    </w:tbl>
    <w:p/>
    <w:p/>
    <w:p>
      <w:pPr>
        <w:pStyle w:val="6"/>
      </w:pPr>
      <w:r>
        <w:rPr>
          <w:rFonts w:hint="eastAsia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6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6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-7620</wp:posOffset>
          </wp:positionH>
          <wp:positionV relativeFrom="paragraph">
            <wp:posOffset>-48260</wp:posOffset>
          </wp:positionV>
          <wp:extent cx="481330" cy="484505"/>
          <wp:effectExtent l="0" t="0" r="1270" b="10795"/>
          <wp:wrapTopAndBottom/>
          <wp:docPr id="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6"/>
        <w:rFonts w:hint="default"/>
      </w:rPr>
      <w:t>北京国标联合认证有限公司</w:t>
    </w:r>
    <w:r>
      <w:rPr>
        <w:rStyle w:val="16"/>
        <w:rFonts w:hint="default"/>
      </w:rPr>
      <w:tab/>
    </w:r>
    <w:r>
      <w:rPr>
        <w:rStyle w:val="16"/>
        <w:rFonts w:hint="default"/>
      </w:rPr>
      <w:tab/>
    </w:r>
    <w:r>
      <w:rPr>
        <w:rStyle w:val="16"/>
        <w:rFonts w:hint="default"/>
      </w:rPr>
      <w:tab/>
    </w:r>
  </w:p>
  <w:p>
    <w:pPr>
      <w:pStyle w:val="7"/>
      <w:pBdr>
        <w:bottom w:val="none" w:color="auto" w:sz="0" w:space="1"/>
      </w:pBdr>
      <w:spacing w:line="320" w:lineRule="exact"/>
      <w:ind w:firstLine="720" w:firstLineChars="400"/>
      <w:jc w:val="lef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7045325</wp:posOffset>
              </wp:positionH>
              <wp:positionV relativeFrom="paragraph">
                <wp:posOffset>27940</wp:posOffset>
              </wp:positionV>
              <wp:extent cx="2184400" cy="256540"/>
              <wp:effectExtent l="0" t="0" r="0" b="1016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823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  <w:lang w:val="en-US" w:eastAsia="zh-CN"/>
                            </w:rPr>
                            <w:t>I</w:t>
                          </w:r>
                          <w:r>
                            <w:rPr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  <w:lang w:val="en-US" w:eastAsia="zh-CN"/>
                            </w:rPr>
                            <w:t xml:space="preserve">12  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  <w:lang w:val="en-US" w:eastAsia="zh-CN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54.75pt;margin-top:2.2pt;height:20.2pt;width:172pt;z-index:251659264;mso-width-relative:page;mso-height-relative:page;" fillcolor="#FFFFFF" filled="t" stroked="f" coordsize="21600,21600" o:gfxdata="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CEGquXWAAAACgEAAA8AAAAAAAAAAQAgAAAAIgAA&#10;AGRycy9kb3ducmV2LnhtbFBLAQIUABQAAAAIAIdO4kCPdkp10QEAAI4DAAAOAAAAAAAAAAEAIAAA&#10;ACUBAABkcnMvZTJvRG9jLnhtbFBLBQYAAAAABgAGAFkBAABo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rFonts w:hint="eastAsia"/>
                        <w:sz w:val="18"/>
                        <w:szCs w:val="18"/>
                        <w:lang w:val="en-US" w:eastAsia="zh-CN"/>
                      </w:rPr>
                      <w:t>I</w:t>
                    </w:r>
                    <w:r>
                      <w:rPr>
                        <w:sz w:val="18"/>
                        <w:szCs w:val="18"/>
                      </w:rPr>
                      <w:t>I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rFonts w:hint="eastAsia"/>
                        <w:sz w:val="18"/>
                        <w:szCs w:val="18"/>
                        <w:lang w:val="en-US" w:eastAsia="zh-CN"/>
                      </w:rPr>
                      <w:t xml:space="preserve">12  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</w:t>
                    </w:r>
                    <w:r>
                      <w:rPr>
                        <w:rFonts w:hint="eastAsia"/>
                        <w:sz w:val="18"/>
                        <w:szCs w:val="18"/>
                        <w:lang w:val="en-US" w:eastAsia="zh-CN"/>
                      </w:rPr>
                      <w:t>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版)</w:t>
                    </w:r>
                  </w:p>
                </w:txbxContent>
              </v:textbox>
            </v:shape>
          </w:pict>
        </mc:Fallback>
      </mc:AlternateContent>
    </w:r>
    <w:r>
      <w:rPr>
        <w:rStyle w:val="16"/>
        <w:rFonts w:hint="default"/>
        <w:w w:val="90"/>
      </w:rPr>
      <w:t>Beijing International Standard united Certification Co.,Ltd.</w:t>
    </w:r>
  </w:p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3N2UwYzRjODcyYjBmZWI4OGFkMDIyNTk1M2M5ZTMifQ=="/>
  </w:docVars>
  <w:rsids>
    <w:rsidRoot w:val="009973B4"/>
    <w:rsid w:val="000237F6"/>
    <w:rsid w:val="0003373A"/>
    <w:rsid w:val="000400E2"/>
    <w:rsid w:val="00062E46"/>
    <w:rsid w:val="00064FB3"/>
    <w:rsid w:val="0008296E"/>
    <w:rsid w:val="000C2DCE"/>
    <w:rsid w:val="000E6B21"/>
    <w:rsid w:val="00101728"/>
    <w:rsid w:val="001139D4"/>
    <w:rsid w:val="00186260"/>
    <w:rsid w:val="001A2D7F"/>
    <w:rsid w:val="001F7537"/>
    <w:rsid w:val="002165CB"/>
    <w:rsid w:val="002939AD"/>
    <w:rsid w:val="002A028A"/>
    <w:rsid w:val="002E67B3"/>
    <w:rsid w:val="00314AF6"/>
    <w:rsid w:val="00337922"/>
    <w:rsid w:val="00340867"/>
    <w:rsid w:val="00375754"/>
    <w:rsid w:val="00380837"/>
    <w:rsid w:val="003A198A"/>
    <w:rsid w:val="003B13B8"/>
    <w:rsid w:val="003C1754"/>
    <w:rsid w:val="003C641B"/>
    <w:rsid w:val="003C7DBF"/>
    <w:rsid w:val="003E2647"/>
    <w:rsid w:val="00410914"/>
    <w:rsid w:val="004304D8"/>
    <w:rsid w:val="00440274"/>
    <w:rsid w:val="004B42A9"/>
    <w:rsid w:val="004E3507"/>
    <w:rsid w:val="005310FB"/>
    <w:rsid w:val="00536930"/>
    <w:rsid w:val="005472E3"/>
    <w:rsid w:val="00564E53"/>
    <w:rsid w:val="005C0A06"/>
    <w:rsid w:val="005D5659"/>
    <w:rsid w:val="00600C20"/>
    <w:rsid w:val="00644FE2"/>
    <w:rsid w:val="00674E7B"/>
    <w:rsid w:val="0067640C"/>
    <w:rsid w:val="00676974"/>
    <w:rsid w:val="00687324"/>
    <w:rsid w:val="006E668E"/>
    <w:rsid w:val="006E678B"/>
    <w:rsid w:val="00737F57"/>
    <w:rsid w:val="007757F3"/>
    <w:rsid w:val="007B4D48"/>
    <w:rsid w:val="007C1B48"/>
    <w:rsid w:val="007E6AEB"/>
    <w:rsid w:val="007F652D"/>
    <w:rsid w:val="008973EE"/>
    <w:rsid w:val="008B432D"/>
    <w:rsid w:val="00971600"/>
    <w:rsid w:val="00990C06"/>
    <w:rsid w:val="009973B4"/>
    <w:rsid w:val="009C1290"/>
    <w:rsid w:val="009C28C1"/>
    <w:rsid w:val="009C5776"/>
    <w:rsid w:val="009F7EED"/>
    <w:rsid w:val="00A80636"/>
    <w:rsid w:val="00AF0AAB"/>
    <w:rsid w:val="00B4743E"/>
    <w:rsid w:val="00B843D3"/>
    <w:rsid w:val="00BC1484"/>
    <w:rsid w:val="00BF3CC7"/>
    <w:rsid w:val="00BF597E"/>
    <w:rsid w:val="00C51A36"/>
    <w:rsid w:val="00C55228"/>
    <w:rsid w:val="00C63768"/>
    <w:rsid w:val="00C9058E"/>
    <w:rsid w:val="00CD2D54"/>
    <w:rsid w:val="00CE315A"/>
    <w:rsid w:val="00D06F59"/>
    <w:rsid w:val="00D807A3"/>
    <w:rsid w:val="00D8388C"/>
    <w:rsid w:val="00DC731C"/>
    <w:rsid w:val="00E46E55"/>
    <w:rsid w:val="00E6224C"/>
    <w:rsid w:val="00E70AD6"/>
    <w:rsid w:val="00E70BFD"/>
    <w:rsid w:val="00E91025"/>
    <w:rsid w:val="00EA002E"/>
    <w:rsid w:val="00EB0164"/>
    <w:rsid w:val="00ED0F62"/>
    <w:rsid w:val="00EF2D8F"/>
    <w:rsid w:val="00F10EBC"/>
    <w:rsid w:val="00FA4815"/>
    <w:rsid w:val="00FD40FA"/>
    <w:rsid w:val="00FF6A5E"/>
    <w:rsid w:val="015D4D12"/>
    <w:rsid w:val="06266A4B"/>
    <w:rsid w:val="063C100F"/>
    <w:rsid w:val="06CD2AC4"/>
    <w:rsid w:val="08D45654"/>
    <w:rsid w:val="08EF65F2"/>
    <w:rsid w:val="0A745E09"/>
    <w:rsid w:val="0D2A3421"/>
    <w:rsid w:val="0DB258A3"/>
    <w:rsid w:val="0DB265A2"/>
    <w:rsid w:val="0E316C3F"/>
    <w:rsid w:val="0E5F120E"/>
    <w:rsid w:val="0FAE2D98"/>
    <w:rsid w:val="10064BAB"/>
    <w:rsid w:val="108219C2"/>
    <w:rsid w:val="11546D11"/>
    <w:rsid w:val="116C4AB2"/>
    <w:rsid w:val="120C6352"/>
    <w:rsid w:val="12464BA6"/>
    <w:rsid w:val="133F19A9"/>
    <w:rsid w:val="145801E9"/>
    <w:rsid w:val="17995692"/>
    <w:rsid w:val="193D50BE"/>
    <w:rsid w:val="1B307FAD"/>
    <w:rsid w:val="1C2D5815"/>
    <w:rsid w:val="1CF045D9"/>
    <w:rsid w:val="1D9D3945"/>
    <w:rsid w:val="1DDF0F5A"/>
    <w:rsid w:val="1DF6153B"/>
    <w:rsid w:val="1E0D121E"/>
    <w:rsid w:val="1E15129D"/>
    <w:rsid w:val="1E2D7039"/>
    <w:rsid w:val="1E386EAC"/>
    <w:rsid w:val="1E55446A"/>
    <w:rsid w:val="1EEA26CC"/>
    <w:rsid w:val="1F24036A"/>
    <w:rsid w:val="20F174A6"/>
    <w:rsid w:val="219D36DA"/>
    <w:rsid w:val="22A25127"/>
    <w:rsid w:val="22B54B0B"/>
    <w:rsid w:val="2455723F"/>
    <w:rsid w:val="252E75E6"/>
    <w:rsid w:val="26A77D69"/>
    <w:rsid w:val="26DE579B"/>
    <w:rsid w:val="27BD6C5C"/>
    <w:rsid w:val="28380A89"/>
    <w:rsid w:val="2D176851"/>
    <w:rsid w:val="2E4419BB"/>
    <w:rsid w:val="2F216952"/>
    <w:rsid w:val="301B7D13"/>
    <w:rsid w:val="30F57479"/>
    <w:rsid w:val="30F667EB"/>
    <w:rsid w:val="31CE6892"/>
    <w:rsid w:val="32123FFF"/>
    <w:rsid w:val="329E6ECC"/>
    <w:rsid w:val="32E549D6"/>
    <w:rsid w:val="34952C24"/>
    <w:rsid w:val="35860893"/>
    <w:rsid w:val="35C21E9E"/>
    <w:rsid w:val="364B0246"/>
    <w:rsid w:val="374A55D1"/>
    <w:rsid w:val="38D16F63"/>
    <w:rsid w:val="39232843"/>
    <w:rsid w:val="397A6350"/>
    <w:rsid w:val="39ED37D1"/>
    <w:rsid w:val="3AA8309D"/>
    <w:rsid w:val="3AD866D8"/>
    <w:rsid w:val="3ADF3E40"/>
    <w:rsid w:val="3B021652"/>
    <w:rsid w:val="3CBC4F1E"/>
    <w:rsid w:val="3D017E9E"/>
    <w:rsid w:val="3D3E1BE3"/>
    <w:rsid w:val="3DC72E19"/>
    <w:rsid w:val="3DFF1189"/>
    <w:rsid w:val="403C1B0A"/>
    <w:rsid w:val="40D31FBB"/>
    <w:rsid w:val="447E00C9"/>
    <w:rsid w:val="44866E1C"/>
    <w:rsid w:val="45166589"/>
    <w:rsid w:val="453F71A9"/>
    <w:rsid w:val="456314F8"/>
    <w:rsid w:val="46812352"/>
    <w:rsid w:val="474A7C94"/>
    <w:rsid w:val="484953F3"/>
    <w:rsid w:val="49FE68C7"/>
    <w:rsid w:val="4BB406DB"/>
    <w:rsid w:val="4DBE1B10"/>
    <w:rsid w:val="4DE13AE3"/>
    <w:rsid w:val="4E6629D2"/>
    <w:rsid w:val="50294487"/>
    <w:rsid w:val="508C34CF"/>
    <w:rsid w:val="50FA687C"/>
    <w:rsid w:val="5194269B"/>
    <w:rsid w:val="52305B85"/>
    <w:rsid w:val="525732C1"/>
    <w:rsid w:val="54B036D1"/>
    <w:rsid w:val="55022641"/>
    <w:rsid w:val="5563336E"/>
    <w:rsid w:val="56020D2D"/>
    <w:rsid w:val="56897BCB"/>
    <w:rsid w:val="5833381A"/>
    <w:rsid w:val="59097D63"/>
    <w:rsid w:val="59AF2221"/>
    <w:rsid w:val="59D33C53"/>
    <w:rsid w:val="5A1F5233"/>
    <w:rsid w:val="5A4C4364"/>
    <w:rsid w:val="5B1D5DF1"/>
    <w:rsid w:val="5B93583B"/>
    <w:rsid w:val="5BAC4CED"/>
    <w:rsid w:val="5BD142B8"/>
    <w:rsid w:val="5CA0054D"/>
    <w:rsid w:val="5D24016A"/>
    <w:rsid w:val="5EA12B9A"/>
    <w:rsid w:val="600300DE"/>
    <w:rsid w:val="61183F15"/>
    <w:rsid w:val="61546784"/>
    <w:rsid w:val="61914B57"/>
    <w:rsid w:val="628971D1"/>
    <w:rsid w:val="64E122F1"/>
    <w:rsid w:val="667B0FB6"/>
    <w:rsid w:val="668156F0"/>
    <w:rsid w:val="66E80594"/>
    <w:rsid w:val="67E458E5"/>
    <w:rsid w:val="68522439"/>
    <w:rsid w:val="6E475FBD"/>
    <w:rsid w:val="6EA97867"/>
    <w:rsid w:val="6EDD479C"/>
    <w:rsid w:val="6F8034DB"/>
    <w:rsid w:val="6FD60296"/>
    <w:rsid w:val="7022012C"/>
    <w:rsid w:val="70273BAA"/>
    <w:rsid w:val="712E3A27"/>
    <w:rsid w:val="743E2EC4"/>
    <w:rsid w:val="74BB5781"/>
    <w:rsid w:val="750158F1"/>
    <w:rsid w:val="75AD42EE"/>
    <w:rsid w:val="75D21AD1"/>
    <w:rsid w:val="75FD56CB"/>
    <w:rsid w:val="76C74496"/>
    <w:rsid w:val="76CC5E9B"/>
    <w:rsid w:val="76E82337"/>
    <w:rsid w:val="7769287A"/>
    <w:rsid w:val="787A628C"/>
    <w:rsid w:val="79560518"/>
    <w:rsid w:val="7B2D180B"/>
    <w:rsid w:val="7C6427B4"/>
    <w:rsid w:val="7D216484"/>
    <w:rsid w:val="7D2C7BD6"/>
    <w:rsid w:val="7EB83CDD"/>
    <w:rsid w:val="7EE212AD"/>
    <w:rsid w:val="7F8343B2"/>
    <w:rsid w:val="7FDE5BE5"/>
    <w:rsid w:val="7FFB22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156" w:beforeLines="50" w:after="156" w:afterLines="50" w:line="300" w:lineRule="auto"/>
      <w:outlineLvl w:val="2"/>
    </w:pPr>
    <w:rPr>
      <w:rFonts w:ascii="黑体" w:hAnsi="宋体" w:eastAsia="黑体"/>
      <w:sz w:val="2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after="0"/>
      <w:ind w:leftChars="0" w:firstLine="420" w:firstLineChars="200"/>
    </w:pPr>
    <w:rPr>
      <w:rFonts w:ascii="宋体" w:hAnsi="宋体"/>
      <w:szCs w:val="24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Indent 3"/>
    <w:basedOn w:val="1"/>
    <w:qFormat/>
    <w:uiPriority w:val="0"/>
    <w:pPr>
      <w:adjustRightInd w:val="0"/>
      <w:snapToGrid w:val="0"/>
      <w:spacing w:before="25" w:after="25" w:line="360" w:lineRule="auto"/>
      <w:ind w:firstLine="540"/>
    </w:pPr>
    <w:rPr>
      <w:rFonts w:ascii="宋体" w:hAnsi="宋体"/>
      <w:kern w:val="0"/>
      <w:sz w:val="28"/>
    </w:rPr>
  </w:style>
  <w:style w:type="table" w:styleId="10">
    <w:name w:val="Table Grid"/>
    <w:basedOn w:val="9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3">
    <w:name w:val="页眉 字符"/>
    <w:basedOn w:val="11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字符"/>
    <w:basedOn w:val="11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批注框文本 字符"/>
    <w:basedOn w:val="11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7">
    <w:name w:val="纯文本1"/>
    <w:basedOn w:val="1"/>
    <w:link w:val="18"/>
    <w:qFormat/>
    <w:uiPriority w:val="0"/>
    <w:rPr>
      <w:rFonts w:ascii="宋体" w:hAnsi="Courier New"/>
    </w:rPr>
  </w:style>
  <w:style w:type="character" w:customStyle="1" w:styleId="18">
    <w:name w:val="纯文本 字符"/>
    <w:link w:val="17"/>
    <w:qFormat/>
    <w:uiPriority w:val="0"/>
    <w:rPr>
      <w:rFonts w:ascii="宋体" w:hAnsi="Courier New" w:eastAsia="宋体" w:cs="Times New Roman"/>
      <w:kern w:val="2"/>
      <w:sz w:val="21"/>
    </w:rPr>
  </w:style>
  <w:style w:type="paragraph" w:customStyle="1" w:styleId="19">
    <w:name w:val="Header 9pt Table Centered"/>
    <w:basedOn w:val="1"/>
    <w:qFormat/>
    <w:uiPriority w:val="0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68252C2-83F8-4CF2-8FAF-4DB1C31C54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62</Pages>
  <Words>5431</Words>
  <Characters>30962</Characters>
  <Lines>258</Lines>
  <Paragraphs>72</Paragraphs>
  <TotalTime>0</TotalTime>
  <ScaleCrop>false</ScaleCrop>
  <LinksUpToDate>false</LinksUpToDate>
  <CharactersWithSpaces>36321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肖新龙</cp:lastModifiedBy>
  <dcterms:modified xsi:type="dcterms:W3CDTF">2022-07-06T06:20:40Z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7516F9F5CE9A445989B0615A5D5D360C</vt:lpwstr>
  </property>
</Properties>
</file>