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pPr>
            <w:r>
              <w:rPr>
                <w:rFonts w:hint="eastAsia"/>
              </w:rPr>
              <w:t>过程与活动、</w:t>
            </w:r>
          </w:p>
          <w:p>
            <w:pPr>
              <w:bidi w:val="0"/>
            </w:pPr>
            <w:r>
              <w:rPr>
                <w:rFonts w:hint="eastAsia"/>
              </w:rPr>
              <w:t>抽样计划</w:t>
            </w:r>
          </w:p>
        </w:tc>
        <w:tc>
          <w:tcPr>
            <w:tcW w:w="960" w:type="dxa"/>
            <w:vMerge w:val="restart"/>
            <w:vAlign w:val="center"/>
          </w:tcPr>
          <w:p>
            <w:pPr>
              <w:bidi w:val="0"/>
            </w:pPr>
            <w:r>
              <w:rPr>
                <w:rFonts w:hint="eastAsia"/>
              </w:rPr>
              <w:t>涉及</w:t>
            </w:r>
          </w:p>
          <w:p>
            <w:pPr>
              <w:bidi w:val="0"/>
            </w:pPr>
            <w:r>
              <w:rPr>
                <w:rFonts w:hint="eastAsia"/>
              </w:rPr>
              <w:t>条款</w:t>
            </w:r>
          </w:p>
        </w:tc>
        <w:tc>
          <w:tcPr>
            <w:tcW w:w="10004" w:type="dxa"/>
            <w:vAlign w:val="center"/>
          </w:tcPr>
          <w:p>
            <w:pPr>
              <w:bidi w:val="0"/>
              <w:rPr>
                <w:rFonts w:hint="eastAsia"/>
                <w:lang w:eastAsia="zh-CN"/>
              </w:rPr>
            </w:pPr>
            <w:r>
              <w:rPr>
                <w:rFonts w:hint="eastAsia"/>
              </w:rPr>
              <w:t>受审核部门</w:t>
            </w:r>
            <w:r>
              <w:rPr>
                <w:rFonts w:hint="eastAsia"/>
                <w:lang w:eastAsia="zh-CN"/>
              </w:rPr>
              <w:t>：</w:t>
            </w:r>
            <w:r>
              <w:rPr>
                <w:rFonts w:hint="eastAsia"/>
                <w:lang w:val="en-US" w:eastAsia="zh-CN"/>
              </w:rPr>
              <w:t>业务部</w:t>
            </w:r>
            <w:r>
              <w:rPr>
                <w:rFonts w:hint="eastAsia"/>
              </w:rPr>
              <w:t xml:space="preserve"> </w:t>
            </w:r>
            <w:r>
              <w:t xml:space="preserve"> </w:t>
            </w:r>
            <w:r>
              <w:rPr>
                <w:rFonts w:hint="eastAsia"/>
              </w:rPr>
              <w:t>主管领导：</w:t>
            </w:r>
            <w:r>
              <w:rPr>
                <w:rFonts w:hint="eastAsia"/>
                <w:lang w:eastAsia="zh-CN"/>
              </w:rPr>
              <w:t>方勤荣</w:t>
            </w:r>
            <w:r>
              <w:rPr>
                <w:rFonts w:hint="eastAsia"/>
                <w:lang w:val="en-US" w:eastAsia="zh-CN"/>
              </w:rPr>
              <w:t xml:space="preserve"> </w:t>
            </w:r>
            <w:r>
              <w:t xml:space="preserve"> </w:t>
            </w:r>
            <w:r>
              <w:rPr>
                <w:rFonts w:hint="eastAsia"/>
              </w:rPr>
              <w:t>陪同人员：</w:t>
            </w:r>
            <w:r>
              <w:rPr>
                <w:rFonts w:hint="eastAsia"/>
                <w:lang w:val="en-US" w:eastAsia="zh-CN"/>
              </w:rPr>
              <w:t>周雅玲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pPr>
          </w:p>
        </w:tc>
        <w:tc>
          <w:tcPr>
            <w:tcW w:w="960" w:type="dxa"/>
            <w:vMerge w:val="continue"/>
            <w:vAlign w:val="center"/>
          </w:tcPr>
          <w:p>
            <w:pPr>
              <w:bidi w:val="0"/>
            </w:pPr>
          </w:p>
        </w:tc>
        <w:tc>
          <w:tcPr>
            <w:tcW w:w="10004" w:type="dxa"/>
            <w:vAlign w:val="center"/>
          </w:tcPr>
          <w:p>
            <w:pPr>
              <w:bidi w:val="0"/>
              <w:rPr>
                <w:rFonts w:hint="eastAsia"/>
                <w:lang w:eastAsia="zh-CN"/>
              </w:rPr>
            </w:pPr>
            <w:r>
              <w:rPr>
                <w:rFonts w:hint="eastAsia"/>
              </w:rPr>
              <w:t>审核员：</w:t>
            </w:r>
            <w:r>
              <w:rPr>
                <w:rFonts w:hint="eastAsia"/>
                <w:lang w:val="en-US" w:eastAsia="zh-CN"/>
              </w:rPr>
              <w:t>王献华</w:t>
            </w:r>
            <w:r>
              <w:rPr>
                <w:rFonts w:hint="eastAsia"/>
              </w:rPr>
              <w:t xml:space="preserve"> </w:t>
            </w:r>
            <w:r>
              <w:t xml:space="preserve"> </w:t>
            </w:r>
            <w:r>
              <w:rPr>
                <w:rFonts w:hint="eastAsia"/>
              </w:rPr>
              <w:t>审核时间：</w:t>
            </w:r>
            <w:r>
              <w:rPr>
                <w:rFonts w:hint="eastAsia"/>
                <w:lang w:val="en-US" w:eastAsia="zh-CN"/>
              </w:rPr>
              <w:t>2022.6.17  08:30-12:00</w:t>
            </w:r>
            <w:r>
              <w:rPr>
                <w:rFonts w:hint="eastAsia"/>
              </w:rPr>
              <w:t xml:space="preserve"> </w:t>
            </w:r>
            <w:r>
              <w:rPr>
                <w:rFonts w:hint="eastAsia"/>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pPr>
          </w:p>
        </w:tc>
        <w:tc>
          <w:tcPr>
            <w:tcW w:w="960" w:type="dxa"/>
            <w:vMerge w:val="continue"/>
            <w:vAlign w:val="center"/>
          </w:tcPr>
          <w:p>
            <w:pPr>
              <w:bidi w:val="0"/>
            </w:pPr>
          </w:p>
        </w:tc>
        <w:tc>
          <w:tcPr>
            <w:tcW w:w="10004" w:type="dxa"/>
            <w:vAlign w:val="center"/>
          </w:tcPr>
          <w:p>
            <w:pPr>
              <w:bidi w:val="0"/>
            </w:pPr>
            <w:r>
              <w:rPr>
                <w:rFonts w:hint="eastAsia"/>
              </w:rPr>
              <w:t>审核</w:t>
            </w:r>
            <w:r>
              <w:rPr>
                <w:rFonts w:hint="eastAsia"/>
                <w:lang w:val="en-US" w:eastAsia="zh-CN"/>
              </w:rPr>
              <w:t>内容及</w:t>
            </w:r>
            <w:r>
              <w:rPr>
                <w:rFonts w:hint="eastAsia"/>
              </w:rPr>
              <w:t>条款：</w:t>
            </w:r>
          </w:p>
          <w:p>
            <w:pPr>
              <w:spacing w:line="300" w:lineRule="exact"/>
              <w:jc w:val="both"/>
              <w:rPr>
                <w:rFonts w:hint="default"/>
                <w:b w:val="0"/>
                <w:bCs w:val="0"/>
                <w:sz w:val="21"/>
                <w:szCs w:val="21"/>
                <w:u w:val="none"/>
                <w:lang w:val="en-US" w:eastAsia="zh-CN"/>
              </w:rPr>
            </w:pPr>
            <w:r>
              <w:rPr>
                <w:rFonts w:hint="eastAsia"/>
                <w:b w:val="0"/>
                <w:bCs w:val="0"/>
                <w:sz w:val="21"/>
                <w:szCs w:val="21"/>
                <w:u w:val="none"/>
                <w:lang w:val="en-US" w:eastAsia="zh-CN"/>
              </w:rPr>
              <w:t>部门职能与权限</w:t>
            </w:r>
            <w:r>
              <w:rPr>
                <w:rFonts w:hint="eastAsia"/>
                <w:b w:val="0"/>
                <w:bCs w:val="0"/>
                <w:sz w:val="21"/>
                <w:szCs w:val="21"/>
                <w:u w:val="none"/>
                <w:lang w:eastAsia="zh-CN"/>
              </w:rPr>
              <w:t>；</w:t>
            </w:r>
            <w:r>
              <w:rPr>
                <w:rFonts w:hint="eastAsia"/>
                <w:b w:val="0"/>
                <w:bCs w:val="0"/>
                <w:sz w:val="21"/>
                <w:szCs w:val="21"/>
                <w:u w:val="none"/>
                <w:lang w:val="en-US" w:eastAsia="zh-CN"/>
              </w:rPr>
              <w:t>部门目标管理；销售；顾客财产管理；顾客满意情况</w:t>
            </w:r>
          </w:p>
          <w:p>
            <w:pPr>
              <w:spacing w:line="300" w:lineRule="exact"/>
              <w:jc w:val="left"/>
              <w:rPr>
                <w:rFonts w:hint="eastAsia"/>
                <w:b w:val="0"/>
                <w:bCs w:val="0"/>
                <w:sz w:val="21"/>
                <w:szCs w:val="21"/>
                <w:u w:val="none"/>
                <w:lang w:val="en-US" w:eastAsia="zh-CN"/>
              </w:rPr>
            </w:pPr>
            <w:r>
              <w:rPr>
                <w:rFonts w:hint="eastAsia"/>
                <w:b w:val="0"/>
                <w:bCs w:val="0"/>
                <w:sz w:val="21"/>
                <w:szCs w:val="21"/>
                <w:u w:val="none"/>
                <w:lang w:val="en-US" w:eastAsia="zh-CN"/>
              </w:rPr>
              <w:t>QEO：5.3、6.2</w:t>
            </w:r>
          </w:p>
          <w:p>
            <w:pPr>
              <w:spacing w:line="300" w:lineRule="exact"/>
              <w:jc w:val="left"/>
              <w:rPr>
                <w:rFonts w:hint="eastAsia"/>
                <w:b w:val="0"/>
                <w:bCs w:val="0"/>
                <w:u w:val="none"/>
                <w:lang w:val="en-US" w:eastAsia="zh-CN"/>
              </w:rPr>
            </w:pPr>
            <w:r>
              <w:rPr>
                <w:rFonts w:hint="eastAsia"/>
                <w:b w:val="0"/>
                <w:bCs w:val="0"/>
                <w:sz w:val="21"/>
                <w:szCs w:val="21"/>
                <w:u w:val="none"/>
                <w:lang w:val="en-US" w:eastAsia="zh-CN"/>
              </w:rPr>
              <w:t>Q：8.2、8.5.3、9.1.2</w:t>
            </w:r>
          </w:p>
          <w:p>
            <w:pPr>
              <w:spacing w:line="300" w:lineRule="exact"/>
              <w:jc w:val="both"/>
            </w:pPr>
            <w:r>
              <w:rPr>
                <w:rFonts w:hint="eastAsia" w:ascii="Times New Roman" w:hAnsi="Times New Roman" w:eastAsia="宋体" w:cs="Times New Roman"/>
                <w:b w:val="0"/>
                <w:bCs w:val="0"/>
                <w:spacing w:val="10"/>
                <w:kern w:val="2"/>
                <w:sz w:val="21"/>
                <w:szCs w:val="21"/>
                <w:u w:val="none"/>
                <w:lang w:val="en-US" w:eastAsia="zh-CN" w:bidi="ar-SA"/>
              </w:rPr>
              <w:t>EO：</w:t>
            </w:r>
            <w:r>
              <w:rPr>
                <w:rFonts w:hint="eastAsia" w:cs="Times New Roman"/>
                <w:b w:val="0"/>
                <w:bCs w:val="0"/>
                <w:spacing w:val="10"/>
                <w:kern w:val="2"/>
                <w:sz w:val="21"/>
                <w:szCs w:val="21"/>
                <w:u w:val="none"/>
                <w:lang w:val="en-US" w:eastAsia="zh-CN" w:bidi="ar-SA"/>
              </w:rPr>
              <w:t>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szCs w:val="21"/>
              </w:rPr>
              <w:t>组织的岗位、职责和权限</w:t>
            </w:r>
          </w:p>
        </w:tc>
        <w:tc>
          <w:tcPr>
            <w:tcW w:w="960" w:type="dxa"/>
          </w:tcPr>
          <w:p>
            <w:pPr>
              <w:rPr>
                <w:rFonts w:hint="eastAsia" w:ascii="华文细黑" w:hAnsi="华文细黑" w:eastAsia="华文细黑" w:cs="华文细黑"/>
              </w:rPr>
            </w:pPr>
            <w:r>
              <w:rPr>
                <w:rFonts w:hint="eastAsia" w:ascii="华文细黑" w:hAnsi="华文细黑" w:eastAsia="华文细黑" w:cs="华文细黑"/>
                <w:szCs w:val="21"/>
                <w:lang w:val="en-US" w:eastAsia="zh-CN"/>
              </w:rPr>
              <w:t>Q</w:t>
            </w:r>
            <w:r>
              <w:rPr>
                <w:rFonts w:hint="eastAsia" w:ascii="华文细黑" w:hAnsi="华文细黑" w:eastAsia="华文细黑" w:cs="华文细黑"/>
                <w:szCs w:val="21"/>
              </w:rPr>
              <w:t>EO5.3</w:t>
            </w:r>
            <w:r>
              <w:rPr>
                <w:rFonts w:hint="eastAsia" w:ascii="华文细黑" w:hAnsi="华文细黑" w:eastAsia="华文细黑" w:cs="华文细黑"/>
              </w:rPr>
              <w:t xml:space="preserve"> </w:t>
            </w:r>
          </w:p>
        </w:tc>
        <w:tc>
          <w:tcPr>
            <w:tcW w:w="10004" w:type="dxa"/>
          </w:tcPr>
          <w:p>
            <w:pPr>
              <w:spacing w:line="280" w:lineRule="exact"/>
              <w:ind w:firstLine="420" w:firstLineChars="200"/>
              <w:rPr>
                <w:rFonts w:hint="eastAsia"/>
                <w:lang w:val="en-US" w:eastAsia="zh-CN"/>
              </w:rPr>
            </w:pPr>
            <w:r>
              <w:rPr>
                <w:rFonts w:hint="eastAsia"/>
                <w:lang w:val="en-US" w:eastAsia="zh-CN"/>
              </w:rPr>
              <w:t>审核发现，业务部职责主要如下：</w:t>
            </w:r>
          </w:p>
          <w:p>
            <w:pPr>
              <w:numPr>
                <w:ilvl w:val="0"/>
                <w:numId w:val="0"/>
              </w:numPr>
              <w:spacing w:line="280" w:lineRule="exact"/>
              <w:ind w:firstLine="420" w:firstLineChars="200"/>
              <w:rPr>
                <w:rFonts w:hint="eastAsia"/>
              </w:rPr>
            </w:pPr>
            <w:r>
              <w:rPr>
                <w:rFonts w:hint="eastAsia"/>
                <w:lang w:val="en-US" w:eastAsia="zh-CN"/>
              </w:rPr>
              <w:t>1.</w:t>
            </w:r>
            <w:r>
              <w:rPr>
                <w:rFonts w:hint="eastAsia"/>
              </w:rPr>
              <w:t>组织编制合同文件</w:t>
            </w:r>
            <w:r>
              <w:rPr>
                <w:rFonts w:hint="eastAsia"/>
                <w:lang w:eastAsia="zh-CN"/>
              </w:rPr>
              <w:t>，</w:t>
            </w:r>
            <w:r>
              <w:rPr>
                <w:rFonts w:hint="eastAsia"/>
              </w:rPr>
              <w:t>及时与顾客联系等；</w:t>
            </w:r>
          </w:p>
          <w:p>
            <w:pPr>
              <w:numPr>
                <w:ilvl w:val="0"/>
                <w:numId w:val="0"/>
              </w:numPr>
              <w:spacing w:line="280" w:lineRule="exact"/>
              <w:ind w:firstLine="420" w:firstLineChars="200"/>
              <w:rPr>
                <w:rFonts w:hint="eastAsia"/>
              </w:rPr>
            </w:pPr>
            <w:r>
              <w:rPr>
                <w:rFonts w:hint="eastAsia"/>
                <w:lang w:val="en-US" w:eastAsia="zh-CN"/>
              </w:rPr>
              <w:t>2.</w:t>
            </w:r>
            <w:r>
              <w:rPr>
                <w:rFonts w:hint="eastAsia"/>
              </w:rPr>
              <w:t>负责与</w:t>
            </w:r>
            <w:r>
              <w:rPr>
                <w:rFonts w:hint="eastAsia"/>
                <w:lang w:val="en-US" w:eastAsia="zh-CN"/>
              </w:rPr>
              <w:t>合同等</w:t>
            </w:r>
            <w:r>
              <w:rPr>
                <w:rFonts w:hint="eastAsia"/>
              </w:rPr>
              <w:t>有关的要求的确定；</w:t>
            </w:r>
          </w:p>
          <w:p>
            <w:pPr>
              <w:spacing w:line="280" w:lineRule="exact"/>
              <w:ind w:firstLine="420"/>
              <w:rPr>
                <w:rFonts w:hint="eastAsia"/>
              </w:rPr>
            </w:pPr>
            <w:r>
              <w:rPr>
                <w:rFonts w:hint="eastAsia"/>
                <w:lang w:val="en-US" w:eastAsia="zh-CN"/>
              </w:rPr>
              <w:t>3.</w:t>
            </w:r>
            <w:r>
              <w:rPr>
                <w:rFonts w:hint="eastAsia"/>
              </w:rPr>
              <w:t>负责与</w:t>
            </w:r>
            <w:r>
              <w:rPr>
                <w:rFonts w:hint="eastAsia"/>
                <w:lang w:val="en-US" w:eastAsia="zh-CN"/>
              </w:rPr>
              <w:t>合同等</w:t>
            </w:r>
            <w:r>
              <w:rPr>
                <w:rFonts w:hint="eastAsia"/>
              </w:rPr>
              <w:t>有关的要求的评审等；</w:t>
            </w:r>
          </w:p>
          <w:p>
            <w:pPr>
              <w:spacing w:line="280" w:lineRule="exact"/>
              <w:ind w:firstLine="420"/>
              <w:rPr>
                <w:rFonts w:hint="eastAsia"/>
              </w:rPr>
            </w:pPr>
            <w:r>
              <w:rPr>
                <w:rFonts w:hint="eastAsia"/>
                <w:lang w:val="en-US" w:eastAsia="zh-CN"/>
              </w:rPr>
              <w:t>4.</w:t>
            </w:r>
            <w:r>
              <w:rPr>
                <w:rFonts w:hint="eastAsia"/>
              </w:rPr>
              <w:t>负责市场调查，信息收集、</w:t>
            </w:r>
            <w:r>
              <w:rPr>
                <w:rFonts w:hint="eastAsia"/>
                <w:lang w:val="en-US" w:eastAsia="zh-CN"/>
              </w:rPr>
              <w:t>顾客满意度管理</w:t>
            </w:r>
            <w:r>
              <w:rPr>
                <w:rFonts w:hint="eastAsia"/>
              </w:rPr>
              <w:t>等。</w:t>
            </w:r>
          </w:p>
          <w:p>
            <w:pPr>
              <w:spacing w:line="280" w:lineRule="exact"/>
              <w:ind w:firstLine="420"/>
              <w:rPr>
                <w:rFonts w:hint="eastAsia"/>
              </w:rPr>
            </w:pPr>
            <w:r>
              <w:rPr>
                <w:rFonts w:hint="eastAsia"/>
                <w:lang w:val="en-US" w:eastAsia="zh-CN"/>
              </w:rPr>
              <w:t>5.</w:t>
            </w:r>
            <w:r>
              <w:rPr>
                <w:rFonts w:hint="eastAsia"/>
              </w:rPr>
              <w:t>负责销售服务提供的控制、销售服务质量监督管理及不合格销售服务的控制等；</w:t>
            </w:r>
          </w:p>
          <w:p>
            <w:pPr>
              <w:spacing w:line="280" w:lineRule="exact"/>
              <w:ind w:firstLine="420"/>
              <w:rPr>
                <w:rFonts w:hint="eastAsia" w:eastAsia="华文细黑"/>
                <w:lang w:eastAsia="zh-CN"/>
              </w:rPr>
            </w:pPr>
            <w:r>
              <w:rPr>
                <w:rFonts w:hint="eastAsia"/>
                <w:lang w:val="en-US" w:eastAsia="zh-CN"/>
              </w:rPr>
              <w:t>6.</w:t>
            </w:r>
            <w:r>
              <w:rPr>
                <w:rFonts w:hint="eastAsia"/>
              </w:rPr>
              <w:t>负责顾客财产</w:t>
            </w:r>
            <w:r>
              <w:rPr>
                <w:rFonts w:hint="eastAsia"/>
                <w:lang w:val="en-US" w:eastAsia="zh-CN"/>
              </w:rPr>
              <w:t>管理</w:t>
            </w:r>
            <w:r>
              <w:rPr>
                <w:rFonts w:hint="eastAsia"/>
              </w:rPr>
              <w:t>等</w:t>
            </w:r>
            <w:r>
              <w:rPr>
                <w:rFonts w:hint="eastAsia"/>
                <w:lang w:eastAsia="zh-CN"/>
              </w:rPr>
              <w:t>；</w:t>
            </w:r>
          </w:p>
          <w:p>
            <w:pPr>
              <w:spacing w:line="280" w:lineRule="exact"/>
              <w:ind w:firstLine="420"/>
              <w:rPr>
                <w:rFonts w:hint="default" w:eastAsia="华文细黑"/>
                <w:lang w:val="en-US" w:eastAsia="zh-CN"/>
              </w:rPr>
            </w:pPr>
            <w:r>
              <w:rPr>
                <w:rFonts w:hint="eastAsia"/>
                <w:color w:val="000000"/>
                <w:szCs w:val="21"/>
                <w:lang w:val="en-US" w:eastAsia="zh-CN"/>
              </w:rPr>
              <w:t>7.负责职责范围内环境和职业健康安全的内容。</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szCs w:val="21"/>
                <w:lang w:val="en-US" w:eastAsia="zh-CN"/>
              </w:rPr>
              <w:t>质量、</w:t>
            </w:r>
            <w:r>
              <w:rPr>
                <w:rFonts w:hint="eastAsia" w:ascii="华文细黑" w:hAnsi="华文细黑" w:eastAsia="华文细黑" w:cs="华文细黑"/>
                <w:szCs w:val="21"/>
              </w:rPr>
              <w:t>环境、职业健康安全目标</w:t>
            </w:r>
          </w:p>
        </w:tc>
        <w:tc>
          <w:tcPr>
            <w:tcW w:w="960" w:type="dxa"/>
          </w:tcPr>
          <w:p>
            <w:pPr>
              <w:rPr>
                <w:rFonts w:hint="eastAsia" w:ascii="华文细黑" w:hAnsi="华文细黑" w:eastAsia="华文细黑" w:cs="华文细黑"/>
              </w:rPr>
            </w:pPr>
            <w:r>
              <w:rPr>
                <w:rFonts w:hint="eastAsia" w:ascii="华文细黑" w:hAnsi="华文细黑" w:eastAsia="华文细黑" w:cs="华文细黑"/>
                <w:szCs w:val="21"/>
                <w:lang w:val="en-US" w:eastAsia="zh-CN"/>
              </w:rPr>
              <w:t>Q</w:t>
            </w:r>
            <w:r>
              <w:rPr>
                <w:rFonts w:hint="eastAsia" w:ascii="华文细黑" w:hAnsi="华文细黑" w:eastAsia="华文细黑" w:cs="华文细黑"/>
                <w:szCs w:val="21"/>
              </w:rPr>
              <w:t>EO6.2</w:t>
            </w:r>
          </w:p>
        </w:tc>
        <w:tc>
          <w:tcPr>
            <w:tcW w:w="10004" w:type="dxa"/>
          </w:tcPr>
          <w:p>
            <w:pPr>
              <w:spacing w:line="280" w:lineRule="exact"/>
              <w:ind w:firstLine="420" w:firstLineChars="200"/>
              <w:rPr>
                <w:color w:val="000000"/>
                <w:szCs w:val="21"/>
                <w:highlight w:val="none"/>
              </w:rPr>
            </w:pPr>
            <w:r>
              <w:rPr>
                <w:rFonts w:hint="eastAsia"/>
                <w:color w:val="000000"/>
                <w:szCs w:val="21"/>
                <w:highlight w:val="none"/>
                <w:lang w:val="en-US" w:eastAsia="zh-CN"/>
              </w:rPr>
              <w:t>审核发现，</w:t>
            </w:r>
            <w:r>
              <w:rPr>
                <w:rFonts w:hint="eastAsia"/>
                <w:color w:val="000000"/>
                <w:szCs w:val="21"/>
                <w:highlight w:val="none"/>
                <w:lang w:eastAsia="zh-CN"/>
              </w:rPr>
              <w:t>业务部</w:t>
            </w:r>
            <w:r>
              <w:rPr>
                <w:rFonts w:hint="eastAsia"/>
                <w:color w:val="000000"/>
                <w:szCs w:val="21"/>
                <w:highlight w:val="none"/>
                <w:lang w:val="en-US" w:eastAsia="zh-CN"/>
              </w:rPr>
              <w:t>涉及的</w:t>
            </w:r>
            <w:r>
              <w:rPr>
                <w:rFonts w:hint="eastAsia"/>
                <w:color w:val="000000"/>
                <w:szCs w:val="21"/>
                <w:highlight w:val="none"/>
              </w:rPr>
              <w:t>目标及实现情况</w:t>
            </w:r>
            <w:r>
              <w:rPr>
                <w:rFonts w:hint="eastAsia"/>
                <w:color w:val="000000"/>
                <w:szCs w:val="21"/>
                <w:highlight w:val="none"/>
                <w:lang w:val="en-US" w:eastAsia="zh-CN"/>
              </w:rPr>
              <w:t>如下</w:t>
            </w:r>
            <w:r>
              <w:rPr>
                <w:rFonts w:hint="eastAsia"/>
                <w:color w:val="000000"/>
                <w:szCs w:val="21"/>
                <w:highlight w:val="none"/>
              </w:rPr>
              <w:t>：</w:t>
            </w:r>
          </w:p>
          <w:tbl>
            <w:tblPr>
              <w:tblStyle w:val="7"/>
              <w:tblpPr w:leftFromText="180" w:rightFromText="180" w:vertAnchor="text" w:horzAnchor="page" w:tblpX="564" w:tblpY="82"/>
              <w:tblOverlap w:val="never"/>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7"/>
              <w:gridCol w:w="4853"/>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337"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rPr>
                      <w:rFonts w:hint="eastAsia" w:ascii="华文细黑" w:hAnsi="华文细黑" w:eastAsia="华文细黑" w:cs="华文细黑"/>
                      <w:bCs/>
                      <w:color w:val="000000"/>
                      <w:sz w:val="21"/>
                      <w:szCs w:val="21"/>
                      <w:lang w:val="en-US" w:eastAsia="zh-CN"/>
                    </w:rPr>
                  </w:pPr>
                  <w:r>
                    <w:rPr>
                      <w:rFonts w:hint="eastAsia" w:ascii="华文细黑" w:hAnsi="华文细黑" w:eastAsia="华文细黑" w:cs="华文细黑"/>
                      <w:bCs/>
                      <w:color w:val="000000"/>
                      <w:sz w:val="21"/>
                      <w:szCs w:val="21"/>
                      <w:lang w:val="en-US" w:eastAsia="zh-CN"/>
                    </w:rPr>
                    <w:t>目标</w:t>
                  </w:r>
                </w:p>
              </w:tc>
              <w:tc>
                <w:tcPr>
                  <w:tcW w:w="4853"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rPr>
                      <w:rFonts w:hint="eastAsia" w:ascii="华文细黑" w:hAnsi="华文细黑" w:eastAsia="华文细黑" w:cs="华文细黑"/>
                      <w:bCs/>
                      <w:color w:val="000000"/>
                      <w:sz w:val="21"/>
                      <w:szCs w:val="21"/>
                      <w:lang w:val="en-US" w:eastAsia="zh-CN"/>
                    </w:rPr>
                  </w:pPr>
                  <w:r>
                    <w:rPr>
                      <w:rFonts w:hint="eastAsia" w:ascii="华文细黑" w:hAnsi="华文细黑" w:eastAsia="华文细黑" w:cs="华文细黑"/>
                      <w:bCs/>
                      <w:color w:val="000000"/>
                      <w:sz w:val="21"/>
                      <w:szCs w:val="21"/>
                      <w:lang w:val="en-US" w:eastAsia="zh-CN"/>
                    </w:rPr>
                    <w:t>考核方式</w:t>
                  </w:r>
                </w:p>
              </w:tc>
              <w:tc>
                <w:tcPr>
                  <w:tcW w:w="1120"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rPr>
                      <w:rFonts w:hint="eastAsia" w:ascii="华文细黑" w:hAnsi="华文细黑" w:eastAsia="华文细黑" w:cs="华文细黑"/>
                      <w:bCs/>
                      <w:color w:val="000000"/>
                      <w:sz w:val="21"/>
                      <w:szCs w:val="21"/>
                      <w:lang w:val="en-US" w:eastAsia="zh-CN"/>
                    </w:rPr>
                  </w:pPr>
                  <w:r>
                    <w:rPr>
                      <w:rFonts w:hint="eastAsia" w:ascii="华文细黑" w:hAnsi="华文细黑" w:eastAsia="华文细黑" w:cs="华文细黑"/>
                      <w:bCs/>
                      <w:color w:val="000000"/>
                      <w:sz w:val="21"/>
                      <w:szCs w:val="21"/>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337"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rPr>
                      <w:rFonts w:hint="eastAsia" w:ascii="华文细黑" w:hAnsi="华文细黑" w:eastAsia="华文细黑" w:cs="华文细黑"/>
                      <w:b w:val="0"/>
                      <w:bCs/>
                      <w:color w:val="000000"/>
                      <w:sz w:val="21"/>
                      <w:szCs w:val="21"/>
                    </w:rPr>
                  </w:pPr>
                  <w:r>
                    <w:rPr>
                      <w:rFonts w:hint="eastAsia" w:ascii="华文细黑" w:hAnsi="华文细黑" w:eastAsia="华文细黑" w:cs="华文细黑"/>
                      <w:b w:val="0"/>
                      <w:bCs/>
                      <w:color w:val="000000"/>
                      <w:sz w:val="21"/>
                      <w:szCs w:val="21"/>
                      <w:lang w:val="en-US" w:eastAsia="zh-CN"/>
                    </w:rPr>
                    <w:t>1合同履约</w:t>
                  </w:r>
                  <w:r>
                    <w:rPr>
                      <w:rFonts w:hint="eastAsia" w:ascii="华文细黑" w:hAnsi="华文细黑" w:eastAsia="华文细黑" w:cs="华文细黑"/>
                      <w:b w:val="0"/>
                      <w:bCs/>
                      <w:color w:val="000000"/>
                      <w:sz w:val="21"/>
                      <w:szCs w:val="21"/>
                    </w:rPr>
                    <w:t>率</w:t>
                  </w:r>
                  <w:r>
                    <w:rPr>
                      <w:rFonts w:hint="eastAsia" w:ascii="华文细黑" w:hAnsi="华文细黑" w:eastAsia="华文细黑" w:cs="华文细黑"/>
                      <w:b w:val="0"/>
                      <w:bCs/>
                      <w:color w:val="000000"/>
                      <w:sz w:val="21"/>
                      <w:szCs w:val="21"/>
                      <w:lang w:val="en-US" w:eastAsia="zh-CN"/>
                    </w:rPr>
                    <w:t>100%</w:t>
                  </w:r>
                </w:p>
              </w:tc>
              <w:tc>
                <w:tcPr>
                  <w:tcW w:w="4853"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rPr>
                      <w:rFonts w:hint="eastAsia" w:ascii="华文细黑" w:hAnsi="华文细黑" w:eastAsia="华文细黑" w:cs="华文细黑"/>
                      <w:bCs/>
                      <w:color w:val="000000"/>
                      <w:sz w:val="21"/>
                      <w:szCs w:val="21"/>
                    </w:rPr>
                  </w:pPr>
                  <w:r>
                    <w:rPr>
                      <w:rFonts w:hint="eastAsia" w:ascii="华文细黑" w:hAnsi="华文细黑" w:eastAsia="华文细黑" w:cs="华文细黑"/>
                      <w:bCs/>
                      <w:color w:val="000000"/>
                      <w:sz w:val="21"/>
                      <w:szCs w:val="21"/>
                      <w:lang w:val="en-US" w:eastAsia="zh-CN"/>
                    </w:rPr>
                    <w:t>履约</w:t>
                  </w:r>
                  <w:r>
                    <w:rPr>
                      <w:rFonts w:hint="eastAsia" w:ascii="华文细黑" w:hAnsi="华文细黑" w:eastAsia="华文细黑" w:cs="华文细黑"/>
                      <w:bCs/>
                      <w:color w:val="000000"/>
                      <w:sz w:val="21"/>
                      <w:szCs w:val="21"/>
                    </w:rPr>
                    <w:t>率＝</w:t>
                  </w:r>
                  <w:r>
                    <w:rPr>
                      <w:rFonts w:hint="eastAsia" w:ascii="华文细黑" w:hAnsi="华文细黑" w:eastAsia="华文细黑" w:cs="华文细黑"/>
                      <w:bCs/>
                      <w:color w:val="000000"/>
                      <w:sz w:val="21"/>
                      <w:szCs w:val="21"/>
                      <w:lang w:val="en-US" w:eastAsia="zh-CN"/>
                    </w:rPr>
                    <w:t>合同总</w:t>
                  </w:r>
                  <w:r>
                    <w:rPr>
                      <w:rFonts w:hint="eastAsia" w:ascii="华文细黑" w:hAnsi="华文细黑" w:eastAsia="华文细黑" w:cs="华文细黑"/>
                      <w:bCs/>
                      <w:color w:val="000000"/>
                      <w:sz w:val="21"/>
                      <w:szCs w:val="21"/>
                    </w:rPr>
                    <w:t>数÷</w:t>
                  </w:r>
                  <w:r>
                    <w:rPr>
                      <w:rFonts w:hint="eastAsia" w:ascii="华文细黑" w:hAnsi="华文细黑" w:eastAsia="华文细黑" w:cs="华文细黑"/>
                      <w:bCs/>
                      <w:color w:val="000000"/>
                      <w:sz w:val="21"/>
                      <w:szCs w:val="21"/>
                      <w:lang w:val="en-US" w:eastAsia="zh-CN"/>
                    </w:rPr>
                    <w:t>履约总数</w:t>
                  </w:r>
                  <w:r>
                    <w:rPr>
                      <w:rFonts w:hint="eastAsia" w:ascii="华文细黑" w:hAnsi="华文细黑" w:eastAsia="华文细黑" w:cs="华文细黑"/>
                      <w:bCs/>
                      <w:color w:val="000000"/>
                      <w:sz w:val="21"/>
                      <w:szCs w:val="21"/>
                    </w:rPr>
                    <w:t>×100%</w:t>
                  </w:r>
                </w:p>
              </w:tc>
              <w:tc>
                <w:tcPr>
                  <w:tcW w:w="1120"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jc w:val="left"/>
                    <w:rPr>
                      <w:rFonts w:hint="eastAsia" w:ascii="华文细黑" w:hAnsi="华文细黑" w:eastAsia="华文细黑" w:cs="华文细黑"/>
                      <w:bCs/>
                      <w:color w:val="000000"/>
                      <w:sz w:val="21"/>
                      <w:szCs w:val="21"/>
                      <w:lang w:val="en-US" w:eastAsia="zh-CN"/>
                    </w:rPr>
                  </w:pPr>
                  <w:r>
                    <w:rPr>
                      <w:rFonts w:hint="eastAsia" w:ascii="华文细黑" w:hAnsi="华文细黑" w:eastAsia="华文细黑" w:cs="华文细黑"/>
                      <w:bCs/>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337"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rPr>
                      <w:rFonts w:hint="eastAsia" w:ascii="华文细黑" w:hAnsi="华文细黑" w:eastAsia="华文细黑" w:cs="华文细黑"/>
                      <w:b w:val="0"/>
                      <w:bCs/>
                      <w:color w:val="000000"/>
                      <w:sz w:val="21"/>
                      <w:szCs w:val="21"/>
                      <w:lang w:eastAsia="zh-CN"/>
                    </w:rPr>
                  </w:pPr>
                  <w:r>
                    <w:rPr>
                      <w:rFonts w:hint="eastAsia" w:ascii="华文细黑" w:hAnsi="华文细黑" w:eastAsia="华文细黑" w:cs="华文细黑"/>
                      <w:b w:val="0"/>
                      <w:bCs/>
                      <w:color w:val="000000"/>
                      <w:sz w:val="21"/>
                      <w:szCs w:val="21"/>
                      <w:lang w:val="en-US" w:eastAsia="zh-CN"/>
                    </w:rPr>
                    <w:t>2.</w:t>
                  </w:r>
                  <w:r>
                    <w:rPr>
                      <w:rFonts w:hint="eastAsia" w:ascii="华文细黑" w:hAnsi="华文细黑" w:eastAsia="华文细黑" w:cs="华文细黑"/>
                      <w:sz w:val="21"/>
                      <w:szCs w:val="21"/>
                    </w:rPr>
                    <w:t>合同评审率</w:t>
                  </w:r>
                  <w:r>
                    <w:rPr>
                      <w:rFonts w:hint="eastAsia" w:ascii="华文细黑" w:hAnsi="华文细黑" w:eastAsia="华文细黑" w:cs="华文细黑"/>
                      <w:b w:val="0"/>
                      <w:bCs/>
                      <w:color w:val="000000"/>
                      <w:sz w:val="21"/>
                      <w:szCs w:val="21"/>
                      <w:lang w:eastAsia="zh-CN"/>
                    </w:rPr>
                    <w:t>≥</w:t>
                  </w:r>
                  <w:r>
                    <w:rPr>
                      <w:rFonts w:hint="eastAsia" w:ascii="华文细黑" w:hAnsi="华文细黑" w:eastAsia="华文细黑" w:cs="华文细黑"/>
                      <w:b w:val="0"/>
                      <w:bCs/>
                      <w:color w:val="000000"/>
                      <w:sz w:val="21"/>
                      <w:szCs w:val="21"/>
                      <w:lang w:val="en-US" w:eastAsia="zh-CN"/>
                    </w:rPr>
                    <w:t>100%</w:t>
                  </w:r>
                </w:p>
              </w:tc>
              <w:tc>
                <w:tcPr>
                  <w:tcW w:w="4853"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rPr>
                      <w:rFonts w:hint="eastAsia" w:ascii="华文细黑" w:hAnsi="华文细黑" w:eastAsia="华文细黑" w:cs="华文细黑"/>
                      <w:bCs/>
                      <w:color w:val="000000"/>
                      <w:sz w:val="21"/>
                      <w:szCs w:val="21"/>
                    </w:rPr>
                  </w:pPr>
                  <w:r>
                    <w:rPr>
                      <w:rFonts w:hint="eastAsia" w:ascii="华文细黑" w:hAnsi="华文细黑" w:eastAsia="华文细黑" w:cs="华文细黑"/>
                      <w:bCs/>
                      <w:color w:val="000000"/>
                      <w:sz w:val="21"/>
                      <w:szCs w:val="21"/>
                      <w:lang w:val="en-US" w:eastAsia="zh-CN"/>
                    </w:rPr>
                    <w:t>合同评审</w:t>
                  </w:r>
                  <w:r>
                    <w:rPr>
                      <w:rFonts w:hint="eastAsia" w:ascii="华文细黑" w:hAnsi="华文细黑" w:eastAsia="华文细黑" w:cs="华文细黑"/>
                      <w:bCs/>
                      <w:color w:val="000000"/>
                      <w:sz w:val="21"/>
                      <w:szCs w:val="21"/>
                    </w:rPr>
                    <w:t>率＝</w:t>
                  </w:r>
                  <w:r>
                    <w:rPr>
                      <w:rFonts w:hint="eastAsia" w:ascii="华文细黑" w:hAnsi="华文细黑" w:eastAsia="华文细黑" w:cs="华文细黑"/>
                      <w:bCs/>
                      <w:color w:val="000000"/>
                      <w:sz w:val="21"/>
                      <w:szCs w:val="21"/>
                      <w:lang w:val="en-US" w:eastAsia="zh-CN"/>
                    </w:rPr>
                    <w:t>合同评审</w:t>
                  </w:r>
                  <w:r>
                    <w:rPr>
                      <w:rFonts w:hint="eastAsia" w:ascii="华文细黑" w:hAnsi="华文细黑" w:eastAsia="华文细黑" w:cs="华文细黑"/>
                      <w:bCs/>
                      <w:color w:val="000000"/>
                      <w:sz w:val="21"/>
                      <w:szCs w:val="21"/>
                    </w:rPr>
                    <w:t>数÷</w:t>
                  </w:r>
                  <w:r>
                    <w:rPr>
                      <w:rFonts w:hint="eastAsia" w:ascii="华文细黑" w:hAnsi="华文细黑" w:eastAsia="华文细黑" w:cs="华文细黑"/>
                      <w:bCs/>
                      <w:color w:val="000000"/>
                      <w:sz w:val="21"/>
                      <w:szCs w:val="21"/>
                      <w:lang w:val="en-US" w:eastAsia="zh-CN"/>
                    </w:rPr>
                    <w:t>合同</w:t>
                  </w:r>
                  <w:r>
                    <w:rPr>
                      <w:rFonts w:hint="eastAsia" w:ascii="华文细黑" w:hAnsi="华文细黑" w:eastAsia="华文细黑" w:cs="华文细黑"/>
                      <w:bCs/>
                      <w:color w:val="000000"/>
                      <w:sz w:val="21"/>
                      <w:szCs w:val="21"/>
                    </w:rPr>
                    <w:t>总数×100%</w:t>
                  </w:r>
                </w:p>
              </w:tc>
              <w:tc>
                <w:tcPr>
                  <w:tcW w:w="1120"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jc w:val="left"/>
                    <w:rPr>
                      <w:rFonts w:hint="eastAsia" w:ascii="华文细黑" w:hAnsi="华文细黑" w:eastAsia="华文细黑" w:cs="华文细黑"/>
                      <w:bCs/>
                      <w:color w:val="000000"/>
                      <w:sz w:val="21"/>
                      <w:szCs w:val="21"/>
                      <w:lang w:val="en-US" w:eastAsia="zh-CN"/>
                    </w:rPr>
                  </w:pPr>
                  <w:r>
                    <w:rPr>
                      <w:rFonts w:hint="eastAsia" w:ascii="华文细黑" w:hAnsi="华文细黑" w:eastAsia="华文细黑" w:cs="华文细黑"/>
                      <w:bCs/>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337"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rPr>
                      <w:rFonts w:hint="eastAsia" w:ascii="华文细黑" w:hAnsi="华文细黑" w:eastAsia="华文细黑" w:cs="华文细黑"/>
                      <w:b w:val="0"/>
                      <w:bCs/>
                      <w:color w:val="000000"/>
                      <w:sz w:val="21"/>
                      <w:szCs w:val="21"/>
                    </w:rPr>
                  </w:pPr>
                  <w:r>
                    <w:rPr>
                      <w:rFonts w:hint="eastAsia" w:ascii="华文细黑" w:hAnsi="华文细黑" w:eastAsia="华文细黑" w:cs="华文细黑"/>
                      <w:b w:val="0"/>
                      <w:bCs/>
                      <w:color w:val="000000"/>
                      <w:sz w:val="21"/>
                      <w:szCs w:val="21"/>
                      <w:lang w:val="en-US" w:eastAsia="zh-CN"/>
                    </w:rPr>
                    <w:t>3.</w:t>
                  </w:r>
                  <w:r>
                    <w:rPr>
                      <w:rFonts w:hint="eastAsia" w:ascii="华文细黑" w:hAnsi="华文细黑" w:eastAsia="华文细黑" w:cs="华文细黑"/>
                      <w:sz w:val="21"/>
                      <w:szCs w:val="21"/>
                    </w:rPr>
                    <w:t>业主满意度调查按时完成率</w:t>
                  </w:r>
                  <w:r>
                    <w:rPr>
                      <w:rFonts w:hint="eastAsia" w:ascii="华文细黑" w:hAnsi="华文细黑" w:eastAsia="华文细黑" w:cs="华文细黑"/>
                      <w:b w:val="0"/>
                      <w:bCs/>
                      <w:color w:val="000000"/>
                      <w:sz w:val="21"/>
                      <w:szCs w:val="21"/>
                      <w:lang w:val="en-US" w:eastAsia="zh-CN"/>
                    </w:rPr>
                    <w:t>100%</w:t>
                  </w:r>
                </w:p>
              </w:tc>
              <w:tc>
                <w:tcPr>
                  <w:tcW w:w="4853"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rPr>
                      <w:rFonts w:hint="eastAsia" w:ascii="华文细黑" w:hAnsi="华文细黑" w:eastAsia="华文细黑" w:cs="华文细黑"/>
                      <w:bCs/>
                      <w:color w:val="000000"/>
                      <w:sz w:val="21"/>
                      <w:szCs w:val="21"/>
                      <w:highlight w:val="none"/>
                      <w:lang w:val="en-US" w:eastAsia="zh-CN"/>
                    </w:rPr>
                  </w:pPr>
                  <w:r>
                    <w:rPr>
                      <w:rFonts w:hint="eastAsia" w:ascii="华文细黑" w:hAnsi="华文细黑" w:eastAsia="华文细黑" w:cs="华文细黑"/>
                      <w:bCs/>
                      <w:color w:val="000000"/>
                      <w:sz w:val="21"/>
                      <w:szCs w:val="21"/>
                      <w:highlight w:val="none"/>
                      <w:lang w:val="en-US" w:eastAsia="zh-CN"/>
                    </w:rPr>
                    <w:t>实时统计</w:t>
                  </w:r>
                </w:p>
              </w:tc>
              <w:tc>
                <w:tcPr>
                  <w:tcW w:w="1120"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jc w:val="left"/>
                    <w:rPr>
                      <w:rFonts w:hint="eastAsia" w:ascii="华文细黑" w:hAnsi="华文细黑" w:eastAsia="华文细黑" w:cs="华文细黑"/>
                      <w:bCs/>
                      <w:color w:val="000000"/>
                      <w:sz w:val="21"/>
                      <w:szCs w:val="21"/>
                      <w:highlight w:val="none"/>
                      <w:lang w:val="en-US" w:eastAsia="zh-CN"/>
                    </w:rPr>
                  </w:pPr>
                  <w:r>
                    <w:rPr>
                      <w:rFonts w:hint="eastAsia" w:ascii="华文细黑" w:hAnsi="华文细黑" w:eastAsia="华文细黑" w:cs="华文细黑"/>
                      <w:bCs/>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337"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rPr>
                      <w:rFonts w:hint="eastAsia" w:ascii="华文细黑" w:hAnsi="华文细黑" w:eastAsia="华文细黑" w:cs="华文细黑"/>
                      <w:b w:val="0"/>
                      <w:bCs/>
                      <w:color w:val="000000"/>
                      <w:sz w:val="21"/>
                      <w:szCs w:val="21"/>
                      <w:lang w:val="en-US" w:eastAsia="zh-CN"/>
                    </w:rPr>
                  </w:pPr>
                  <w:r>
                    <w:rPr>
                      <w:rFonts w:hint="eastAsia" w:ascii="华文细黑" w:hAnsi="华文细黑" w:eastAsia="华文细黑" w:cs="华文细黑"/>
                      <w:sz w:val="21"/>
                      <w:szCs w:val="21"/>
                      <w:lang w:val="en-US" w:eastAsia="zh-CN"/>
                    </w:rPr>
                    <w:t>4.</w:t>
                  </w:r>
                  <w:r>
                    <w:rPr>
                      <w:rFonts w:hint="eastAsia" w:ascii="华文细黑" w:hAnsi="华文细黑" w:eastAsia="华文细黑" w:cs="华文细黑"/>
                      <w:sz w:val="21"/>
                      <w:szCs w:val="21"/>
                    </w:rPr>
                    <w:t>顾客满意度</w:t>
                  </w:r>
                  <w:r>
                    <w:rPr>
                      <w:rFonts w:hint="eastAsia" w:ascii="华文细黑" w:hAnsi="华文细黑" w:eastAsia="华文细黑" w:cs="华文细黑"/>
                      <w:sz w:val="21"/>
                      <w:szCs w:val="21"/>
                      <w:lang w:val="en-US" w:eastAsia="zh-CN"/>
                    </w:rPr>
                    <w:t>≥90%</w:t>
                  </w:r>
                </w:p>
              </w:tc>
              <w:tc>
                <w:tcPr>
                  <w:tcW w:w="4853"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rPr>
                      <w:rFonts w:hint="eastAsia" w:ascii="华文细黑" w:hAnsi="华文细黑" w:eastAsia="华文细黑" w:cs="华文细黑"/>
                      <w:bCs/>
                      <w:color w:val="000000"/>
                      <w:sz w:val="21"/>
                      <w:szCs w:val="21"/>
                      <w:highlight w:val="none"/>
                      <w:lang w:val="en-US" w:eastAsia="zh-CN"/>
                    </w:rPr>
                  </w:pPr>
                  <w:r>
                    <w:rPr>
                      <w:rFonts w:hint="eastAsia" w:ascii="华文细黑" w:hAnsi="华文细黑" w:eastAsia="华文细黑" w:cs="华文细黑"/>
                      <w:bCs/>
                      <w:color w:val="000000"/>
                      <w:sz w:val="21"/>
                      <w:szCs w:val="21"/>
                      <w:highlight w:val="none"/>
                      <w:lang w:val="en-US" w:eastAsia="zh-CN"/>
                    </w:rPr>
                    <w:t>满意</w:t>
                  </w:r>
                  <w:r>
                    <w:rPr>
                      <w:rFonts w:hint="eastAsia" w:ascii="华文细黑" w:hAnsi="华文细黑" w:eastAsia="华文细黑" w:cs="华文细黑"/>
                      <w:bCs/>
                      <w:color w:val="000000"/>
                      <w:sz w:val="21"/>
                      <w:szCs w:val="21"/>
                      <w:highlight w:val="none"/>
                    </w:rPr>
                    <w:t>率＝</w:t>
                  </w:r>
                  <w:r>
                    <w:rPr>
                      <w:rFonts w:hint="eastAsia" w:ascii="华文细黑" w:hAnsi="华文细黑" w:eastAsia="华文细黑" w:cs="华文细黑"/>
                      <w:bCs/>
                      <w:color w:val="000000"/>
                      <w:sz w:val="21"/>
                      <w:szCs w:val="21"/>
                      <w:highlight w:val="none"/>
                      <w:lang w:val="en-US" w:eastAsia="zh-CN"/>
                    </w:rPr>
                    <w:t>顾客满意分数总数</w:t>
                  </w:r>
                  <w:r>
                    <w:rPr>
                      <w:rFonts w:hint="eastAsia" w:ascii="华文细黑" w:hAnsi="华文细黑" w:eastAsia="华文细黑" w:cs="华文细黑"/>
                      <w:bCs/>
                      <w:color w:val="000000"/>
                      <w:sz w:val="21"/>
                      <w:szCs w:val="21"/>
                      <w:highlight w:val="none"/>
                    </w:rPr>
                    <w:t>÷</w:t>
                  </w:r>
                  <w:r>
                    <w:rPr>
                      <w:rFonts w:hint="eastAsia" w:ascii="华文细黑" w:hAnsi="华文细黑" w:eastAsia="华文细黑" w:cs="华文细黑"/>
                      <w:bCs/>
                      <w:color w:val="000000"/>
                      <w:sz w:val="21"/>
                      <w:szCs w:val="21"/>
                      <w:highlight w:val="none"/>
                      <w:lang w:val="en-US" w:eastAsia="zh-CN"/>
                    </w:rPr>
                    <w:t>每份的分数</w:t>
                  </w:r>
                  <w:r>
                    <w:rPr>
                      <w:rFonts w:hint="eastAsia" w:ascii="华文细黑" w:hAnsi="华文细黑" w:eastAsia="华文细黑" w:cs="华文细黑"/>
                      <w:bCs/>
                      <w:color w:val="000000"/>
                      <w:sz w:val="21"/>
                      <w:szCs w:val="21"/>
                      <w:highlight w:val="none"/>
                    </w:rPr>
                    <w:t>×100%</w:t>
                  </w:r>
                </w:p>
              </w:tc>
              <w:tc>
                <w:tcPr>
                  <w:tcW w:w="1120"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jc w:val="left"/>
                    <w:rPr>
                      <w:rFonts w:hint="eastAsia" w:ascii="华文细黑" w:hAnsi="华文细黑" w:eastAsia="华文细黑" w:cs="华文细黑"/>
                      <w:bCs/>
                      <w:color w:val="000000"/>
                      <w:sz w:val="21"/>
                      <w:szCs w:val="21"/>
                      <w:highlight w:val="none"/>
                      <w:lang w:val="en-US" w:eastAsia="zh-CN"/>
                    </w:rPr>
                  </w:pPr>
                  <w:r>
                    <w:rPr>
                      <w:rFonts w:hint="eastAsia" w:ascii="华文细黑" w:hAnsi="华文细黑" w:eastAsia="华文细黑" w:cs="华文细黑"/>
                      <w:bCs/>
                      <w:color w:val="000000"/>
                      <w:sz w:val="21"/>
                      <w:szCs w:val="21"/>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3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华文细黑" w:hAnsi="华文细黑" w:eastAsia="华文细黑" w:cs="华文细黑"/>
                      <w:bCs/>
                      <w:color w:val="000000"/>
                      <w:sz w:val="21"/>
                      <w:szCs w:val="21"/>
                      <w:lang w:eastAsia="zh-CN"/>
                    </w:rPr>
                  </w:pPr>
                  <w:r>
                    <w:rPr>
                      <w:rFonts w:hint="eastAsia" w:ascii="华文细黑" w:hAnsi="华文细黑" w:eastAsia="华文细黑" w:cs="华文细黑"/>
                      <w:sz w:val="21"/>
                      <w:szCs w:val="21"/>
                      <w:lang w:val="en-US" w:eastAsia="zh-CN"/>
                    </w:rPr>
                    <w:t>5</w:t>
                  </w:r>
                  <w:r>
                    <w:rPr>
                      <w:rFonts w:hint="eastAsia" w:ascii="华文细黑" w:hAnsi="华文细黑" w:eastAsia="华文细黑" w:cs="华文细黑"/>
                      <w:sz w:val="21"/>
                      <w:szCs w:val="21"/>
                    </w:rPr>
                    <w:t>．环境、职业健康安全运行检查合格率≥9</w:t>
                  </w:r>
                  <w:r>
                    <w:rPr>
                      <w:rFonts w:hint="eastAsia" w:ascii="华文细黑" w:hAnsi="华文细黑" w:eastAsia="华文细黑" w:cs="华文细黑"/>
                      <w:sz w:val="21"/>
                      <w:szCs w:val="21"/>
                      <w:lang w:val="en-US" w:eastAsia="zh-CN"/>
                    </w:rPr>
                    <w:t>5</w:t>
                  </w:r>
                  <w:r>
                    <w:rPr>
                      <w:rFonts w:hint="eastAsia" w:ascii="华文细黑" w:hAnsi="华文细黑" w:eastAsia="华文细黑" w:cs="华文细黑"/>
                      <w:sz w:val="21"/>
                      <w:szCs w:val="21"/>
                    </w:rPr>
                    <w:t>%</w:t>
                  </w:r>
                </w:p>
              </w:tc>
              <w:tc>
                <w:tcPr>
                  <w:tcW w:w="4853"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rPr>
                      <w:rFonts w:hint="eastAsia" w:ascii="华文细黑" w:hAnsi="华文细黑" w:eastAsia="华文细黑" w:cs="华文细黑"/>
                      <w:bCs/>
                      <w:color w:val="000000"/>
                      <w:sz w:val="21"/>
                      <w:szCs w:val="21"/>
                    </w:rPr>
                  </w:pPr>
                  <w:r>
                    <w:rPr>
                      <w:rFonts w:hint="eastAsia" w:ascii="华文细黑" w:hAnsi="华文细黑" w:eastAsia="华文细黑" w:cs="华文细黑"/>
                      <w:bCs/>
                      <w:color w:val="000000"/>
                      <w:sz w:val="21"/>
                      <w:szCs w:val="21"/>
                      <w:lang w:val="en-US" w:eastAsia="zh-CN"/>
                    </w:rPr>
                    <w:t>合格</w:t>
                  </w:r>
                  <w:r>
                    <w:rPr>
                      <w:rFonts w:hint="eastAsia" w:ascii="华文细黑" w:hAnsi="华文细黑" w:eastAsia="华文细黑" w:cs="华文细黑"/>
                      <w:bCs/>
                      <w:color w:val="000000"/>
                      <w:sz w:val="21"/>
                      <w:szCs w:val="21"/>
                    </w:rPr>
                    <w:t>率＝</w:t>
                  </w:r>
                  <w:r>
                    <w:rPr>
                      <w:rFonts w:hint="eastAsia" w:ascii="华文细黑" w:hAnsi="华文细黑" w:eastAsia="华文细黑" w:cs="华文细黑"/>
                      <w:bCs/>
                      <w:color w:val="000000"/>
                      <w:sz w:val="21"/>
                      <w:szCs w:val="21"/>
                      <w:lang w:val="en-US" w:eastAsia="zh-CN"/>
                    </w:rPr>
                    <w:t>合格次数</w:t>
                  </w:r>
                  <w:r>
                    <w:rPr>
                      <w:rFonts w:hint="eastAsia" w:ascii="华文细黑" w:hAnsi="华文细黑" w:eastAsia="华文细黑" w:cs="华文细黑"/>
                      <w:bCs/>
                      <w:color w:val="000000"/>
                      <w:sz w:val="21"/>
                      <w:szCs w:val="21"/>
                    </w:rPr>
                    <w:t>÷</w:t>
                  </w:r>
                  <w:r>
                    <w:rPr>
                      <w:rFonts w:hint="eastAsia" w:ascii="华文细黑" w:hAnsi="华文细黑" w:eastAsia="华文细黑" w:cs="华文细黑"/>
                      <w:bCs/>
                      <w:color w:val="000000"/>
                      <w:sz w:val="21"/>
                      <w:szCs w:val="21"/>
                      <w:lang w:val="en-US" w:eastAsia="zh-CN"/>
                    </w:rPr>
                    <w:t>检查总次数</w:t>
                  </w:r>
                  <w:r>
                    <w:rPr>
                      <w:rFonts w:hint="eastAsia" w:ascii="华文细黑" w:hAnsi="华文细黑" w:eastAsia="华文细黑" w:cs="华文细黑"/>
                      <w:bCs/>
                      <w:color w:val="000000"/>
                      <w:sz w:val="21"/>
                      <w:szCs w:val="21"/>
                    </w:rPr>
                    <w:t>×100%</w:t>
                  </w:r>
                </w:p>
              </w:tc>
              <w:tc>
                <w:tcPr>
                  <w:tcW w:w="1120" w:type="dxa"/>
                  <w:tcBorders>
                    <w:top w:val="single" w:color="auto" w:sz="4" w:space="0"/>
                    <w:left w:val="single" w:color="auto" w:sz="4" w:space="0"/>
                    <w:bottom w:val="single" w:color="auto" w:sz="4" w:space="0"/>
                    <w:right w:val="single" w:color="auto" w:sz="4" w:space="0"/>
                  </w:tcBorders>
                  <w:vAlign w:val="center"/>
                </w:tcPr>
                <w:p>
                  <w:pPr>
                    <w:pStyle w:val="3"/>
                    <w:spacing w:before="60" w:beforeLines="15" w:after="60" w:afterLines="15" w:line="0" w:lineRule="atLeast"/>
                    <w:ind w:left="0" w:leftChars="0"/>
                    <w:jc w:val="left"/>
                    <w:rPr>
                      <w:rFonts w:hint="eastAsia" w:ascii="华文细黑" w:hAnsi="华文细黑" w:eastAsia="华文细黑" w:cs="华文细黑"/>
                      <w:bCs/>
                      <w:color w:val="000000"/>
                      <w:sz w:val="21"/>
                      <w:szCs w:val="21"/>
                      <w:lang w:val="en-US" w:eastAsia="zh-CN"/>
                    </w:rPr>
                  </w:pPr>
                  <w:r>
                    <w:rPr>
                      <w:rFonts w:hint="eastAsia" w:ascii="华文细黑" w:hAnsi="华文细黑" w:eastAsia="华文细黑" w:cs="华文细黑"/>
                      <w:bCs/>
                      <w:color w:val="000000"/>
                      <w:sz w:val="21"/>
                      <w:szCs w:val="21"/>
                      <w:lang w:val="en-US" w:eastAsia="zh-CN"/>
                    </w:rPr>
                    <w:t>100%</w:t>
                  </w:r>
                </w:p>
              </w:tc>
            </w:tr>
          </w:tbl>
          <w:p>
            <w:pPr>
              <w:ind w:firstLine="420" w:firstLineChars="200"/>
              <w:jc w:val="left"/>
              <w:rPr>
                <w:rFonts w:hint="default" w:eastAsia="宋体"/>
                <w:color w:val="000000"/>
                <w:szCs w:val="21"/>
                <w:lang w:val="en-US" w:eastAsia="zh-CN"/>
              </w:rPr>
            </w:pPr>
            <w:r>
              <w:rPr>
                <w:rFonts w:hint="eastAsia" w:ascii="华文细黑" w:hAnsi="华文细黑" w:eastAsia="华文细黑" w:cs="华文细黑"/>
                <w:bCs w:val="0"/>
                <w:spacing w:val="0"/>
                <w:kern w:val="2"/>
                <w:sz w:val="21"/>
                <w:szCs w:val="21"/>
                <w:lang w:val="en-US" w:eastAsia="zh-CN" w:bidi="ar-SA"/>
              </w:rPr>
              <w:t>部门目标与分解基本合理，均有相应的统计方法、管理方案和监视频率，责任部门和责任人明确，基本满足控制要求。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4" w:hRule="atLeast"/>
        </w:trPr>
        <w:tc>
          <w:tcPr>
            <w:tcW w:w="2160" w:type="dxa"/>
          </w:tcPr>
          <w:p>
            <w:pPr>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服务有关的要求的确定</w:t>
            </w:r>
          </w:p>
        </w:tc>
        <w:tc>
          <w:tcPr>
            <w:tcW w:w="960" w:type="dxa"/>
          </w:tcPr>
          <w:p>
            <w:pPr>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Q8.2</w:t>
            </w:r>
          </w:p>
        </w:tc>
        <w:tc>
          <w:tcPr>
            <w:tcW w:w="10004" w:type="dxa"/>
          </w:tcPr>
          <w:p>
            <w:pPr>
              <w:bidi w:val="0"/>
              <w:ind w:firstLine="420" w:firstLineChars="200"/>
              <w:rPr>
                <w:rFonts w:hint="eastAsia"/>
                <w:lang w:val="en-US" w:eastAsia="zh-CN"/>
              </w:rPr>
            </w:pPr>
            <w:r>
              <w:rPr>
                <w:rFonts w:hint="eastAsia"/>
                <w:lang w:val="en-US" w:eastAsia="zh-CN"/>
              </w:rPr>
              <w:t>提供了《与顾客有关过程控制程序》，规定对顾客要求的识别，服务要求的评审与顾客沟通的内容与要求以及服务的提供，确保与顾客有关过程得到有效控制，从而使顾客满意。</w:t>
            </w:r>
          </w:p>
          <w:p>
            <w:pPr>
              <w:bidi w:val="0"/>
              <w:ind w:firstLine="420" w:firstLineChars="200"/>
              <w:rPr>
                <w:rFonts w:hint="eastAsia"/>
                <w:lang w:val="en-US" w:eastAsia="zh-CN"/>
              </w:rPr>
            </w:pPr>
            <w:r>
              <w:rPr>
                <w:rFonts w:hint="eastAsia"/>
                <w:lang w:val="en-US" w:eastAsia="zh-CN"/>
              </w:rPr>
              <w:t>审核发现，该部门与顾客沟通内容与方式包括：；通过问询等提供有关劳务服务的信息；通过合同的处理，使双方对协议内容达到共识并理解一致；通过调查访问了解顾客满意等；对顾客反馈包括顾客投诉作出反应。</w:t>
            </w:r>
          </w:p>
          <w:p>
            <w:pPr>
              <w:ind w:firstLine="420" w:firstLineChars="200"/>
              <w:rPr>
                <w:rFonts w:hint="eastAsia" w:ascii="Times New Roman" w:hAnsi="Times New Roman" w:cs="Times New Roman"/>
                <w:lang w:val="en-US" w:eastAsia="zh-CN"/>
              </w:rPr>
            </w:pPr>
            <w:r>
              <w:rPr>
                <w:rFonts w:hint="eastAsia"/>
                <w:lang w:val="en-US" w:eastAsia="zh-CN"/>
              </w:rPr>
              <w:t>审核发现，组织提供的劳务服务的要求包括：适用的法律法规要求；组织认为的必要要求；合同意向书、订单；顾客规定的产品和服务要求，包括有关劳务质量、更换方面的要求等；组织的</w:t>
            </w:r>
            <w:r>
              <w:rPr>
                <w:rFonts w:hint="eastAsia" w:ascii="Times New Roman" w:hAnsi="Times New Roman" w:cs="Times New Roman"/>
                <w:lang w:val="en-US" w:eastAsia="zh-CN"/>
              </w:rPr>
              <w:t>销售服务基本已成熟，收到合同没有异议后，总经理或其代表直接在合同上签字</w:t>
            </w:r>
            <w:r>
              <w:rPr>
                <w:rFonts w:hint="eastAsia" w:cs="Times New Roman"/>
                <w:lang w:val="en-US" w:eastAsia="zh-CN"/>
              </w:rPr>
              <w:t>（盖章）</w:t>
            </w:r>
            <w:r>
              <w:rPr>
                <w:rFonts w:hint="eastAsia" w:ascii="Times New Roman" w:hAnsi="Times New Roman" w:cs="Times New Roman"/>
                <w:lang w:val="en-US" w:eastAsia="zh-CN"/>
              </w:rPr>
              <w:t>即完成合同评审，特殊合同需相关部门人员一起评审，目前承接的合同都是常规业务合同。</w:t>
            </w:r>
          </w:p>
          <w:p>
            <w:pPr>
              <w:bidi w:val="0"/>
              <w:ind w:firstLine="420" w:firstLineChars="200"/>
              <w:rPr>
                <w:rFonts w:hint="eastAsia"/>
                <w:lang w:val="en-US" w:eastAsia="zh-CN"/>
              </w:rPr>
            </w:pPr>
            <w:r>
              <w:rPr>
                <w:rFonts w:hint="eastAsia"/>
                <w:lang w:val="en-US" w:eastAsia="zh-CN"/>
              </w:rPr>
              <w:t>提供劳务派遣（劳务承包）合同如下：</w:t>
            </w:r>
          </w:p>
          <w:p>
            <w:pPr>
              <w:bidi w:val="0"/>
              <w:ind w:firstLine="420" w:firstLineChars="200"/>
              <w:rPr>
                <w:rFonts w:hint="eastAsia"/>
                <w:color w:val="auto"/>
                <w:lang w:val="en-US" w:eastAsia="zh-CN"/>
              </w:rPr>
            </w:pPr>
            <w:r>
              <w:rPr>
                <w:rFonts w:hint="eastAsia"/>
                <w:lang w:val="en-US" w:eastAsia="zh-CN"/>
              </w:rPr>
              <w:t>抽查签订的合同1：甲方：</w:t>
            </w:r>
            <w:r>
              <w:rPr>
                <w:rFonts w:hint="eastAsia"/>
                <w:color w:val="auto"/>
                <w:lang w:val="en-US" w:eastAsia="zh-CN"/>
              </w:rPr>
              <w:t>杭州市环境集团有限公司</w:t>
            </w:r>
            <w:r>
              <w:rPr>
                <w:rFonts w:hint="eastAsia"/>
                <w:lang w:val="en-US" w:eastAsia="zh-CN"/>
              </w:rPr>
              <w:t>；合同期限：</w:t>
            </w:r>
            <w:r>
              <w:rPr>
                <w:rFonts w:hint="eastAsia"/>
                <w:color w:val="auto"/>
                <w:lang w:val="en-US" w:eastAsia="zh-CN"/>
              </w:rPr>
              <w:t>2022年1月1日至2022年6月30日</w:t>
            </w:r>
            <w:r>
              <w:rPr>
                <w:rFonts w:hint="eastAsia"/>
                <w:lang w:val="en-US" w:eastAsia="zh-CN"/>
              </w:rPr>
              <w:t>；合同内容包含双方商定承包内容（管理员、填埋辅助工（临时性工作）、污水操作工、资源化操作工、后勤人员（包括保洁）、直运司机、集运员等岗位），双方权利和义</w:t>
            </w:r>
            <w:r>
              <w:rPr>
                <w:rFonts w:hint="eastAsia"/>
                <w:color w:val="auto"/>
                <w:lang w:val="en-US" w:eastAsia="zh-CN"/>
              </w:rPr>
              <w:t xml:space="preserve">务，结算方式等。有双方代表签字盖章。   </w:t>
            </w:r>
          </w:p>
          <w:p>
            <w:pPr>
              <w:bidi w:val="0"/>
              <w:ind w:firstLine="420" w:firstLineChars="200"/>
              <w:rPr>
                <w:rFonts w:hint="default"/>
                <w:lang w:val="en-US" w:eastAsia="zh-CN"/>
              </w:rPr>
            </w:pPr>
            <w:r>
              <w:rPr>
                <w:rFonts w:hint="eastAsia"/>
                <w:color w:val="auto"/>
                <w:lang w:val="en-US" w:eastAsia="zh-CN"/>
              </w:rPr>
              <w:t>抽查签订的合同2：甲方：杭州森朗新型材料有限公司；合同期限：2022年1月1日至2022年12月31日；合同内容</w:t>
            </w:r>
            <w:r>
              <w:rPr>
                <w:rFonts w:hint="eastAsia"/>
                <w:lang w:val="en-US" w:eastAsia="zh-CN"/>
              </w:rPr>
              <w:t>包含双方商定内容，双方责任，结算方式等。有双方盖章。</w:t>
            </w:r>
          </w:p>
          <w:p>
            <w:pPr>
              <w:bidi w:val="0"/>
              <w:ind w:firstLine="420" w:firstLineChars="200"/>
              <w:rPr>
                <w:rFonts w:hint="default"/>
                <w:color w:val="FF0000"/>
                <w:lang w:val="en-US" w:eastAsia="zh-CN"/>
              </w:rPr>
            </w:pPr>
            <w:r>
              <w:rPr>
                <w:rFonts w:hint="eastAsia"/>
                <w:color w:val="FF0000"/>
                <w:lang w:val="en-US" w:eastAsia="zh-CN"/>
              </w:rPr>
              <w:t>抽查签订的合同3：</w:t>
            </w:r>
          </w:p>
          <w:p>
            <w:pPr>
              <w:bidi w:val="0"/>
              <w:ind w:firstLine="420" w:firstLineChars="200"/>
              <w:rPr>
                <w:rFonts w:hint="default"/>
                <w:color w:val="000000"/>
                <w:szCs w:val="21"/>
                <w:highlight w:val="yellow"/>
                <w:lang w:val="en-US" w:eastAsia="zh-CN"/>
              </w:rPr>
            </w:pPr>
            <w:r>
              <w:rPr>
                <w:rFonts w:hint="eastAsia"/>
                <w:lang w:val="en-US" w:eastAsia="zh-CN"/>
              </w:rPr>
              <w:t>体系运行以来，组织顾客的劳务服务无中途变更记录。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60" w:type="dxa"/>
          </w:tcPr>
          <w:p>
            <w:pPr>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顾客财产</w:t>
            </w:r>
          </w:p>
        </w:tc>
        <w:tc>
          <w:tcPr>
            <w:tcW w:w="960" w:type="dxa"/>
          </w:tcPr>
          <w:p>
            <w:pPr>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Q8.5.3</w:t>
            </w:r>
          </w:p>
        </w:tc>
        <w:tc>
          <w:tcPr>
            <w:tcW w:w="10004" w:type="dxa"/>
          </w:tcPr>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审核了解到，业务部涉及的顾客财产主要为顾客信息</w:t>
            </w:r>
            <w:r>
              <w:rPr>
                <w:rFonts w:hint="eastAsia" w:cs="Times New Roman"/>
                <w:lang w:val="en-US" w:eastAsia="zh-CN"/>
              </w:rPr>
              <w:t>、数据和资料</w:t>
            </w:r>
            <w:r>
              <w:rPr>
                <w:rFonts w:hint="eastAsia" w:ascii="Times New Roman" w:hAnsi="Times New Roman" w:cs="Times New Roman"/>
                <w:lang w:val="en-US" w:eastAsia="zh-CN"/>
              </w:rPr>
              <w:t>，</w:t>
            </w:r>
            <w:r>
              <w:rPr>
                <w:rFonts w:hint="eastAsia" w:cs="Times New Roman"/>
                <w:lang w:val="en-US" w:eastAsia="zh-CN"/>
              </w:rPr>
              <w:t>包括1）全部应交付成果；2）全部软件、文档、财务、市场及客户资料和其他商务信息；3）任何其他标明为机密或其披露之具体环境使人合理地认为其为机密的资料和信息。相关信息</w:t>
            </w:r>
            <w:r>
              <w:rPr>
                <w:rFonts w:hint="eastAsia" w:ascii="Times New Roman" w:hAnsi="Times New Roman" w:cs="Times New Roman"/>
                <w:lang w:val="en-US" w:eastAsia="zh-CN"/>
              </w:rPr>
              <w:t>由专门人员负责管理，分类登记放置</w:t>
            </w:r>
            <w:r>
              <w:rPr>
                <w:rFonts w:hint="eastAsia" w:cs="Times New Roman"/>
                <w:lang w:val="en-US" w:eastAsia="zh-CN"/>
              </w:rPr>
              <w:t>，并有合同条款约定相关保密事宜</w:t>
            </w:r>
            <w:r>
              <w:rPr>
                <w:rFonts w:hint="eastAsia" w:ascii="Times New Roman" w:hAnsi="Times New Roman" w:cs="Times New Roman"/>
                <w:lang w:val="en-US" w:eastAsia="zh-CN"/>
              </w:rPr>
              <w:t>。</w:t>
            </w:r>
          </w:p>
          <w:p>
            <w:pPr>
              <w:bidi w:val="0"/>
              <w:ind w:firstLine="420" w:firstLineChars="200"/>
              <w:rPr>
                <w:rFonts w:hint="default"/>
                <w:lang w:val="en-US" w:eastAsia="zh-CN"/>
              </w:rPr>
            </w:pPr>
            <w:r>
              <w:rPr>
                <w:rFonts w:hint="eastAsia" w:ascii="Times New Roman" w:hAnsi="Times New Roman" w:cs="Times New Roman"/>
                <w:lang w:val="en-US" w:eastAsia="zh-CN"/>
              </w:rPr>
              <w:t>截止审核期间，未发现泄露等现象。其它顾客财产管理见生产运行部Q8.5.3记录。</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2160" w:type="dxa"/>
          </w:tcPr>
          <w:p>
            <w:pPr>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顾客满意度</w:t>
            </w:r>
          </w:p>
        </w:tc>
        <w:tc>
          <w:tcPr>
            <w:tcW w:w="960" w:type="dxa"/>
          </w:tcPr>
          <w:p>
            <w:pPr>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Q9.1.2</w:t>
            </w:r>
          </w:p>
        </w:tc>
        <w:tc>
          <w:tcPr>
            <w:tcW w:w="10004" w:type="dxa"/>
          </w:tcPr>
          <w:p>
            <w:pPr>
              <w:spacing w:line="280" w:lineRule="exact"/>
              <w:ind w:firstLine="420" w:firstLineChars="200"/>
              <w:rPr>
                <w:rFonts w:hint="eastAsia"/>
                <w:color w:val="000000"/>
                <w:szCs w:val="21"/>
                <w:lang w:val="en-US" w:eastAsia="zh-CN"/>
              </w:rPr>
            </w:pPr>
            <w:r>
              <w:rPr>
                <w:rFonts w:hint="eastAsia"/>
                <w:color w:val="000000"/>
                <w:szCs w:val="21"/>
                <w:lang w:val="en-US" w:eastAsia="zh-CN"/>
              </w:rPr>
              <w:t>组织制定了</w:t>
            </w:r>
            <w:r>
              <w:rPr>
                <w:rFonts w:hint="eastAsia"/>
                <w:color w:val="000000"/>
                <w:szCs w:val="21"/>
              </w:rPr>
              <w:t>《</w:t>
            </w:r>
            <w:r>
              <w:rPr>
                <w:rFonts w:hint="eastAsia"/>
                <w:color w:val="000000"/>
                <w:szCs w:val="21"/>
                <w:lang w:eastAsia="zh-CN"/>
              </w:rPr>
              <w:t>顾</w:t>
            </w:r>
            <w:r>
              <w:rPr>
                <w:rFonts w:hint="eastAsia"/>
                <w:color w:val="000000"/>
                <w:szCs w:val="21"/>
                <w:lang w:val="en-US" w:eastAsia="zh-CN"/>
              </w:rPr>
              <w:t>客满意度测量控制程序》，对监控顾客满意和不满意信息的要去作了规定，以寻求改进，不断提高顾客的满意程度。</w:t>
            </w:r>
          </w:p>
          <w:p>
            <w:pPr>
              <w:spacing w:line="280" w:lineRule="exact"/>
              <w:ind w:firstLine="420" w:firstLineChars="200"/>
              <w:rPr>
                <w:rFonts w:hint="default"/>
                <w:color w:val="000000"/>
                <w:szCs w:val="21"/>
                <w:lang w:val="en-US" w:eastAsia="zh-CN"/>
              </w:rPr>
            </w:pPr>
            <w:r>
              <w:rPr>
                <w:rFonts w:hint="eastAsia"/>
                <w:color w:val="000000"/>
                <w:szCs w:val="21"/>
                <w:lang w:val="en-US" w:eastAsia="zh-CN"/>
              </w:rPr>
              <w:t>提供《顾客满意度调查表》：调查内容包括服务质量等方面，除内容有待改进外，基本能够满足调查要求；调查对象包括扩</w:t>
            </w:r>
            <w:r>
              <w:rPr>
                <w:rFonts w:hint="eastAsia" w:ascii="Times New Roman" w:hAnsi="Times New Roman" w:cs="Times New Roman"/>
                <w:color w:val="000000"/>
                <w:szCs w:val="21"/>
                <w:lang w:val="en-US" w:eastAsia="zh-CN"/>
              </w:rPr>
              <w:t>杭州西湖清洁直运有限公司等</w:t>
            </w:r>
            <w:r>
              <w:rPr>
                <w:rFonts w:hint="eastAsia"/>
                <w:color w:val="000000"/>
                <w:szCs w:val="21"/>
                <w:lang w:val="en-US" w:eastAsia="zh-CN"/>
              </w:rPr>
              <w:t>6家；调查人：方勤荣；调查时间：2022.4.5。</w:t>
            </w:r>
          </w:p>
          <w:p>
            <w:pPr>
              <w:spacing w:line="280" w:lineRule="exact"/>
              <w:ind w:firstLine="420" w:firstLineChars="200"/>
              <w:rPr>
                <w:rFonts w:hint="eastAsia"/>
                <w:color w:val="000000"/>
                <w:szCs w:val="21"/>
              </w:rPr>
            </w:pPr>
            <w:r>
              <w:rPr>
                <w:rFonts w:hint="eastAsia"/>
                <w:color w:val="000000"/>
                <w:szCs w:val="21"/>
                <w:lang w:val="en-US" w:eastAsia="zh-CN"/>
              </w:rPr>
              <w:t>提供《顾客满意度统计表》：对顾客满意数据进行统计，评价结果满意率92%，达到满意度目标90%要求。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运行策划和控制</w:t>
            </w:r>
          </w:p>
        </w:tc>
        <w:tc>
          <w:tcPr>
            <w:tcW w:w="960"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EO8.1</w:t>
            </w:r>
          </w:p>
        </w:tc>
        <w:tc>
          <w:tcPr>
            <w:tcW w:w="10004" w:type="dxa"/>
            <w:vAlign w:val="center"/>
          </w:tcPr>
          <w:p>
            <w:pPr>
              <w:spacing w:line="280" w:lineRule="exact"/>
              <w:ind w:firstLine="420" w:firstLineChars="200"/>
              <w:rPr>
                <w:rFonts w:hint="default"/>
                <w:lang w:val="en-US" w:eastAsia="zh-CN"/>
              </w:rPr>
            </w:pPr>
            <w:r>
              <w:rPr>
                <w:rFonts w:hint="eastAsia"/>
              </w:rPr>
              <w:t>涉及到</w:t>
            </w:r>
            <w:r>
              <w:rPr>
                <w:rFonts w:hint="eastAsia"/>
                <w:lang w:val="en-US" w:eastAsia="zh-CN"/>
              </w:rPr>
              <w:t>业务部</w:t>
            </w:r>
            <w:r>
              <w:rPr>
                <w:rFonts w:hint="eastAsia"/>
              </w:rPr>
              <w:t>的重要环境因素主要</w:t>
            </w:r>
            <w:r>
              <w:rPr>
                <w:rFonts w:hint="eastAsia"/>
                <w:lang w:val="en-US" w:eastAsia="zh-CN"/>
              </w:rPr>
              <w:t>包括：</w:t>
            </w:r>
            <w:r>
              <w:rPr>
                <w:rFonts w:hint="eastAsia"/>
              </w:rPr>
              <w:t>固废排放、火灾；不可接受危险主要为</w:t>
            </w:r>
            <w:r>
              <w:rPr>
                <w:rFonts w:hint="eastAsia"/>
                <w:lang w:val="en-US" w:eastAsia="zh-CN"/>
              </w:rPr>
              <w:t>交通事故、</w:t>
            </w:r>
            <w:r>
              <w:rPr>
                <w:rFonts w:hint="eastAsia"/>
              </w:rPr>
              <w:t>触电、火灾、中暑等；目前</w:t>
            </w:r>
            <w:r>
              <w:rPr>
                <w:rFonts w:hint="eastAsia"/>
                <w:lang w:val="en-US" w:eastAsia="zh-CN"/>
              </w:rPr>
              <w:t>业务部</w:t>
            </w:r>
            <w:r>
              <w:rPr>
                <w:rFonts w:hint="eastAsia"/>
              </w:rPr>
              <w:t>各环境因素和危险源按照要求进行策划和管理控制</w:t>
            </w:r>
            <w:r>
              <w:rPr>
                <w:rFonts w:hint="eastAsia"/>
                <w:lang w:eastAsia="zh-CN"/>
              </w:rPr>
              <w:t>，</w:t>
            </w:r>
            <w:r>
              <w:rPr>
                <w:rFonts w:hint="eastAsia"/>
                <w:lang w:val="en-US" w:eastAsia="zh-CN"/>
              </w:rPr>
              <w:t>基本如下：</w:t>
            </w:r>
          </w:p>
          <w:p>
            <w:pPr>
              <w:spacing w:line="280" w:lineRule="exact"/>
              <w:ind w:firstLine="420" w:firstLineChars="200"/>
              <w:rPr>
                <w:rFonts w:hint="eastAsia"/>
              </w:rPr>
            </w:pPr>
            <w:r>
              <w:rPr>
                <w:rFonts w:hint="eastAsia"/>
              </w:rPr>
              <w:t>固废管控</w:t>
            </w:r>
            <w:r>
              <w:rPr>
                <w:rFonts w:hint="eastAsia"/>
                <w:lang w:eastAsia="zh-CN"/>
              </w:rPr>
              <w:t>：</w:t>
            </w:r>
            <w:r>
              <w:rPr>
                <w:rFonts w:hint="eastAsia"/>
              </w:rPr>
              <w:t>一般生活</w:t>
            </w:r>
            <w:r>
              <w:rPr>
                <w:rFonts w:hint="eastAsia"/>
                <w:lang w:val="en-US" w:eastAsia="zh-CN"/>
              </w:rPr>
              <w:t>和办公</w:t>
            </w:r>
            <w:r>
              <w:rPr>
                <w:rFonts w:hint="eastAsia"/>
              </w:rPr>
              <w:t>垃圾，由环卫</w:t>
            </w:r>
            <w:r>
              <w:rPr>
                <w:rFonts w:hint="eastAsia"/>
                <w:lang w:val="en-US" w:eastAsia="zh-CN"/>
              </w:rPr>
              <w:t>单位</w:t>
            </w:r>
            <w:r>
              <w:rPr>
                <w:rFonts w:hint="eastAsia"/>
              </w:rPr>
              <w:t>统一清运；办公区复印机废墨盒、废电池等危险固废，各部门统一交给</w:t>
            </w:r>
            <w:r>
              <w:rPr>
                <w:rFonts w:hint="eastAsia"/>
                <w:lang w:val="en-US" w:eastAsia="zh-CN"/>
              </w:rPr>
              <w:t>行政部</w:t>
            </w:r>
            <w:r>
              <w:rPr>
                <w:rFonts w:hint="eastAsia"/>
              </w:rPr>
              <w:t>，</w:t>
            </w:r>
            <w:r>
              <w:rPr>
                <w:rFonts w:hint="eastAsia"/>
                <w:lang w:val="en-US" w:eastAsia="zh-CN"/>
              </w:rPr>
              <w:t>交由供应</w:t>
            </w:r>
            <w:r>
              <w:rPr>
                <w:rFonts w:hint="eastAsia"/>
              </w:rPr>
              <w:t>单位处理</w:t>
            </w:r>
            <w:r>
              <w:rPr>
                <w:rFonts w:hint="eastAsia"/>
                <w:lang w:val="en-US" w:eastAsia="zh-CN"/>
              </w:rPr>
              <w:t>。</w:t>
            </w:r>
          </w:p>
          <w:p>
            <w:pPr>
              <w:spacing w:line="280" w:lineRule="exact"/>
              <w:ind w:firstLine="420" w:firstLineChars="200"/>
              <w:rPr>
                <w:rFonts w:hint="eastAsia"/>
              </w:rPr>
            </w:pPr>
            <w:r>
              <w:rPr>
                <w:rFonts w:hint="eastAsia"/>
              </w:rPr>
              <w:t>废水管控</w:t>
            </w:r>
            <w:r>
              <w:rPr>
                <w:rFonts w:hint="eastAsia"/>
                <w:lang w:eastAsia="zh-CN"/>
              </w:rPr>
              <w:t>：</w:t>
            </w:r>
            <w:r>
              <w:rPr>
                <w:rFonts w:hint="eastAsia"/>
              </w:rPr>
              <w:t>主要生活废水排入政府污水管网统一处理。</w:t>
            </w:r>
          </w:p>
          <w:p>
            <w:pPr>
              <w:spacing w:line="280" w:lineRule="exact"/>
              <w:ind w:firstLine="420" w:firstLineChars="200"/>
              <w:rPr>
                <w:rFonts w:hint="eastAsia"/>
              </w:rPr>
            </w:pPr>
            <w:r>
              <w:rPr>
                <w:rFonts w:hint="eastAsia"/>
              </w:rPr>
              <w:t>废气管控</w:t>
            </w:r>
            <w:r>
              <w:rPr>
                <w:rFonts w:hint="eastAsia"/>
                <w:lang w:eastAsia="zh-CN"/>
              </w:rPr>
              <w:t>：</w:t>
            </w:r>
            <w:r>
              <w:rPr>
                <w:rFonts w:hint="eastAsia"/>
              </w:rPr>
              <w:t>办公现场基本无废气排放。</w:t>
            </w:r>
          </w:p>
          <w:p>
            <w:pPr>
              <w:spacing w:line="280" w:lineRule="exact"/>
              <w:ind w:firstLine="420" w:firstLineChars="200"/>
              <w:rPr>
                <w:rFonts w:hint="default"/>
                <w:color w:val="000000"/>
                <w:szCs w:val="21"/>
                <w:lang w:val="en-US" w:eastAsia="zh-CN"/>
              </w:rPr>
            </w:pPr>
            <w:r>
              <w:rPr>
                <w:rFonts w:hint="eastAsia"/>
                <w:color w:val="000000"/>
                <w:szCs w:val="21"/>
                <w:lang w:val="en-US" w:eastAsia="zh-CN"/>
              </w:rPr>
              <w:t>噪声管控：办公噪声主要是空调运行，噪声较低，采取措施按时清洁保养。</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能源资源管控：持续在公司内部进行节约用水、用电宣传及张贴节约用水、节电标识，下班及时做好关水断电等工作。</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职业健康防护：持续落实劳保用品、过节费等福利措施的实施，按要求缴纳社保等。</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潜在触电管控：严格遵守操作规程，避免触电事故的发生。</w:t>
            </w:r>
          </w:p>
          <w:p>
            <w:pPr>
              <w:spacing w:line="280" w:lineRule="exact"/>
              <w:ind w:firstLine="420" w:firstLineChars="200"/>
              <w:rPr>
                <w:rFonts w:hint="eastAsia"/>
                <w:lang w:eastAsia="zh-CN"/>
              </w:rPr>
            </w:pPr>
            <w:r>
              <w:rPr>
                <w:rFonts w:hint="eastAsia"/>
                <w:color w:val="000000"/>
                <w:szCs w:val="21"/>
                <w:lang w:val="en-US" w:eastAsia="zh-CN"/>
              </w:rPr>
              <w:t>中暑和潜在火灾管控：办公楼配备了消防栓和灭火器，状态有效，按要求进行维护保养；组织员工进行消防和中暑应急预案演练，具体见EO8.2。</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60" w:type="dxa"/>
          </w:tcPr>
          <w:p>
            <w:pPr>
              <w:rPr>
                <w:rFonts w:hint="eastAsia" w:ascii="华文细黑" w:hAnsi="华文细黑" w:eastAsia="华文细黑" w:cs="华文细黑"/>
                <w:szCs w:val="21"/>
              </w:rPr>
            </w:pPr>
            <w:r>
              <w:rPr>
                <w:rFonts w:hint="eastAsia" w:ascii="华文细黑" w:hAnsi="华文细黑" w:eastAsia="华文细黑" w:cs="华文细黑"/>
                <w:szCs w:val="21"/>
              </w:rPr>
              <w:t>应急准备和响应</w:t>
            </w:r>
          </w:p>
        </w:tc>
        <w:tc>
          <w:tcPr>
            <w:tcW w:w="960" w:type="dxa"/>
          </w:tcPr>
          <w:p>
            <w:pPr>
              <w:rPr>
                <w:rFonts w:hint="eastAsia" w:ascii="华文细黑" w:hAnsi="华文细黑" w:eastAsia="华文细黑" w:cs="华文细黑"/>
                <w:szCs w:val="21"/>
              </w:rPr>
            </w:pPr>
            <w:r>
              <w:rPr>
                <w:rFonts w:hint="eastAsia" w:ascii="华文细黑" w:hAnsi="华文细黑" w:eastAsia="华文细黑" w:cs="华文细黑"/>
                <w:szCs w:val="21"/>
              </w:rPr>
              <w:t xml:space="preserve">EO8.2 </w:t>
            </w:r>
          </w:p>
        </w:tc>
        <w:tc>
          <w:tcPr>
            <w:tcW w:w="10004" w:type="dxa"/>
            <w:vAlign w:val="center"/>
          </w:tcPr>
          <w:p>
            <w:pPr>
              <w:pStyle w:val="14"/>
              <w:spacing w:line="280" w:lineRule="exact"/>
              <w:ind w:firstLineChars="0"/>
              <w:rPr>
                <w:rFonts w:hint="default" w:eastAsia="华文细黑"/>
                <w:sz w:val="21"/>
                <w:szCs w:val="21"/>
                <w:highlight w:val="none"/>
                <w:lang w:val="en-US" w:eastAsia="zh-CN"/>
              </w:rPr>
            </w:pPr>
            <w:r>
              <w:rPr>
                <w:rFonts w:hint="eastAsia"/>
                <w:sz w:val="21"/>
                <w:szCs w:val="21"/>
                <w:highlight w:val="none"/>
                <w:lang w:val="en-US" w:eastAsia="zh-CN"/>
              </w:rPr>
              <w:t>组织</w:t>
            </w:r>
            <w:r>
              <w:rPr>
                <w:rFonts w:hint="eastAsia"/>
                <w:sz w:val="21"/>
                <w:szCs w:val="21"/>
                <w:highlight w:val="none"/>
              </w:rPr>
              <w:t>编制了《应急准备和响应</w:t>
            </w:r>
            <w:r>
              <w:rPr>
                <w:rFonts w:hint="eastAsia"/>
                <w:sz w:val="21"/>
                <w:szCs w:val="21"/>
                <w:highlight w:val="none"/>
                <w:lang w:val="en-US" w:eastAsia="zh-CN"/>
              </w:rPr>
              <w:t>控制</w:t>
            </w:r>
            <w:r>
              <w:rPr>
                <w:rFonts w:hint="eastAsia"/>
                <w:sz w:val="21"/>
                <w:szCs w:val="21"/>
                <w:highlight w:val="none"/>
              </w:rPr>
              <w:t>程序》，</w:t>
            </w:r>
            <w:r>
              <w:rPr>
                <w:rFonts w:hint="eastAsia"/>
                <w:sz w:val="21"/>
                <w:szCs w:val="21"/>
                <w:highlight w:val="none"/>
                <w:lang w:val="en-US" w:eastAsia="zh-CN"/>
              </w:rPr>
              <w:t>对火灾、中暑等紧急情况的应急准备和响应作了规定。</w:t>
            </w:r>
          </w:p>
          <w:p>
            <w:pPr>
              <w:pStyle w:val="14"/>
              <w:spacing w:line="280" w:lineRule="exact"/>
              <w:ind w:firstLineChars="0"/>
              <w:rPr>
                <w:rFonts w:hint="default" w:eastAsia="华文细黑"/>
                <w:sz w:val="21"/>
                <w:szCs w:val="21"/>
                <w:highlight w:val="none"/>
                <w:lang w:val="en-US" w:eastAsia="zh-CN"/>
              </w:rPr>
            </w:pPr>
            <w:r>
              <w:rPr>
                <w:rFonts w:hint="eastAsia"/>
                <w:sz w:val="21"/>
                <w:szCs w:val="21"/>
                <w:highlight w:val="none"/>
                <w:lang w:val="en-US" w:eastAsia="zh-CN"/>
              </w:rPr>
              <w:t>制定了火灾和中暑应急预案，制定了火灾</w:t>
            </w:r>
            <w:r>
              <w:rPr>
                <w:rFonts w:hint="eastAsia"/>
                <w:sz w:val="21"/>
                <w:szCs w:val="21"/>
                <w:highlight w:val="none"/>
              </w:rPr>
              <w:t>紧急应变处理流程图</w:t>
            </w:r>
            <w:r>
              <w:rPr>
                <w:rFonts w:hint="eastAsia"/>
                <w:sz w:val="21"/>
                <w:szCs w:val="21"/>
                <w:highlight w:val="none"/>
                <w:lang w:eastAsia="zh-CN"/>
              </w:rPr>
              <w:t>，</w:t>
            </w:r>
            <w:r>
              <w:rPr>
                <w:rFonts w:hint="eastAsia"/>
                <w:sz w:val="21"/>
                <w:szCs w:val="21"/>
                <w:highlight w:val="none"/>
              </w:rPr>
              <w:t>策划成立了义务消防队，包括查晓荣 、王奇振</w:t>
            </w:r>
            <w:r>
              <w:rPr>
                <w:rFonts w:hint="eastAsia"/>
                <w:sz w:val="21"/>
                <w:szCs w:val="21"/>
                <w:highlight w:val="none"/>
                <w:lang w:eastAsia="zh-CN"/>
              </w:rPr>
              <w:t>、</w:t>
            </w:r>
            <w:r>
              <w:rPr>
                <w:rFonts w:hint="eastAsia"/>
                <w:sz w:val="21"/>
                <w:szCs w:val="21"/>
                <w:highlight w:val="none"/>
              </w:rPr>
              <w:t>宋伟娟</w:t>
            </w:r>
            <w:r>
              <w:rPr>
                <w:rFonts w:hint="eastAsia"/>
                <w:sz w:val="21"/>
                <w:szCs w:val="21"/>
                <w:highlight w:val="none"/>
                <w:lang w:eastAsia="zh-CN"/>
              </w:rPr>
              <w:t>、</w:t>
            </w:r>
            <w:r>
              <w:rPr>
                <w:rFonts w:hint="eastAsia"/>
                <w:sz w:val="21"/>
                <w:szCs w:val="21"/>
                <w:highlight w:val="none"/>
              </w:rPr>
              <w:t>徐建华</w:t>
            </w:r>
            <w:r>
              <w:rPr>
                <w:rFonts w:hint="eastAsia"/>
                <w:sz w:val="21"/>
                <w:szCs w:val="21"/>
                <w:highlight w:val="none"/>
                <w:lang w:eastAsia="zh-CN"/>
              </w:rPr>
              <w:t>、</w:t>
            </w:r>
            <w:r>
              <w:rPr>
                <w:rFonts w:hint="eastAsia"/>
                <w:sz w:val="21"/>
                <w:szCs w:val="21"/>
                <w:highlight w:val="none"/>
              </w:rPr>
              <w:t>方勤荣、张维东、黄俊、刘超、杨娟、于春贺、王静、周建勤</w:t>
            </w:r>
            <w:r>
              <w:rPr>
                <w:rFonts w:hint="eastAsia"/>
                <w:sz w:val="21"/>
                <w:szCs w:val="21"/>
                <w:highlight w:val="none"/>
                <w:lang w:val="en-US" w:eastAsia="zh-CN"/>
              </w:rPr>
              <w:t>等</w:t>
            </w:r>
            <w:r>
              <w:rPr>
                <w:rFonts w:hint="eastAsia"/>
                <w:sz w:val="21"/>
                <w:szCs w:val="21"/>
                <w:highlight w:val="none"/>
              </w:rPr>
              <w:t>。</w:t>
            </w:r>
            <w:r>
              <w:rPr>
                <w:rFonts w:hint="eastAsia"/>
                <w:sz w:val="21"/>
                <w:szCs w:val="21"/>
                <w:highlight w:val="none"/>
                <w:lang w:val="en-US" w:eastAsia="zh-CN"/>
              </w:rPr>
              <w:t>基本满足要求。</w:t>
            </w:r>
          </w:p>
          <w:p>
            <w:pPr>
              <w:pStyle w:val="14"/>
              <w:spacing w:line="280" w:lineRule="exact"/>
              <w:ind w:firstLineChars="0"/>
              <w:rPr>
                <w:b/>
                <w:szCs w:val="21"/>
              </w:rPr>
            </w:pPr>
            <w:r>
              <w:rPr>
                <w:rFonts w:hint="eastAsia"/>
                <w:sz w:val="21"/>
                <w:szCs w:val="21"/>
                <w:highlight w:val="none"/>
              </w:rPr>
              <w:t>提供了202</w:t>
            </w: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1.25</w:t>
            </w:r>
            <w:r>
              <w:rPr>
                <w:rFonts w:hint="eastAsia"/>
                <w:sz w:val="21"/>
                <w:szCs w:val="21"/>
                <w:highlight w:val="none"/>
              </w:rPr>
              <w:t>消防灭火演练</w:t>
            </w:r>
            <w:r>
              <w:rPr>
                <w:rFonts w:hint="eastAsia"/>
                <w:sz w:val="21"/>
                <w:szCs w:val="21"/>
                <w:highlight w:val="none"/>
                <w:lang w:val="en-US" w:eastAsia="zh-CN"/>
              </w:rPr>
              <w:t>和2022.1.20中暑应急救援演练记录</w:t>
            </w:r>
            <w:r>
              <w:rPr>
                <w:rFonts w:hint="eastAsia"/>
                <w:sz w:val="21"/>
                <w:szCs w:val="21"/>
                <w:highlight w:val="none"/>
                <w:lang w:eastAsia="zh-CN"/>
              </w:rPr>
              <w:t>：</w:t>
            </w:r>
            <w:r>
              <w:rPr>
                <w:rFonts w:hint="eastAsia"/>
                <w:sz w:val="21"/>
                <w:szCs w:val="21"/>
                <w:highlight w:val="none"/>
              </w:rPr>
              <w:t>参加人员包括总经理/总指挥</w:t>
            </w:r>
            <w:r>
              <w:rPr>
                <w:rFonts w:hint="eastAsia"/>
                <w:sz w:val="21"/>
                <w:szCs w:val="21"/>
                <w:highlight w:val="none"/>
                <w:lang w:eastAsia="zh-CN"/>
              </w:rPr>
              <w:t>宋兵莉</w:t>
            </w:r>
            <w:r>
              <w:rPr>
                <w:rFonts w:hint="eastAsia"/>
                <w:sz w:val="21"/>
                <w:szCs w:val="21"/>
                <w:highlight w:val="none"/>
              </w:rPr>
              <w:t>，策划</w:t>
            </w:r>
            <w:r>
              <w:rPr>
                <w:rFonts w:hint="eastAsia"/>
                <w:sz w:val="21"/>
                <w:szCs w:val="21"/>
                <w:highlight w:val="none"/>
                <w:lang w:eastAsia="zh-CN"/>
              </w:rPr>
              <w:t>宋伟娟</w:t>
            </w:r>
            <w:r>
              <w:rPr>
                <w:rFonts w:hint="eastAsia"/>
                <w:sz w:val="21"/>
                <w:szCs w:val="21"/>
                <w:highlight w:val="none"/>
              </w:rPr>
              <w:t>，员工黄俊、刘超、杨娟、于春贺、王静、周建勤等，记录了演练过程，存在的问题主要为动作不熟练，有慌乱现象等</w:t>
            </w:r>
            <w:r>
              <w:rPr>
                <w:rFonts w:hint="eastAsia"/>
                <w:sz w:val="21"/>
                <w:szCs w:val="21"/>
                <w:highlight w:val="none"/>
                <w:lang w:eastAsia="zh-CN"/>
              </w:rPr>
              <w:t>；</w:t>
            </w:r>
            <w:r>
              <w:rPr>
                <w:rFonts w:hint="eastAsia"/>
                <w:sz w:val="21"/>
                <w:szCs w:val="21"/>
                <w:highlight w:val="none"/>
              </w:rPr>
              <w:t>今后</w:t>
            </w:r>
            <w:bookmarkStart w:id="0" w:name="_GoBack"/>
            <w:bookmarkEnd w:id="0"/>
            <w:r>
              <w:rPr>
                <w:rFonts w:hint="eastAsia"/>
                <w:sz w:val="21"/>
                <w:szCs w:val="21"/>
                <w:highlight w:val="none"/>
              </w:rPr>
              <w:t>注重突发事件应急培训技能等。并进行了总结评估</w:t>
            </w:r>
            <w:r>
              <w:rPr>
                <w:rFonts w:hint="eastAsia"/>
                <w:sz w:val="21"/>
                <w:szCs w:val="21"/>
                <w:highlight w:val="none"/>
                <w:lang w:eastAsia="zh-CN"/>
              </w:rPr>
              <w:t>：基本达到演练目的</w:t>
            </w:r>
            <w:r>
              <w:rPr>
                <w:rFonts w:hint="eastAsia"/>
                <w:sz w:val="21"/>
                <w:szCs w:val="21"/>
                <w:highlight w:val="none"/>
              </w:rPr>
              <w:t>。查应急预案评估报告，通过以上评估，</w:t>
            </w:r>
            <w:r>
              <w:rPr>
                <w:rFonts w:hint="eastAsia"/>
                <w:sz w:val="21"/>
                <w:szCs w:val="21"/>
                <w:highlight w:val="none"/>
                <w:lang w:val="en-US" w:eastAsia="zh-CN"/>
              </w:rPr>
              <w:t>组织</w:t>
            </w:r>
            <w:r>
              <w:rPr>
                <w:rFonts w:hint="eastAsia"/>
                <w:sz w:val="21"/>
                <w:szCs w:val="21"/>
                <w:highlight w:val="none"/>
              </w:rPr>
              <w:t>应急预案的制定基本合理。</w:t>
            </w:r>
          </w:p>
        </w:tc>
        <w:tc>
          <w:tcPr>
            <w:tcW w:w="1585" w:type="dxa"/>
          </w:tcPr>
          <w:p>
            <w:pPr>
              <w:rPr>
                <w:rFonts w:hint="eastAsia" w:eastAsia="宋体"/>
                <w:lang w:val="en-US" w:eastAsia="zh-CN"/>
              </w:rPr>
            </w:pPr>
            <w:r>
              <w:rPr>
                <w:rFonts w:hint="eastAsia"/>
                <w:lang w:val="en-US" w:eastAsia="zh-CN"/>
              </w:rPr>
              <w:t>Y</w:t>
            </w: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F22611"/>
    <w:rsid w:val="00007B5B"/>
    <w:rsid w:val="00042B14"/>
    <w:rsid w:val="000551A6"/>
    <w:rsid w:val="00071EED"/>
    <w:rsid w:val="000A00A0"/>
    <w:rsid w:val="000A1A77"/>
    <w:rsid w:val="000F2CEF"/>
    <w:rsid w:val="000F3EC2"/>
    <w:rsid w:val="00103931"/>
    <w:rsid w:val="001175DE"/>
    <w:rsid w:val="00124549"/>
    <w:rsid w:val="00160455"/>
    <w:rsid w:val="00162691"/>
    <w:rsid w:val="00164C7B"/>
    <w:rsid w:val="00193FA3"/>
    <w:rsid w:val="001B2171"/>
    <w:rsid w:val="001B32DE"/>
    <w:rsid w:val="001C29E1"/>
    <w:rsid w:val="001D5047"/>
    <w:rsid w:val="001F157B"/>
    <w:rsid w:val="002117B5"/>
    <w:rsid w:val="002462D0"/>
    <w:rsid w:val="00263638"/>
    <w:rsid w:val="00274C74"/>
    <w:rsid w:val="00295CDC"/>
    <w:rsid w:val="002D6A23"/>
    <w:rsid w:val="002F484C"/>
    <w:rsid w:val="00315297"/>
    <w:rsid w:val="00321960"/>
    <w:rsid w:val="00344AA3"/>
    <w:rsid w:val="00347B79"/>
    <w:rsid w:val="00355ECC"/>
    <w:rsid w:val="0036229B"/>
    <w:rsid w:val="00362684"/>
    <w:rsid w:val="003643A2"/>
    <w:rsid w:val="003668B9"/>
    <w:rsid w:val="003A4BDD"/>
    <w:rsid w:val="003A7E6F"/>
    <w:rsid w:val="003D7B7D"/>
    <w:rsid w:val="003F33A8"/>
    <w:rsid w:val="003F66F4"/>
    <w:rsid w:val="00401666"/>
    <w:rsid w:val="00420E81"/>
    <w:rsid w:val="0049604C"/>
    <w:rsid w:val="004B7DFA"/>
    <w:rsid w:val="004D0690"/>
    <w:rsid w:val="004D16C6"/>
    <w:rsid w:val="00507E92"/>
    <w:rsid w:val="005245FE"/>
    <w:rsid w:val="00525128"/>
    <w:rsid w:val="00562D1A"/>
    <w:rsid w:val="00565D0D"/>
    <w:rsid w:val="00582284"/>
    <w:rsid w:val="005B20B0"/>
    <w:rsid w:val="005D7D32"/>
    <w:rsid w:val="005E6EEF"/>
    <w:rsid w:val="00604358"/>
    <w:rsid w:val="00605D58"/>
    <w:rsid w:val="00622B0F"/>
    <w:rsid w:val="006376B1"/>
    <w:rsid w:val="00643ACE"/>
    <w:rsid w:val="00655A1D"/>
    <w:rsid w:val="006704CA"/>
    <w:rsid w:val="0069320B"/>
    <w:rsid w:val="006A1F08"/>
    <w:rsid w:val="006B7275"/>
    <w:rsid w:val="006B7D4E"/>
    <w:rsid w:val="006D2CF4"/>
    <w:rsid w:val="006E0BFE"/>
    <w:rsid w:val="0070730F"/>
    <w:rsid w:val="00713A12"/>
    <w:rsid w:val="00756675"/>
    <w:rsid w:val="0078254F"/>
    <w:rsid w:val="007A72C4"/>
    <w:rsid w:val="007C681F"/>
    <w:rsid w:val="007E4C0C"/>
    <w:rsid w:val="007F2F6A"/>
    <w:rsid w:val="00804D2F"/>
    <w:rsid w:val="00806FFA"/>
    <w:rsid w:val="00852FAD"/>
    <w:rsid w:val="00870586"/>
    <w:rsid w:val="00876FE4"/>
    <w:rsid w:val="00881F1B"/>
    <w:rsid w:val="0088506E"/>
    <w:rsid w:val="00891AB9"/>
    <w:rsid w:val="008A5B9A"/>
    <w:rsid w:val="008A6625"/>
    <w:rsid w:val="008D2A19"/>
    <w:rsid w:val="008D3EE7"/>
    <w:rsid w:val="008D4D55"/>
    <w:rsid w:val="008E2FA4"/>
    <w:rsid w:val="008E4E47"/>
    <w:rsid w:val="008E5568"/>
    <w:rsid w:val="009014A2"/>
    <w:rsid w:val="00905C44"/>
    <w:rsid w:val="00910810"/>
    <w:rsid w:val="00925A92"/>
    <w:rsid w:val="00934D17"/>
    <w:rsid w:val="00941328"/>
    <w:rsid w:val="009730DA"/>
    <w:rsid w:val="009733A4"/>
    <w:rsid w:val="00987D09"/>
    <w:rsid w:val="009D5C38"/>
    <w:rsid w:val="009F4EDA"/>
    <w:rsid w:val="00A21B18"/>
    <w:rsid w:val="00A25FC4"/>
    <w:rsid w:val="00A55818"/>
    <w:rsid w:val="00A558EF"/>
    <w:rsid w:val="00A615E8"/>
    <w:rsid w:val="00A92D54"/>
    <w:rsid w:val="00AB3D9C"/>
    <w:rsid w:val="00AB58E8"/>
    <w:rsid w:val="00AF5445"/>
    <w:rsid w:val="00AF7A8A"/>
    <w:rsid w:val="00B410E1"/>
    <w:rsid w:val="00B72427"/>
    <w:rsid w:val="00B73833"/>
    <w:rsid w:val="00B957C8"/>
    <w:rsid w:val="00B97A59"/>
    <w:rsid w:val="00BA1828"/>
    <w:rsid w:val="00BA1C97"/>
    <w:rsid w:val="00BB160D"/>
    <w:rsid w:val="00BC4416"/>
    <w:rsid w:val="00BC5955"/>
    <w:rsid w:val="00BE7E28"/>
    <w:rsid w:val="00C22840"/>
    <w:rsid w:val="00C26588"/>
    <w:rsid w:val="00C30C45"/>
    <w:rsid w:val="00C32929"/>
    <w:rsid w:val="00C44524"/>
    <w:rsid w:val="00C717A2"/>
    <w:rsid w:val="00CA34D6"/>
    <w:rsid w:val="00D37EF8"/>
    <w:rsid w:val="00D56E42"/>
    <w:rsid w:val="00D75A68"/>
    <w:rsid w:val="00D81227"/>
    <w:rsid w:val="00D84768"/>
    <w:rsid w:val="00D877C2"/>
    <w:rsid w:val="00D9287A"/>
    <w:rsid w:val="00D97452"/>
    <w:rsid w:val="00DA65B7"/>
    <w:rsid w:val="00DC25D1"/>
    <w:rsid w:val="00DC62D1"/>
    <w:rsid w:val="00DD1FE4"/>
    <w:rsid w:val="00DD3CA9"/>
    <w:rsid w:val="00DD6851"/>
    <w:rsid w:val="00DE4D90"/>
    <w:rsid w:val="00DF12DC"/>
    <w:rsid w:val="00E0471E"/>
    <w:rsid w:val="00E72227"/>
    <w:rsid w:val="00E77854"/>
    <w:rsid w:val="00E947EE"/>
    <w:rsid w:val="00E9662D"/>
    <w:rsid w:val="00EA6446"/>
    <w:rsid w:val="00EC20CB"/>
    <w:rsid w:val="00ED01B8"/>
    <w:rsid w:val="00ED2888"/>
    <w:rsid w:val="00EE0D35"/>
    <w:rsid w:val="00EE7428"/>
    <w:rsid w:val="00EF5B9C"/>
    <w:rsid w:val="00F17E61"/>
    <w:rsid w:val="00F22611"/>
    <w:rsid w:val="00F47546"/>
    <w:rsid w:val="00F5368E"/>
    <w:rsid w:val="00F74F40"/>
    <w:rsid w:val="00F90642"/>
    <w:rsid w:val="00FC294A"/>
    <w:rsid w:val="03474323"/>
    <w:rsid w:val="07096467"/>
    <w:rsid w:val="07944A78"/>
    <w:rsid w:val="07A1571D"/>
    <w:rsid w:val="0AB3379D"/>
    <w:rsid w:val="0B343CF4"/>
    <w:rsid w:val="0D69422C"/>
    <w:rsid w:val="0DFA0F36"/>
    <w:rsid w:val="0F643E6A"/>
    <w:rsid w:val="15040A7A"/>
    <w:rsid w:val="15F555B1"/>
    <w:rsid w:val="16D52565"/>
    <w:rsid w:val="195F6664"/>
    <w:rsid w:val="1C40546F"/>
    <w:rsid w:val="1CD326F1"/>
    <w:rsid w:val="1F722763"/>
    <w:rsid w:val="1FDC564F"/>
    <w:rsid w:val="217725F9"/>
    <w:rsid w:val="220474F2"/>
    <w:rsid w:val="221B49EF"/>
    <w:rsid w:val="2555686D"/>
    <w:rsid w:val="26083FB3"/>
    <w:rsid w:val="26305D9F"/>
    <w:rsid w:val="279D33B3"/>
    <w:rsid w:val="290760A2"/>
    <w:rsid w:val="2AD72077"/>
    <w:rsid w:val="2C134616"/>
    <w:rsid w:val="2C1356BB"/>
    <w:rsid w:val="2DBD030B"/>
    <w:rsid w:val="2EF95138"/>
    <w:rsid w:val="3078451F"/>
    <w:rsid w:val="318E5CBC"/>
    <w:rsid w:val="34B245A4"/>
    <w:rsid w:val="353A005A"/>
    <w:rsid w:val="35B00755"/>
    <w:rsid w:val="39C20A18"/>
    <w:rsid w:val="3B015E95"/>
    <w:rsid w:val="3B0E5C90"/>
    <w:rsid w:val="3B572D45"/>
    <w:rsid w:val="3C067321"/>
    <w:rsid w:val="3C772C94"/>
    <w:rsid w:val="400F1DB6"/>
    <w:rsid w:val="40665046"/>
    <w:rsid w:val="41812964"/>
    <w:rsid w:val="42255769"/>
    <w:rsid w:val="428E0270"/>
    <w:rsid w:val="442C3A12"/>
    <w:rsid w:val="4557299B"/>
    <w:rsid w:val="45D773CD"/>
    <w:rsid w:val="470571F6"/>
    <w:rsid w:val="49867CF3"/>
    <w:rsid w:val="4AA92BAD"/>
    <w:rsid w:val="4DE84AD8"/>
    <w:rsid w:val="528C5299"/>
    <w:rsid w:val="53AB3CDE"/>
    <w:rsid w:val="53CE29C2"/>
    <w:rsid w:val="53F53739"/>
    <w:rsid w:val="547215A0"/>
    <w:rsid w:val="551928B5"/>
    <w:rsid w:val="56186177"/>
    <w:rsid w:val="59B220A5"/>
    <w:rsid w:val="5B155C32"/>
    <w:rsid w:val="5BD007B0"/>
    <w:rsid w:val="5C1C655D"/>
    <w:rsid w:val="5CF04A8E"/>
    <w:rsid w:val="5CFA77B0"/>
    <w:rsid w:val="5D015BB7"/>
    <w:rsid w:val="5D4F5453"/>
    <w:rsid w:val="5E0301D2"/>
    <w:rsid w:val="60D96503"/>
    <w:rsid w:val="619332C0"/>
    <w:rsid w:val="62157B4E"/>
    <w:rsid w:val="653F683F"/>
    <w:rsid w:val="65FC33BF"/>
    <w:rsid w:val="668A09CB"/>
    <w:rsid w:val="66BE494B"/>
    <w:rsid w:val="6C6F151C"/>
    <w:rsid w:val="6DDB5FB0"/>
    <w:rsid w:val="6E906D9A"/>
    <w:rsid w:val="6EDA613E"/>
    <w:rsid w:val="72E9465C"/>
    <w:rsid w:val="73612AB3"/>
    <w:rsid w:val="752E599C"/>
    <w:rsid w:val="7DA0067C"/>
    <w:rsid w:val="7DD722F0"/>
    <w:rsid w:val="7FFE66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left="360"/>
    </w:pPr>
    <w:rPr>
      <w:sz w:val="2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4">
    <w:name w:val="_Style 2"/>
    <w:basedOn w:val="1"/>
    <w:qFormat/>
    <w:uiPriority w:val="34"/>
    <w:pPr>
      <w:ind w:firstLine="420" w:firstLineChars="200"/>
    </w:pPr>
    <w:rPr>
      <w:rFonts w:ascii="Calibri" w:hAnsi="Calibri"/>
      <w:sz w:val="24"/>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373</Words>
  <Characters>2127</Characters>
  <Lines>17</Lines>
  <Paragraphs>4</Paragraphs>
  <TotalTime>1</TotalTime>
  <ScaleCrop>false</ScaleCrop>
  <LinksUpToDate>false</LinksUpToDate>
  <CharactersWithSpaces>2496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wangxianhua</cp:lastModifiedBy>
  <dcterms:modified xsi:type="dcterms:W3CDTF">2022-06-16T12:57:14Z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E89E1D73029345E6AB1C3217AA32A98D</vt:lpwstr>
  </property>
</Properties>
</file>