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hint="eastAsia" w:ascii="仿宋" w:hAnsi="仿宋" w:eastAsia="仿宋" w:cs="仿宋"/>
                <w:sz w:val="21"/>
                <w:szCs w:val="21"/>
              </w:rPr>
            </w:pPr>
            <w:r>
              <w:rPr>
                <w:rFonts w:hint="eastAsia" w:ascii="仿宋" w:hAnsi="仿宋" w:eastAsia="仿宋" w:cs="仿宋"/>
                <w:sz w:val="21"/>
                <w:szCs w:val="21"/>
              </w:rPr>
              <w:t>过程与活动、</w:t>
            </w:r>
          </w:p>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抽样计划</w:t>
            </w:r>
          </w:p>
        </w:tc>
        <w:tc>
          <w:tcPr>
            <w:tcW w:w="1276" w:type="dxa"/>
            <w:vMerge w:val="restart"/>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涉及条款</w:t>
            </w:r>
          </w:p>
        </w:tc>
        <w:tc>
          <w:tcPr>
            <w:tcW w:w="10606" w:type="dxa"/>
            <w:vAlign w:val="center"/>
          </w:tcPr>
          <w:p>
            <w:pPr>
              <w:spacing w:line="360" w:lineRule="auto"/>
              <w:rPr>
                <w:rFonts w:hint="eastAsia" w:ascii="仿宋" w:hAnsi="仿宋" w:eastAsia="仿宋" w:cs="仿宋"/>
                <w:sz w:val="21"/>
                <w:szCs w:val="21"/>
                <w:lang w:eastAsia="zh-CN"/>
              </w:rPr>
            </w:pPr>
            <w:r>
              <w:rPr>
                <w:rFonts w:hint="eastAsia" w:ascii="仿宋" w:hAnsi="仿宋" w:eastAsia="仿宋" w:cs="仿宋"/>
                <w:sz w:val="21"/>
                <w:szCs w:val="21"/>
              </w:rPr>
              <w:t xml:space="preserve">受审核部门：行政人事部     主管领导： </w:t>
            </w:r>
            <w:r>
              <w:rPr>
                <w:rFonts w:hint="eastAsia" w:ascii="仿宋" w:hAnsi="仿宋" w:eastAsia="仿宋" w:cs="仿宋"/>
                <w:sz w:val="21"/>
                <w:szCs w:val="21"/>
                <w:lang w:eastAsia="zh-CN"/>
              </w:rPr>
              <w:t>王建</w:t>
            </w:r>
            <w:r>
              <w:rPr>
                <w:rFonts w:hint="eastAsia" w:ascii="仿宋" w:hAnsi="仿宋" w:eastAsia="仿宋" w:cs="仿宋"/>
                <w:sz w:val="21"/>
                <w:szCs w:val="21"/>
              </w:rPr>
              <w:t xml:space="preserve">  陪同人员：</w:t>
            </w:r>
            <w:r>
              <w:rPr>
                <w:rFonts w:hint="eastAsia" w:ascii="仿宋" w:hAnsi="仿宋" w:eastAsia="仿宋" w:cs="仿宋"/>
                <w:sz w:val="21"/>
                <w:szCs w:val="21"/>
                <w:lang w:eastAsia="zh-CN"/>
              </w:rPr>
              <w:t>钟世斌</w:t>
            </w:r>
          </w:p>
        </w:tc>
        <w:tc>
          <w:tcPr>
            <w:tcW w:w="1585" w:type="dxa"/>
            <w:vMerge w:val="restart"/>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hint="eastAsia" w:ascii="仿宋" w:hAnsi="仿宋" w:eastAsia="仿宋" w:cs="仿宋"/>
                <w:sz w:val="21"/>
                <w:szCs w:val="21"/>
              </w:rPr>
            </w:pPr>
          </w:p>
        </w:tc>
        <w:tc>
          <w:tcPr>
            <w:tcW w:w="1276" w:type="dxa"/>
            <w:vMerge w:val="continue"/>
            <w:vAlign w:val="center"/>
          </w:tcPr>
          <w:p>
            <w:pPr>
              <w:spacing w:line="360" w:lineRule="auto"/>
              <w:rPr>
                <w:rFonts w:hint="eastAsia" w:ascii="仿宋" w:hAnsi="仿宋" w:eastAsia="仿宋" w:cs="仿宋"/>
                <w:sz w:val="21"/>
                <w:szCs w:val="21"/>
              </w:rPr>
            </w:pPr>
          </w:p>
        </w:tc>
        <w:tc>
          <w:tcPr>
            <w:tcW w:w="10606" w:type="dxa"/>
            <w:vAlign w:val="center"/>
          </w:tcPr>
          <w:p>
            <w:pPr>
              <w:spacing w:before="120" w:line="360" w:lineRule="auto"/>
              <w:rPr>
                <w:rFonts w:hint="default" w:ascii="仿宋" w:hAnsi="仿宋" w:eastAsia="仿宋" w:cs="仿宋"/>
                <w:sz w:val="21"/>
                <w:szCs w:val="21"/>
                <w:lang w:val="en-US" w:eastAsia="zh-CN"/>
              </w:rPr>
            </w:pPr>
            <w:r>
              <w:rPr>
                <w:rFonts w:hint="eastAsia" w:ascii="仿宋" w:hAnsi="仿宋" w:eastAsia="仿宋" w:cs="仿宋"/>
                <w:sz w:val="21"/>
                <w:szCs w:val="21"/>
              </w:rPr>
              <w:t>审核员：</w:t>
            </w:r>
            <w:r>
              <w:rPr>
                <w:rFonts w:hint="eastAsia" w:ascii="仿宋" w:hAnsi="仿宋" w:eastAsia="仿宋" w:cs="仿宋"/>
                <w:sz w:val="21"/>
                <w:szCs w:val="21"/>
                <w:lang w:eastAsia="zh-CN"/>
              </w:rPr>
              <w:t>强兴</w:t>
            </w:r>
            <w:r>
              <w:rPr>
                <w:rFonts w:hint="eastAsia" w:ascii="仿宋" w:hAnsi="仿宋" w:eastAsia="仿宋" w:cs="仿宋"/>
                <w:sz w:val="21"/>
                <w:szCs w:val="21"/>
              </w:rPr>
              <w:t xml:space="preserve">       审核时间：202</w:t>
            </w:r>
            <w:r>
              <w:rPr>
                <w:rFonts w:hint="eastAsia" w:ascii="仿宋" w:hAnsi="仿宋" w:eastAsia="仿宋" w:cs="仿宋"/>
                <w:sz w:val="21"/>
                <w:szCs w:val="21"/>
                <w:lang w:val="en-US" w:eastAsia="zh-CN"/>
              </w:rPr>
              <w:t>2.8.5</w:t>
            </w:r>
          </w:p>
        </w:tc>
        <w:tc>
          <w:tcPr>
            <w:tcW w:w="1585" w:type="dxa"/>
            <w:vMerge w:val="continue"/>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hint="eastAsia" w:ascii="仿宋" w:hAnsi="仿宋" w:eastAsia="仿宋" w:cs="仿宋"/>
                <w:sz w:val="21"/>
                <w:szCs w:val="21"/>
              </w:rPr>
            </w:pPr>
          </w:p>
        </w:tc>
        <w:tc>
          <w:tcPr>
            <w:tcW w:w="1276" w:type="dxa"/>
            <w:vMerge w:val="continue"/>
            <w:vAlign w:val="center"/>
          </w:tcPr>
          <w:p>
            <w:pPr>
              <w:spacing w:line="360" w:lineRule="auto"/>
              <w:rPr>
                <w:rFonts w:hint="eastAsia" w:ascii="仿宋" w:hAnsi="仿宋" w:eastAsia="仿宋" w:cs="仿宋"/>
                <w:sz w:val="21"/>
                <w:szCs w:val="21"/>
              </w:rPr>
            </w:pPr>
          </w:p>
        </w:tc>
        <w:tc>
          <w:tcPr>
            <w:tcW w:w="10606" w:type="dxa"/>
            <w:vAlign w:val="center"/>
          </w:tcPr>
          <w:p>
            <w:pPr>
              <w:adjustRightInd w:val="0"/>
              <w:snapToGrid w:val="0"/>
              <w:spacing w:line="320" w:lineRule="exact"/>
              <w:ind w:right="105" w:rightChars="50"/>
              <w:textAlignment w:val="baseline"/>
              <w:rPr>
                <w:rFonts w:hint="eastAsia" w:ascii="仿宋" w:hAnsi="仿宋" w:eastAsia="仿宋" w:cs="仿宋"/>
                <w:sz w:val="21"/>
                <w:szCs w:val="21"/>
              </w:rPr>
            </w:pPr>
            <w:r>
              <w:rPr>
                <w:rFonts w:hint="eastAsia" w:ascii="仿宋" w:hAnsi="仿宋" w:eastAsia="仿宋" w:cs="仿宋"/>
                <w:sz w:val="21"/>
                <w:szCs w:val="21"/>
              </w:rPr>
              <w:t xml:space="preserve">审核条款：QMS: 5.3组织的岗位、职责和权限、6.2质量目标、9.1.1监视、测量、分析和评价总则、9.1.3分析与评价、 </w:t>
            </w:r>
          </w:p>
          <w:p>
            <w:pPr>
              <w:rPr>
                <w:rFonts w:hint="eastAsia" w:ascii="仿宋" w:hAnsi="仿宋" w:eastAsia="仿宋" w:cs="仿宋"/>
                <w:sz w:val="21"/>
                <w:szCs w:val="21"/>
              </w:rPr>
            </w:pPr>
            <w:r>
              <w:rPr>
                <w:rFonts w:hint="eastAsia" w:ascii="仿宋" w:hAnsi="仿宋" w:eastAsia="仿宋" w:cs="仿宋"/>
                <w:sz w:val="21"/>
                <w:szCs w:val="21"/>
              </w:rPr>
              <w:t>EMS: 5.3组织的岗位、职责和权限、6.2.1环境/职业健康安全目标、6.2.2实现环境目标措施的策划、6.1.2环境因素的辨识与评价、9.1.1监视、测量、分析和评价总则、8.1运行策划和控制、8.2应急准备和响应</w:t>
            </w:r>
          </w:p>
          <w:p>
            <w:pPr>
              <w:rPr>
                <w:rFonts w:hint="eastAsia" w:ascii="仿宋" w:hAnsi="仿宋" w:eastAsia="仿宋" w:cs="仿宋"/>
                <w:sz w:val="21"/>
                <w:szCs w:val="21"/>
              </w:rPr>
            </w:pPr>
            <w:r>
              <w:rPr>
                <w:rFonts w:hint="eastAsia" w:ascii="仿宋" w:hAnsi="仿宋" w:eastAsia="仿宋" w:cs="仿宋"/>
                <w:sz w:val="21"/>
                <w:szCs w:val="21"/>
              </w:rPr>
              <w:t>EMS运行控制相关财务支出证据</w:t>
            </w:r>
            <w:r>
              <w:rPr>
                <w:rFonts w:hint="eastAsia" w:ascii="仿宋" w:hAnsi="仿宋" w:eastAsia="仿宋" w:cs="仿宋"/>
                <w:sz w:val="21"/>
                <w:szCs w:val="21"/>
                <w:lang w:val="en-US" w:eastAsia="zh-CN"/>
              </w:rPr>
              <w:t>；</w:t>
            </w:r>
          </w:p>
        </w:tc>
        <w:tc>
          <w:tcPr>
            <w:tcW w:w="1585" w:type="dxa"/>
            <w:vMerge w:val="continue"/>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242" w:type="dxa"/>
            <w:vAlign w:val="center"/>
          </w:tcPr>
          <w:p>
            <w:pPr>
              <w:spacing w:line="360" w:lineRule="auto"/>
              <w:rPr>
                <w:rFonts w:hint="eastAsia" w:ascii="仿宋" w:hAnsi="仿宋" w:eastAsia="仿宋" w:cs="仿宋"/>
                <w:b/>
                <w:sz w:val="21"/>
                <w:szCs w:val="21"/>
              </w:rPr>
            </w:pPr>
            <w:r>
              <w:rPr>
                <w:rFonts w:hint="eastAsia" w:ascii="仿宋" w:hAnsi="仿宋" w:eastAsia="仿宋" w:cs="仿宋"/>
                <w:sz w:val="21"/>
                <w:szCs w:val="21"/>
              </w:rPr>
              <w:t>组织的岗位、职责和权限</w:t>
            </w:r>
          </w:p>
        </w:tc>
        <w:tc>
          <w:tcPr>
            <w:tcW w:w="1276" w:type="dxa"/>
          </w:tcPr>
          <w:p>
            <w:pPr>
              <w:spacing w:line="360" w:lineRule="auto"/>
              <w:rPr>
                <w:rFonts w:hint="eastAsia" w:ascii="仿宋" w:hAnsi="仿宋" w:eastAsia="仿宋" w:cs="仿宋"/>
                <w:sz w:val="21"/>
                <w:szCs w:val="21"/>
              </w:rPr>
            </w:pPr>
            <w:r>
              <w:rPr>
                <w:rFonts w:hint="eastAsia" w:ascii="仿宋" w:hAnsi="仿宋" w:eastAsia="仿宋" w:cs="仿宋"/>
                <w:sz w:val="21"/>
                <w:szCs w:val="21"/>
              </w:rPr>
              <w:t>QE 5.3</w:t>
            </w:r>
          </w:p>
        </w:tc>
        <w:tc>
          <w:tcPr>
            <w:tcW w:w="10606" w:type="dxa"/>
          </w:tcPr>
          <w:p>
            <w:pPr>
              <w:rPr>
                <w:rFonts w:hint="eastAsia" w:ascii="仿宋" w:hAnsi="仿宋" w:eastAsia="仿宋" w:cs="仿宋"/>
                <w:sz w:val="21"/>
                <w:szCs w:val="21"/>
              </w:rPr>
            </w:pPr>
            <w:r>
              <w:rPr>
                <w:rFonts w:hint="eastAsia" w:ascii="仿宋" w:hAnsi="仿宋" w:eastAsia="仿宋" w:cs="仿宋"/>
                <w:sz w:val="21"/>
                <w:szCs w:val="21"/>
              </w:rPr>
              <w:t>现场审核了解到部门主要负责：</w:t>
            </w:r>
          </w:p>
          <w:p>
            <w:pPr>
              <w:autoSpaceDE w:val="0"/>
              <w:autoSpaceDN w:val="0"/>
              <w:adjustRightInd w:val="0"/>
              <w:spacing w:line="400" w:lineRule="exact"/>
              <w:ind w:left="525" w:leftChars="200" w:hanging="105" w:hangingChars="5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1.主持制定公司的日常管理标准和工作标准,确保这些标准与质量环境管理体系文件</w:t>
            </w:r>
          </w:p>
          <w:p>
            <w:pPr>
              <w:autoSpaceDE w:val="0"/>
              <w:autoSpaceDN w:val="0"/>
              <w:adjustRightInd w:val="0"/>
              <w:spacing w:line="400" w:lineRule="exact"/>
              <w:ind w:left="525" w:leftChars="250" w:firstLine="105" w:firstLineChars="5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的相容性。</w:t>
            </w:r>
          </w:p>
          <w:p>
            <w:pPr>
              <w:autoSpaceDE w:val="0"/>
              <w:autoSpaceDN w:val="0"/>
              <w:adjustRightInd w:val="0"/>
              <w:spacing w:line="400" w:lineRule="exact"/>
              <w:ind w:firstLine="420" w:firstLineChars="2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2.负责公司人力资源管理，对所有从事对质量环境有影响工作的人员都进行对口培</w:t>
            </w:r>
          </w:p>
          <w:p>
            <w:pPr>
              <w:autoSpaceDE w:val="0"/>
              <w:autoSpaceDN w:val="0"/>
              <w:adjustRightInd w:val="0"/>
              <w:spacing w:line="400" w:lineRule="exact"/>
              <w:ind w:firstLine="630" w:firstLineChars="3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训,提高员工质量环境意识和能力。</w:t>
            </w:r>
          </w:p>
          <w:p>
            <w:pPr>
              <w:autoSpaceDE w:val="0"/>
              <w:autoSpaceDN w:val="0"/>
              <w:adjustRightInd w:val="0"/>
              <w:spacing w:line="400" w:lineRule="exact"/>
              <w:ind w:firstLine="420" w:firstLineChars="2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3.负责公司内部相关信息的传递和内部沟通。</w:t>
            </w:r>
          </w:p>
          <w:p>
            <w:pPr>
              <w:autoSpaceDE w:val="0"/>
              <w:autoSpaceDN w:val="0"/>
              <w:adjustRightInd w:val="0"/>
              <w:spacing w:line="400" w:lineRule="exact"/>
              <w:ind w:firstLine="420" w:firstLineChars="2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4.负责组织内部岗位职责与权限的宣贯。</w:t>
            </w:r>
          </w:p>
          <w:p>
            <w:pPr>
              <w:autoSpaceDE w:val="0"/>
              <w:autoSpaceDN w:val="0"/>
              <w:adjustRightInd w:val="0"/>
              <w:spacing w:line="400" w:lineRule="exact"/>
              <w:ind w:firstLine="420" w:firstLineChars="2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5.负责基础设施管理，包括工厂、设施及设备的策划，做好电力、劳动力等应急计</w:t>
            </w:r>
          </w:p>
          <w:p>
            <w:pPr>
              <w:autoSpaceDE w:val="0"/>
              <w:autoSpaceDN w:val="0"/>
              <w:adjustRightInd w:val="0"/>
              <w:spacing w:line="400" w:lineRule="exact"/>
              <w:ind w:firstLine="630" w:firstLineChars="3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划准备。</w:t>
            </w:r>
          </w:p>
          <w:p>
            <w:pPr>
              <w:autoSpaceDE w:val="0"/>
              <w:autoSpaceDN w:val="0"/>
              <w:adjustRightInd w:val="0"/>
              <w:spacing w:line="400" w:lineRule="exact"/>
              <w:ind w:firstLine="420" w:firstLineChars="2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6.负责处理公司有关的法律事项。</w:t>
            </w:r>
          </w:p>
          <w:p>
            <w:pPr>
              <w:autoSpaceDE w:val="0"/>
              <w:autoSpaceDN w:val="0"/>
              <w:adjustRightInd w:val="0"/>
              <w:spacing w:line="400" w:lineRule="exact"/>
              <w:ind w:firstLine="420" w:firstLineChars="2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7.公司制定年度工作综合计划,将质量环境方针、目标按年度分解列入计划并进行监</w:t>
            </w:r>
          </w:p>
          <w:p>
            <w:pPr>
              <w:autoSpaceDE w:val="0"/>
              <w:autoSpaceDN w:val="0"/>
              <w:adjustRightInd w:val="0"/>
              <w:spacing w:line="400" w:lineRule="exact"/>
              <w:ind w:firstLine="630" w:firstLineChars="3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督、检查、考核和奖惩。</w:t>
            </w:r>
          </w:p>
          <w:p>
            <w:pPr>
              <w:autoSpaceDE w:val="0"/>
              <w:autoSpaceDN w:val="0"/>
              <w:adjustRightInd w:val="0"/>
              <w:spacing w:line="400" w:lineRule="exact"/>
              <w:ind w:firstLine="420" w:firstLineChars="2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8.负责对从事特殊工序的人员资格进行考核和确认。</w:t>
            </w:r>
          </w:p>
          <w:p>
            <w:pPr>
              <w:autoSpaceDE w:val="0"/>
              <w:autoSpaceDN w:val="0"/>
              <w:adjustRightInd w:val="0"/>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rPr>
              <w:t>9.激励员工实现质量环境目标，提高员工的满意度和相关的福利待遇。</w:t>
            </w:r>
          </w:p>
        </w:tc>
        <w:tc>
          <w:tcPr>
            <w:tcW w:w="1585" w:type="dxa"/>
          </w:tcPr>
          <w:p>
            <w:pPr>
              <w:spacing w:line="360" w:lineRule="auto"/>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目标和方案</w:t>
            </w:r>
          </w:p>
        </w:tc>
        <w:tc>
          <w:tcPr>
            <w:tcW w:w="1276"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QE6.2</w:t>
            </w:r>
          </w:p>
        </w:tc>
        <w:tc>
          <w:tcPr>
            <w:tcW w:w="10606" w:type="dxa"/>
            <w:vAlign w:val="center"/>
          </w:tcPr>
          <w:p>
            <w:pPr>
              <w:autoSpaceDE w:val="0"/>
              <w:autoSpaceDN w:val="0"/>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rPr>
              <w:t>查行政人事部目标：文件受控率100%、培训合格率100%、触电、火灾事故为零、固体分类处置率100%，</w:t>
            </w:r>
            <w:r>
              <w:rPr>
                <w:rFonts w:hint="eastAsia" w:ascii="仿宋" w:hAnsi="仿宋" w:eastAsia="仿宋" w:cs="仿宋"/>
                <w:sz w:val="21"/>
                <w:szCs w:val="21"/>
                <w:lang w:eastAsia="zh-CN"/>
              </w:rPr>
              <w:t>确保资金到位率</w:t>
            </w:r>
            <w:r>
              <w:rPr>
                <w:rFonts w:hint="eastAsia" w:ascii="仿宋" w:hAnsi="仿宋" w:eastAsia="仿宋" w:cs="仿宋"/>
                <w:sz w:val="21"/>
                <w:szCs w:val="21"/>
                <w:lang w:val="en-US" w:eastAsia="zh-CN"/>
              </w:rPr>
              <w:t>100%。</w:t>
            </w:r>
          </w:p>
          <w:p>
            <w:pPr>
              <w:autoSpaceDE w:val="0"/>
              <w:autoSpaceDN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2.6.30</w:t>
            </w:r>
            <w:r>
              <w:rPr>
                <w:rFonts w:hint="eastAsia" w:ascii="仿宋" w:hAnsi="仿宋" w:eastAsia="仿宋" w:cs="仿宋"/>
                <w:sz w:val="21"/>
                <w:szCs w:val="21"/>
              </w:rPr>
              <w:t>日经考核已完成。</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抽环境管理方案，明确了措施、责任人、时间、资金投入要求。</w:t>
            </w:r>
          </w:p>
          <w:p>
            <w:pPr>
              <w:spacing w:line="360" w:lineRule="auto"/>
              <w:ind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查火灾事故为零的管理方案，方法、措施/技术手段：火灾应急预案，管理部门：行政人事部；资金投入：财务应按本管理方案的要求提供资金，经管理者代表批准后实施。时间要求：在</w:t>
            </w:r>
            <w:r>
              <w:rPr>
                <w:rFonts w:hint="eastAsia" w:ascii="仿宋" w:hAnsi="仿宋" w:eastAsia="仿宋" w:cs="仿宋"/>
                <w:sz w:val="21"/>
                <w:szCs w:val="21"/>
                <w:lang w:val="en-US" w:eastAsia="zh-CN"/>
              </w:rPr>
              <w:t>2022</w:t>
            </w:r>
            <w:r>
              <w:rPr>
                <w:rFonts w:hint="eastAsia" w:ascii="仿宋" w:hAnsi="仿宋" w:eastAsia="仿宋" w:cs="仿宋"/>
                <w:sz w:val="21"/>
                <w:szCs w:val="21"/>
              </w:rPr>
              <w:t>年度内。</w:t>
            </w:r>
            <w:r>
              <w:rPr>
                <w:rFonts w:hint="eastAsia" w:ascii="仿宋" w:hAnsi="仿宋" w:eastAsia="仿宋" w:cs="仿宋"/>
                <w:sz w:val="21"/>
                <w:szCs w:val="21"/>
                <w:lang w:eastAsia="zh-CN"/>
              </w:rPr>
              <w:drawing>
                <wp:inline distT="0" distB="0" distL="114300" distR="114300">
                  <wp:extent cx="6591935" cy="2101850"/>
                  <wp:effectExtent l="0" t="0" r="12065" b="6350"/>
                  <wp:docPr id="1" name="图片 1" descr="微信图片_2022081416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14163524"/>
                          <pic:cNvPicPr>
                            <a:picLocks noChangeAspect="1"/>
                          </pic:cNvPicPr>
                        </pic:nvPicPr>
                        <pic:blipFill>
                          <a:blip r:embed="rId6"/>
                          <a:stretch>
                            <a:fillRect/>
                          </a:stretch>
                        </pic:blipFill>
                        <pic:spPr>
                          <a:xfrm>
                            <a:off x="0" y="0"/>
                            <a:ext cx="6591935" cy="2101850"/>
                          </a:xfrm>
                          <a:prstGeom prst="rect">
                            <a:avLst/>
                          </a:prstGeom>
                        </pic:spPr>
                      </pic:pic>
                    </a:graphicData>
                  </a:graphic>
                </wp:inline>
              </w:drawing>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查</w:t>
            </w:r>
            <w:r>
              <w:rPr>
                <w:rFonts w:hint="eastAsia" w:ascii="仿宋" w:hAnsi="仿宋" w:eastAsia="仿宋" w:cs="仿宋"/>
                <w:sz w:val="21"/>
                <w:szCs w:val="21"/>
                <w:lang w:eastAsia="zh-CN"/>
              </w:rPr>
              <w:t>能耗环保投入费用明细表</w:t>
            </w:r>
            <w:r>
              <w:rPr>
                <w:rFonts w:hint="eastAsia" w:ascii="仿宋" w:hAnsi="仿宋" w:eastAsia="仿宋" w:cs="仿宋"/>
                <w:sz w:val="21"/>
                <w:szCs w:val="21"/>
              </w:rPr>
              <w:t>，管理部门：行政人事部；</w:t>
            </w:r>
            <w:r>
              <w:rPr>
                <w:rFonts w:hint="eastAsia" w:ascii="仿宋" w:hAnsi="仿宋" w:eastAsia="仿宋" w:cs="仿宋"/>
                <w:sz w:val="21"/>
                <w:szCs w:val="21"/>
                <w:lang w:val="en-US" w:eastAsia="zh-CN"/>
              </w:rPr>
              <w:t>2021年共</w:t>
            </w:r>
            <w:r>
              <w:rPr>
                <w:rFonts w:hint="eastAsia" w:ascii="仿宋" w:hAnsi="仿宋" w:eastAsia="仿宋" w:cs="仿宋"/>
                <w:sz w:val="21"/>
                <w:szCs w:val="21"/>
              </w:rPr>
              <w:t>资金投入：60280.71元元。</w:t>
            </w:r>
          </w:p>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统计</w:t>
            </w:r>
            <w:r>
              <w:rPr>
                <w:rFonts w:hint="eastAsia" w:ascii="仿宋" w:hAnsi="仿宋" w:eastAsia="仿宋" w:cs="仿宋"/>
                <w:sz w:val="21"/>
                <w:szCs w:val="21"/>
              </w:rPr>
              <w:t>日期：202</w:t>
            </w:r>
            <w:r>
              <w:rPr>
                <w:rFonts w:hint="eastAsia" w:ascii="仿宋" w:hAnsi="仿宋" w:eastAsia="仿宋" w:cs="仿宋"/>
                <w:sz w:val="21"/>
                <w:szCs w:val="21"/>
                <w:lang w:val="en-US" w:eastAsia="zh-CN"/>
              </w:rPr>
              <w:t>2.3.7</w:t>
            </w:r>
            <w:r>
              <w:rPr>
                <w:rFonts w:hint="eastAsia" w:ascii="仿宋" w:hAnsi="仿宋" w:eastAsia="仿宋" w:cs="仿宋"/>
                <w:sz w:val="21"/>
                <w:szCs w:val="21"/>
              </w:rPr>
              <w:t>日。</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另有固体废弃物分类处置100%管理方案，也明确了责任部门及控制手段等要求，基本符合要求。</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管理方案由责任部门组织实施，目前在实施中，部分已完成。</w:t>
            </w:r>
          </w:p>
        </w:tc>
        <w:tc>
          <w:tcPr>
            <w:tcW w:w="1585" w:type="dxa"/>
          </w:tcPr>
          <w:p>
            <w:pPr>
              <w:spacing w:line="360" w:lineRule="auto"/>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1242" w:type="dxa"/>
            <w:vAlign w:val="center"/>
          </w:tcPr>
          <w:p>
            <w:pPr>
              <w:spacing w:line="360" w:lineRule="auto"/>
              <w:rPr>
                <w:rFonts w:hint="eastAsia" w:ascii="仿宋" w:hAnsi="仿宋" w:eastAsia="仿宋" w:cs="仿宋"/>
                <w:sz w:val="21"/>
                <w:szCs w:val="21"/>
              </w:rPr>
            </w:pPr>
            <w:r>
              <w:rPr>
                <w:rFonts w:hint="eastAsia" w:ascii="仿宋" w:hAnsi="仿宋" w:eastAsia="仿宋" w:cs="仿宋"/>
                <w:spacing w:val="-6"/>
                <w:sz w:val="21"/>
                <w:szCs w:val="21"/>
              </w:rPr>
              <w:t>监视、测量、分析和评价</w:t>
            </w:r>
          </w:p>
        </w:tc>
        <w:tc>
          <w:tcPr>
            <w:tcW w:w="1276" w:type="dxa"/>
          </w:tcPr>
          <w:p>
            <w:pPr>
              <w:spacing w:line="360" w:lineRule="auto"/>
              <w:rPr>
                <w:rFonts w:hint="eastAsia" w:ascii="仿宋" w:hAnsi="仿宋" w:eastAsia="仿宋" w:cs="仿宋"/>
                <w:sz w:val="21"/>
                <w:szCs w:val="21"/>
              </w:rPr>
            </w:pPr>
            <w:r>
              <w:rPr>
                <w:rFonts w:hint="eastAsia" w:ascii="仿宋" w:hAnsi="仿宋" w:eastAsia="仿宋" w:cs="仿宋"/>
                <w:spacing w:val="-6"/>
                <w:sz w:val="21"/>
                <w:szCs w:val="21"/>
              </w:rPr>
              <w:t>Q9.1.1</w:t>
            </w:r>
            <w:r>
              <w:rPr>
                <w:rFonts w:hint="eastAsia" w:ascii="仿宋" w:hAnsi="仿宋" w:eastAsia="仿宋" w:cs="仿宋"/>
                <w:sz w:val="21"/>
                <w:szCs w:val="21"/>
              </w:rPr>
              <w:t>、Q9.1.3</w:t>
            </w:r>
          </w:p>
        </w:tc>
        <w:tc>
          <w:tcPr>
            <w:tcW w:w="10606" w:type="dxa"/>
          </w:tcPr>
          <w:p>
            <w:pPr>
              <w:autoSpaceDE w:val="0"/>
              <w:autoSpaceDN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公司规定了管理体系相关信息的收集、汇总、分析、处理、传递的要求。</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公司组织各部门策划和实施必要的监视和测量活动，确保产品、体系和过程的符合性，以持续改进质量管理体系的有效性。</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公司的过程和体系的监视和测量主要是通过内审、管理评审、目标考核以及日常工作监督、研发过程评审、顾客满意度测量等的方式完成。</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公司已建立了监视和测量的渠道并实施，但利用深度须加强，已交流。</w:t>
            </w:r>
          </w:p>
        </w:tc>
        <w:tc>
          <w:tcPr>
            <w:tcW w:w="1585" w:type="dxa"/>
          </w:tcPr>
          <w:p>
            <w:pPr>
              <w:spacing w:line="360" w:lineRule="auto"/>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242" w:type="dxa"/>
            <w:vAlign w:val="center"/>
          </w:tcPr>
          <w:p>
            <w:pPr>
              <w:spacing w:line="360" w:lineRule="auto"/>
              <w:rPr>
                <w:rFonts w:hint="eastAsia" w:ascii="仿宋" w:hAnsi="仿宋" w:eastAsia="仿宋" w:cs="仿宋"/>
                <w:b/>
                <w:sz w:val="21"/>
                <w:szCs w:val="21"/>
              </w:rPr>
            </w:pPr>
            <w:r>
              <w:rPr>
                <w:rFonts w:hint="eastAsia" w:ascii="仿宋" w:hAnsi="仿宋" w:eastAsia="仿宋" w:cs="仿宋"/>
                <w:sz w:val="21"/>
                <w:szCs w:val="21"/>
              </w:rPr>
              <w:t>环境因素</w:t>
            </w:r>
          </w:p>
        </w:tc>
        <w:tc>
          <w:tcPr>
            <w:tcW w:w="1276" w:type="dxa"/>
          </w:tcPr>
          <w:p>
            <w:pPr>
              <w:spacing w:line="360" w:lineRule="auto"/>
              <w:rPr>
                <w:rFonts w:hint="eastAsia" w:ascii="仿宋" w:hAnsi="仿宋" w:eastAsia="仿宋" w:cs="仿宋"/>
                <w:sz w:val="21"/>
                <w:szCs w:val="21"/>
              </w:rPr>
            </w:pPr>
            <w:r>
              <w:rPr>
                <w:rFonts w:hint="eastAsia" w:ascii="仿宋" w:hAnsi="仿宋" w:eastAsia="仿宋" w:cs="仿宋"/>
                <w:bCs/>
                <w:sz w:val="21"/>
                <w:szCs w:val="21"/>
              </w:rPr>
              <w:t>E：</w:t>
            </w:r>
            <w:r>
              <w:rPr>
                <w:rFonts w:hint="eastAsia" w:ascii="仿宋" w:hAnsi="仿宋" w:eastAsia="仿宋" w:cs="仿宋"/>
                <w:sz w:val="21"/>
                <w:szCs w:val="21"/>
              </w:rPr>
              <w:t>6.1.2</w:t>
            </w:r>
          </w:p>
          <w:p>
            <w:pPr>
              <w:spacing w:line="360" w:lineRule="auto"/>
              <w:rPr>
                <w:rFonts w:hint="eastAsia" w:ascii="仿宋" w:hAnsi="仿宋" w:eastAsia="仿宋" w:cs="仿宋"/>
                <w:sz w:val="21"/>
                <w:szCs w:val="21"/>
              </w:rPr>
            </w:pPr>
          </w:p>
        </w:tc>
        <w:tc>
          <w:tcPr>
            <w:tcW w:w="10606" w:type="dxa"/>
          </w:tcPr>
          <w:p>
            <w:pPr>
              <w:snapToGrid w:val="0"/>
              <w:spacing w:line="360" w:lineRule="auto"/>
              <w:ind w:firstLine="420" w:firstLineChars="200"/>
              <w:rPr>
                <w:rFonts w:hint="eastAsia" w:ascii="仿宋" w:hAnsi="仿宋" w:eastAsia="仿宋" w:cs="仿宋"/>
                <w:bCs/>
                <w:sz w:val="21"/>
                <w:szCs w:val="21"/>
              </w:rPr>
            </w:pPr>
            <w:r>
              <w:rPr>
                <w:rFonts w:hint="eastAsia" w:ascii="仿宋" w:hAnsi="仿宋" w:eastAsia="仿宋" w:cs="仿宋"/>
                <w:sz w:val="21"/>
                <w:szCs w:val="21"/>
              </w:rPr>
              <w:t>提供了环境因素评价与</w:t>
            </w:r>
            <w:r>
              <w:rPr>
                <w:rFonts w:hint="eastAsia" w:ascii="仿宋" w:hAnsi="仿宋" w:eastAsia="仿宋" w:cs="仿宋"/>
                <w:bCs/>
                <w:sz w:val="21"/>
                <w:szCs w:val="21"/>
              </w:rPr>
              <w:t>控制程序，对环境因素的识别、评价结果、控制手段等做出了规定。</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bCs/>
                <w:sz w:val="21"/>
                <w:szCs w:val="21"/>
              </w:rPr>
              <w:t>行政人事部作为环境管理体系的推进</w:t>
            </w:r>
            <w:r>
              <w:rPr>
                <w:rFonts w:hint="eastAsia" w:ascii="仿宋" w:hAnsi="仿宋" w:eastAsia="仿宋" w:cs="仿宋"/>
                <w:sz w:val="21"/>
                <w:szCs w:val="21"/>
              </w:rPr>
              <w:t>部门，主要统筹负责识别评价相关的环境因素。根据办公区、研发过程环节识别，由行政人事部汇总。</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采取多因子评价法进行了评价，查到“重要环境因素清单”，评价出固体废弃（部分危废）物排放、火灾事故、噪声、能源和资源消耗的发生等4项重要环境因素。</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经评价行政部的重要环境因素为：日常办公过程中固体废弃物排放、火灾事故的发生。</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主要控制措施：办公危废交耗材供应公司，生活垃圾由物业部门拉走，加强日常培训，日常检查，配备消防器材等措施。</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具体控制措施见E8.1审核记录。</w:t>
            </w:r>
          </w:p>
        </w:tc>
        <w:tc>
          <w:tcPr>
            <w:tcW w:w="1585" w:type="dxa"/>
          </w:tcPr>
          <w:p>
            <w:pPr>
              <w:spacing w:line="360" w:lineRule="auto"/>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监视、测量、分析和评价</w:t>
            </w:r>
          </w:p>
        </w:tc>
        <w:tc>
          <w:tcPr>
            <w:tcW w:w="1276" w:type="dxa"/>
            <w:vAlign w:val="center"/>
          </w:tcPr>
          <w:p>
            <w:pPr>
              <w:tabs>
                <w:tab w:val="left" w:pos="6597"/>
              </w:tabs>
              <w:spacing w:line="360" w:lineRule="auto"/>
              <w:rPr>
                <w:rFonts w:hint="eastAsia" w:ascii="仿宋" w:hAnsi="仿宋" w:eastAsia="仿宋" w:cs="仿宋"/>
                <w:bCs/>
                <w:sz w:val="21"/>
                <w:szCs w:val="21"/>
              </w:rPr>
            </w:pPr>
            <w:r>
              <w:rPr>
                <w:rFonts w:hint="eastAsia" w:ascii="仿宋" w:hAnsi="仿宋" w:eastAsia="仿宋" w:cs="仿宋"/>
                <w:sz w:val="21"/>
                <w:szCs w:val="21"/>
              </w:rPr>
              <w:t>E：9.1.1</w:t>
            </w:r>
          </w:p>
        </w:tc>
        <w:tc>
          <w:tcPr>
            <w:tcW w:w="10606" w:type="dxa"/>
            <w:vAlign w:val="center"/>
          </w:tcPr>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查到202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6</w:t>
            </w:r>
            <w:r>
              <w:rPr>
                <w:rFonts w:hint="eastAsia" w:ascii="仿宋" w:hAnsi="仿宋" w:eastAsia="仿宋" w:cs="仿宋"/>
                <w:sz w:val="21"/>
                <w:szCs w:val="21"/>
              </w:rPr>
              <w:t>月</w:t>
            </w:r>
            <w:r>
              <w:rPr>
                <w:rFonts w:hint="eastAsia" w:ascii="仿宋" w:hAnsi="仿宋" w:eastAsia="仿宋" w:cs="仿宋"/>
                <w:sz w:val="21"/>
                <w:szCs w:val="21"/>
                <w:lang w:val="en-US" w:eastAsia="zh-CN"/>
              </w:rPr>
              <w:t>30</w:t>
            </w:r>
            <w:r>
              <w:rPr>
                <w:rFonts w:hint="eastAsia" w:ascii="仿宋" w:hAnsi="仿宋" w:eastAsia="仿宋" w:cs="仿宋"/>
                <w:sz w:val="21"/>
                <w:szCs w:val="21"/>
              </w:rPr>
              <w:t>日“目标考核表”，检查考核已完成，考核人</w:t>
            </w:r>
            <w:r>
              <w:rPr>
                <w:rFonts w:hint="eastAsia" w:ascii="仿宋" w:hAnsi="仿宋" w:eastAsia="仿宋" w:cs="仿宋"/>
                <w:sz w:val="21"/>
                <w:szCs w:val="21"/>
                <w:lang w:val="en-US" w:eastAsia="zh-CN"/>
              </w:rPr>
              <w:t>各部门主管</w:t>
            </w:r>
            <w:r>
              <w:rPr>
                <w:rFonts w:hint="eastAsia" w:ascii="仿宋" w:hAnsi="仿宋" w:eastAsia="仿宋" w:cs="仿宋"/>
                <w:sz w:val="21"/>
                <w:szCs w:val="21"/>
              </w:rPr>
              <w:t>。</w:t>
            </w:r>
          </w:p>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查到《环境、安全检查记录》，检查项目内容涉及：</w:t>
            </w:r>
          </w:p>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加工/办公/生活区域卫生是否清理干净，危废收集情况；办公区域是否安全用电；消防设施是否完好；消防通道是否畅通；办公区域是否有人吸烟等。</w:t>
            </w:r>
          </w:p>
          <w:p>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抽查202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第二季度</w:t>
            </w:r>
            <w:r>
              <w:rPr>
                <w:rFonts w:hint="eastAsia" w:ascii="仿宋" w:hAnsi="仿宋" w:eastAsia="仿宋" w:cs="仿宋"/>
                <w:sz w:val="21"/>
                <w:szCs w:val="21"/>
              </w:rPr>
              <w:t>检查结果均正常，检查人</w:t>
            </w:r>
            <w:r>
              <w:rPr>
                <w:rFonts w:hint="eastAsia" w:ascii="仿宋" w:hAnsi="仿宋" w:eastAsia="仿宋" w:cs="仿宋"/>
                <w:sz w:val="21"/>
                <w:szCs w:val="21"/>
                <w:lang w:val="en-US" w:eastAsia="zh-CN"/>
              </w:rPr>
              <w:t>杨翔</w:t>
            </w:r>
            <w:r>
              <w:rPr>
                <w:rFonts w:hint="eastAsia" w:ascii="仿宋" w:hAnsi="仿宋" w:eastAsia="仿宋" w:cs="仿宋"/>
                <w:sz w:val="21"/>
                <w:szCs w:val="21"/>
              </w:rPr>
              <w:t>。</w:t>
            </w:r>
          </w:p>
          <w:p>
            <w:pPr>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未有上级主管部门的监督检查。</w:t>
            </w:r>
          </w:p>
          <w:p>
            <w:pPr>
              <w:snapToGrid w:val="0"/>
              <w:spacing w:line="360" w:lineRule="auto"/>
              <w:ind w:firstLine="420" w:firstLineChars="20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查三废监测报告（江西恒定检测字(2021) Y09009号）：报告日期：2021年9月31日，检测结果：达标，见附件。</w:t>
            </w:r>
            <w:bookmarkStart w:id="1" w:name="_GoBack"/>
            <w:bookmarkEnd w:id="1"/>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公司经营能遵守相关的法律法规，没有违反环境、职业健康安全法律法规现象，近期没有发生环境与职业健康安全的事故。</w:t>
            </w:r>
          </w:p>
        </w:tc>
        <w:tc>
          <w:tcPr>
            <w:tcW w:w="1585" w:type="dxa"/>
          </w:tcPr>
          <w:p>
            <w:pPr>
              <w:spacing w:line="360" w:lineRule="auto"/>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42"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运行策划和控制</w:t>
            </w:r>
          </w:p>
        </w:tc>
        <w:tc>
          <w:tcPr>
            <w:tcW w:w="1276" w:type="dxa"/>
            <w:vAlign w:val="center"/>
          </w:tcPr>
          <w:p>
            <w:pPr>
              <w:spacing w:line="360" w:lineRule="auto"/>
              <w:rPr>
                <w:rFonts w:hint="eastAsia" w:ascii="仿宋" w:hAnsi="仿宋" w:eastAsia="仿宋" w:cs="仿宋"/>
                <w:sz w:val="21"/>
                <w:szCs w:val="21"/>
              </w:rPr>
            </w:pPr>
            <w:r>
              <w:rPr>
                <w:rFonts w:hint="eastAsia" w:ascii="仿宋" w:hAnsi="仿宋" w:eastAsia="仿宋" w:cs="仿宋"/>
                <w:bCs/>
                <w:sz w:val="21"/>
                <w:szCs w:val="21"/>
              </w:rPr>
              <w:t>E</w:t>
            </w:r>
            <w:r>
              <w:rPr>
                <w:rFonts w:hint="eastAsia" w:ascii="仿宋" w:hAnsi="仿宋" w:eastAsia="仿宋" w:cs="仿宋"/>
                <w:sz w:val="21"/>
                <w:szCs w:val="21"/>
              </w:rPr>
              <w:t>8.1</w:t>
            </w:r>
          </w:p>
          <w:p>
            <w:pPr>
              <w:spacing w:line="360" w:lineRule="auto"/>
              <w:rPr>
                <w:rFonts w:hint="eastAsia" w:ascii="仿宋" w:hAnsi="仿宋" w:eastAsia="仿宋" w:cs="仿宋"/>
                <w:sz w:val="21"/>
                <w:szCs w:val="21"/>
              </w:rPr>
            </w:pPr>
          </w:p>
        </w:tc>
        <w:tc>
          <w:tcPr>
            <w:tcW w:w="10606" w:type="dxa"/>
            <w:vAlign w:val="center"/>
          </w:tcPr>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制定并实施了运行控制程序、废弃物控制程序、噪声控制程序、消防控制程序、资源能源控制程序、安全防火规程、生产生活固废垃圾处理/利用作业指导书、员工职业健康及劳动保护管理规定、办公用品管理规定、节约用水管理规定、垃圾管理规定、固体废弃物管理规定、应急预案等环境与职业健康安全控制程序和管理制度。</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企业位于</w:t>
            </w:r>
            <w:bookmarkStart w:id="0" w:name="生产地址"/>
            <w:r>
              <w:rPr>
                <w:rFonts w:hint="eastAsia" w:ascii="仿宋" w:hAnsi="仿宋" w:eastAsia="仿宋" w:cs="仿宋"/>
                <w:sz w:val="21"/>
                <w:szCs w:val="21"/>
              </w:rPr>
              <w:t>江西省赣州市南康区龙岭镇临港电子信息产业园一期18栋</w:t>
            </w:r>
            <w:bookmarkEnd w:id="0"/>
            <w:r>
              <w:rPr>
                <w:rFonts w:hint="eastAsia" w:ascii="仿宋" w:hAnsi="仿宋" w:eastAsia="仿宋" w:cs="仿宋"/>
                <w:sz w:val="21"/>
                <w:szCs w:val="21"/>
              </w:rPr>
              <w:t>，有房屋租赁合同，公司四周是其他工业区，无重大敏感区，根据体系运行的需要设置了研发区、办公区。</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行政人事部定期组织环保培训，员工具备了基本的环保意识，见7.3条款审核记录。</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查见江西省社会保险费缴款通知单，对员工养老、医保、失业等按规定进行缴纳。</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按公司要求人走关灯，行政人事部电脑要求人走后电源切断。</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办公内主要是电的使用，电器有漏电保护器，经常对电路、电源进行检查，没有露电现象发生。</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行政人事部垃圾主要包含可回收垃圾、硒鼓、废纸。公司配置了垃圾箱，行政人事部统一处理。</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对可回收的固体废弃物，一部分由厂家回收，厂家不回收的公司统一回收再利用或由物资回收公司处理。不可回收的废弃物由所租赁的办公大楼赣州聚葆物业服务有限公司统一处理，公司缴纳物业管理费。查物业服务协议，服务内容涵盖，协议在有效期限内。</w:t>
            </w:r>
          </w:p>
          <w:p>
            <w:pPr>
              <w:spacing w:line="360" w:lineRule="auto"/>
              <w:ind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为满足环境的运行，公司投入了环保及安全资金，主要是灭火器、培训等</w:t>
            </w:r>
            <w:r>
              <w:rPr>
                <w:rFonts w:hint="eastAsia" w:ascii="仿宋" w:hAnsi="仿宋" w:eastAsia="仿宋" w:cs="仿宋"/>
                <w:sz w:val="21"/>
                <w:szCs w:val="21"/>
                <w:lang w:eastAsia="zh-CN"/>
              </w:rPr>
              <w:t>。</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办公纸张尽量采取双面打印，人走灯灭，定期检查水管跑冒滴漏。</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现场巡视办公区域配备了消防栓和灭火器，状况正常。</w:t>
            </w:r>
          </w:p>
          <w:p>
            <w:pPr>
              <w:spacing w:line="360" w:lineRule="auto"/>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目前</w:t>
            </w:r>
            <w:r>
              <w:rPr>
                <w:rFonts w:hint="eastAsia" w:ascii="仿宋" w:hAnsi="仿宋" w:eastAsia="仿宋" w:cs="仿宋"/>
                <w:sz w:val="21"/>
                <w:szCs w:val="21"/>
              </w:rPr>
              <w:t>财务支出</w:t>
            </w:r>
            <w:r>
              <w:rPr>
                <w:rFonts w:hint="eastAsia" w:ascii="仿宋" w:hAnsi="仿宋" w:eastAsia="仿宋" w:cs="仿宋"/>
                <w:sz w:val="21"/>
                <w:szCs w:val="21"/>
                <w:lang w:val="en-US" w:eastAsia="zh-CN"/>
              </w:rPr>
              <w:t>：</w:t>
            </w:r>
            <w:r>
              <w:rPr>
                <w:rFonts w:hint="eastAsia" w:ascii="仿宋" w:hAnsi="仿宋" w:eastAsia="仿宋" w:cs="仿宋"/>
                <w:sz w:val="21"/>
                <w:szCs w:val="21"/>
              </w:rPr>
              <w:t>劳保资金花费：6507.5元</w:t>
            </w:r>
            <w:r>
              <w:rPr>
                <w:rFonts w:hint="eastAsia" w:ascii="仿宋" w:hAnsi="仿宋" w:eastAsia="仿宋" w:cs="仿宋"/>
                <w:sz w:val="21"/>
                <w:szCs w:val="21"/>
                <w:lang w:eastAsia="zh-CN"/>
              </w:rPr>
              <w:t>、</w:t>
            </w:r>
            <w:r>
              <w:rPr>
                <w:rFonts w:hint="eastAsia" w:ascii="仿宋" w:hAnsi="仿宋" w:eastAsia="仿宋" w:cs="仿宋"/>
                <w:sz w:val="21"/>
                <w:szCs w:val="21"/>
              </w:rPr>
              <w:t>环保设备资金投入：20500元</w:t>
            </w:r>
            <w:r>
              <w:rPr>
                <w:rFonts w:hint="eastAsia" w:ascii="仿宋" w:hAnsi="仿宋" w:eastAsia="仿宋" w:cs="仿宋"/>
                <w:sz w:val="21"/>
                <w:szCs w:val="21"/>
                <w:lang w:eastAsia="zh-CN"/>
              </w:rPr>
              <w:t>、</w:t>
            </w:r>
            <w:r>
              <w:rPr>
                <w:rFonts w:hint="eastAsia" w:ascii="仿宋" w:hAnsi="仿宋" w:eastAsia="仿宋" w:cs="仿宋"/>
                <w:sz w:val="21"/>
                <w:szCs w:val="21"/>
              </w:rPr>
              <w:t>防暑降温花费：11092.53元</w:t>
            </w:r>
            <w:r>
              <w:rPr>
                <w:rFonts w:hint="eastAsia" w:ascii="仿宋" w:hAnsi="仿宋" w:eastAsia="仿宋" w:cs="仿宋"/>
                <w:sz w:val="21"/>
                <w:szCs w:val="21"/>
                <w:lang w:eastAsia="zh-CN"/>
              </w:rPr>
              <w:t>、</w:t>
            </w:r>
            <w:r>
              <w:rPr>
                <w:rFonts w:hint="eastAsia" w:ascii="仿宋" w:hAnsi="仿宋" w:eastAsia="仿宋" w:cs="仿宋"/>
                <w:sz w:val="21"/>
                <w:szCs w:val="21"/>
              </w:rPr>
              <w:t>培训资金花费：4203.68元</w:t>
            </w:r>
            <w:r>
              <w:rPr>
                <w:rFonts w:hint="eastAsia" w:ascii="仿宋" w:hAnsi="仿宋" w:eastAsia="仿宋" w:cs="仿宋"/>
                <w:sz w:val="21"/>
                <w:szCs w:val="21"/>
                <w:lang w:eastAsia="zh-CN"/>
              </w:rPr>
              <w:t>、</w:t>
            </w:r>
            <w:r>
              <w:rPr>
                <w:rFonts w:hint="eastAsia" w:ascii="仿宋" w:hAnsi="仿宋" w:eastAsia="仿宋" w:cs="仿宋"/>
                <w:sz w:val="21"/>
                <w:szCs w:val="21"/>
              </w:rPr>
              <w:t>灭火器花费：12905元</w:t>
            </w:r>
            <w:r>
              <w:rPr>
                <w:rFonts w:hint="eastAsia" w:ascii="仿宋" w:hAnsi="仿宋" w:eastAsia="仿宋" w:cs="仿宋"/>
                <w:sz w:val="21"/>
                <w:szCs w:val="21"/>
                <w:lang w:eastAsia="zh-CN"/>
              </w:rPr>
              <w:t>、</w:t>
            </w:r>
            <w:r>
              <w:rPr>
                <w:rFonts w:hint="eastAsia" w:ascii="仿宋" w:hAnsi="仿宋" w:eastAsia="仿宋" w:cs="仿宋"/>
                <w:sz w:val="21"/>
                <w:szCs w:val="21"/>
              </w:rPr>
              <w:t>垃圾处理费：5072元</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共计：</w:t>
            </w:r>
            <w:r>
              <w:rPr>
                <w:rFonts w:hint="eastAsia" w:ascii="仿宋" w:hAnsi="仿宋" w:eastAsia="仿宋" w:cs="仿宋"/>
                <w:sz w:val="21"/>
                <w:szCs w:val="21"/>
              </w:rPr>
              <w:t>60280.71元。</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部门运行控制基本符合要求。</w:t>
            </w:r>
          </w:p>
        </w:tc>
        <w:tc>
          <w:tcPr>
            <w:tcW w:w="1585" w:type="dxa"/>
          </w:tcPr>
          <w:p>
            <w:pPr>
              <w:spacing w:line="360" w:lineRule="auto"/>
              <w:rPr>
                <w:rFonts w:hint="eastAsia" w:ascii="仿宋" w:hAnsi="仿宋" w:eastAsia="仿宋" w:cs="仿宋"/>
                <w:sz w:val="21"/>
                <w:szCs w:val="21"/>
              </w:rPr>
            </w:pPr>
            <w:r>
              <w:rPr>
                <w:rFonts w:hint="eastAsia" w:ascii="仿宋" w:hAnsi="仿宋" w:eastAsia="仿宋" w:cs="仿宋"/>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hint="eastAsia" w:ascii="仿宋" w:hAnsi="仿宋" w:eastAsia="仿宋" w:cs="仿宋"/>
                <w:sz w:val="21"/>
                <w:szCs w:val="21"/>
              </w:rPr>
            </w:pPr>
            <w:r>
              <w:rPr>
                <w:rFonts w:hint="eastAsia" w:ascii="仿宋" w:hAnsi="仿宋" w:eastAsia="仿宋" w:cs="仿宋"/>
                <w:sz w:val="21"/>
                <w:szCs w:val="21"/>
              </w:rPr>
              <w:t>应急准备和响应</w:t>
            </w:r>
          </w:p>
        </w:tc>
        <w:tc>
          <w:tcPr>
            <w:tcW w:w="1276" w:type="dxa"/>
          </w:tcPr>
          <w:p>
            <w:pPr>
              <w:spacing w:line="360" w:lineRule="auto"/>
              <w:rPr>
                <w:rFonts w:hint="eastAsia" w:ascii="仿宋" w:hAnsi="仿宋" w:eastAsia="仿宋" w:cs="仿宋"/>
                <w:bCs/>
                <w:sz w:val="21"/>
                <w:szCs w:val="21"/>
              </w:rPr>
            </w:pPr>
            <w:r>
              <w:rPr>
                <w:rFonts w:hint="eastAsia" w:ascii="仿宋" w:hAnsi="仿宋" w:eastAsia="仿宋" w:cs="仿宋"/>
                <w:bCs/>
                <w:sz w:val="21"/>
                <w:szCs w:val="21"/>
              </w:rPr>
              <w:t>E：</w:t>
            </w:r>
            <w:r>
              <w:rPr>
                <w:rFonts w:hint="eastAsia" w:ascii="仿宋" w:hAnsi="仿宋" w:eastAsia="仿宋" w:cs="仿宋"/>
                <w:sz w:val="21"/>
                <w:szCs w:val="21"/>
              </w:rPr>
              <w:t>8.2</w:t>
            </w:r>
          </w:p>
          <w:p>
            <w:pPr>
              <w:spacing w:line="360" w:lineRule="auto"/>
              <w:rPr>
                <w:rFonts w:hint="eastAsia" w:ascii="仿宋" w:hAnsi="仿宋" w:eastAsia="仿宋" w:cs="仿宋"/>
                <w:bCs/>
                <w:sz w:val="21"/>
                <w:szCs w:val="21"/>
              </w:rPr>
            </w:pPr>
          </w:p>
          <w:p>
            <w:pPr>
              <w:spacing w:line="360" w:lineRule="auto"/>
              <w:rPr>
                <w:rFonts w:hint="eastAsia" w:ascii="仿宋" w:hAnsi="仿宋" w:eastAsia="仿宋" w:cs="仿宋"/>
                <w:bCs/>
                <w:sz w:val="21"/>
                <w:szCs w:val="21"/>
              </w:rPr>
            </w:pPr>
          </w:p>
        </w:tc>
        <w:tc>
          <w:tcPr>
            <w:tcW w:w="10606" w:type="dxa"/>
          </w:tcPr>
          <w:p>
            <w:pPr>
              <w:tabs>
                <w:tab w:val="left" w:pos="6597"/>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编制了《应急准备和响应控制程序》，确定的紧急情况有：火灾、触电等。提供了火灾应急预案、触电事故应急预案，其中包括目的、适用范围、职责、应急处理细则、演习、必备资料等，相关内容基本充分。</w:t>
            </w:r>
          </w:p>
          <w:p>
            <w:pPr>
              <w:tabs>
                <w:tab w:val="left" w:pos="6597"/>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应急设施配置：在办公场所内、研发区域内均配备了灭火器、消防栓等消防设施，均在有效期内，状态良好。</w:t>
            </w:r>
          </w:p>
          <w:p>
            <w:pPr>
              <w:tabs>
                <w:tab w:val="left" w:pos="6597"/>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查202</w:t>
            </w:r>
            <w:r>
              <w:rPr>
                <w:rFonts w:hint="eastAsia" w:ascii="仿宋" w:hAnsi="仿宋" w:eastAsia="仿宋" w:cs="仿宋"/>
                <w:sz w:val="21"/>
                <w:szCs w:val="21"/>
                <w:lang w:val="en-US" w:eastAsia="zh-CN"/>
              </w:rPr>
              <w:t>2</w:t>
            </w:r>
            <w:r>
              <w:rPr>
                <w:rFonts w:hint="eastAsia" w:ascii="仿宋" w:hAnsi="仿宋" w:eastAsia="仿宋" w:cs="仿宋"/>
                <w:sz w:val="21"/>
                <w:szCs w:val="21"/>
              </w:rPr>
              <w:t>.6.</w:t>
            </w:r>
            <w:r>
              <w:rPr>
                <w:rFonts w:hint="eastAsia" w:ascii="仿宋" w:hAnsi="仿宋" w:eastAsia="仿宋" w:cs="仿宋"/>
                <w:sz w:val="21"/>
                <w:szCs w:val="21"/>
                <w:lang w:val="en-US" w:eastAsia="zh-CN"/>
              </w:rPr>
              <w:t>29</w:t>
            </w:r>
            <w:r>
              <w:rPr>
                <w:rFonts w:hint="eastAsia" w:ascii="仿宋" w:hAnsi="仿宋" w:eastAsia="仿宋" w:cs="仿宋"/>
                <w:sz w:val="21"/>
                <w:szCs w:val="21"/>
              </w:rPr>
              <w:t>日的《消防安全应急预案演练记录》，参加人员各岗位人员；记录演练过程、急救措施等内容。总结：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p>
          <w:p>
            <w:pPr>
              <w:tabs>
                <w:tab w:val="left" w:pos="6597"/>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预案适宜性充分性评审：适宜性：全部能够执行；  充分性：完全满足应急要求。</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现场巡视办公区有灭火器和消防栓，均有效。</w:t>
            </w:r>
          </w:p>
          <w:p>
            <w:pPr>
              <w:spacing w:line="360" w:lineRule="auto"/>
              <w:ind w:firstLine="525" w:firstLineChars="250"/>
              <w:jc w:val="left"/>
              <w:rPr>
                <w:rFonts w:hint="eastAsia" w:ascii="仿宋" w:hAnsi="仿宋" w:eastAsia="仿宋" w:cs="仿宋"/>
                <w:sz w:val="21"/>
                <w:szCs w:val="21"/>
              </w:rPr>
            </w:pPr>
            <w:r>
              <w:rPr>
                <w:rFonts w:hint="eastAsia" w:ascii="仿宋" w:hAnsi="仿宋" w:eastAsia="仿宋" w:cs="仿宋"/>
                <w:sz w:val="21"/>
                <w:szCs w:val="21"/>
              </w:rPr>
              <w:t>自体系运行以来尚未发生紧急情况。</w:t>
            </w:r>
            <w:r>
              <w:drawing>
                <wp:inline distT="0" distB="0" distL="114300" distR="114300">
                  <wp:extent cx="6203950" cy="3162300"/>
                  <wp:effectExtent l="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6203950" cy="3162300"/>
                          </a:xfrm>
                          <a:prstGeom prst="rect">
                            <a:avLst/>
                          </a:prstGeom>
                          <a:noFill/>
                          <a:ln>
                            <a:noFill/>
                          </a:ln>
                        </pic:spPr>
                      </pic:pic>
                    </a:graphicData>
                  </a:graphic>
                </wp:inline>
              </w:drawing>
            </w:r>
          </w:p>
        </w:tc>
        <w:tc>
          <w:tcPr>
            <w:tcW w:w="1585" w:type="dxa"/>
          </w:tcPr>
          <w:p>
            <w:pPr>
              <w:spacing w:line="360" w:lineRule="auto"/>
              <w:rPr>
                <w:rFonts w:hint="eastAsia" w:ascii="仿宋" w:hAnsi="仿宋" w:eastAsia="仿宋" w:cs="仿宋"/>
                <w:sz w:val="21"/>
                <w:szCs w:val="21"/>
              </w:rPr>
            </w:pPr>
            <w:r>
              <w:rPr>
                <w:rFonts w:hint="eastAsia" w:ascii="仿宋" w:hAnsi="仿宋" w:eastAsia="仿宋" w:cs="仿宋"/>
                <w:sz w:val="21"/>
                <w:szCs w:val="21"/>
              </w:rPr>
              <w:t>合格</w:t>
            </w:r>
          </w:p>
        </w:tc>
      </w:tr>
    </w:tbl>
    <w:p>
      <w:pPr>
        <w:rPr>
          <w:rFonts w:ascii="楷体" w:hAnsi="楷体" w:eastAsia="楷体"/>
        </w:rPr>
      </w:pPr>
      <w:r>
        <w:rPr>
          <w:rFonts w:hint="eastAsia" w:ascii="楷体" w:hAnsi="楷体" w:eastAsia="楷体"/>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D8256B"/>
    <w:rsid w:val="05162CE6"/>
    <w:rsid w:val="114E3F4D"/>
    <w:rsid w:val="122A1C8E"/>
    <w:rsid w:val="161D6C29"/>
    <w:rsid w:val="16302791"/>
    <w:rsid w:val="1F7046C6"/>
    <w:rsid w:val="20061C76"/>
    <w:rsid w:val="39A1714F"/>
    <w:rsid w:val="442E479D"/>
    <w:rsid w:val="4C385A10"/>
    <w:rsid w:val="4E161130"/>
    <w:rsid w:val="53746FF7"/>
    <w:rsid w:val="7F8553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2022-08-17T09:10:00Z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