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0778-2022-EnMS</w:t>
      </w:r>
      <w:bookmarkEnd w:id="0"/>
    </w:p>
    <w:p>
      <w:pPr>
        <w:jc w:val="left"/>
        <w:rPr>
          <w:rFonts w:hint="eastAsia"/>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无锡市东盛物业管理有限公司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sym w:font="Wingdings 2" w:char="0052"/>
      </w:r>
      <w:r>
        <w:rPr>
          <w:rFonts w:hint="eastAsia"/>
          <w:sz w:val="28"/>
          <w:szCs w:val="28"/>
        </w:rPr>
        <w:t>能源管理体系（EnMS）</w:t>
      </w:r>
    </w:p>
    <w:p>
      <w:pPr>
        <w:jc w:val="left"/>
        <w:rPr>
          <w:sz w:val="28"/>
          <w:szCs w:val="28"/>
        </w:rPr>
      </w:pPr>
    </w:p>
    <w:p>
      <w:pPr>
        <w:pStyle w:val="14"/>
      </w:pPr>
    </w:p>
    <w:p>
      <w:pPr>
        <w:pStyle w:val="14"/>
      </w:pPr>
    </w:p>
    <w:p>
      <w:pPr>
        <w:pStyle w:val="14"/>
      </w:pPr>
    </w:p>
    <w:p>
      <w:pPr>
        <w:pStyle w:val="14"/>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无锡市东盛物业管理有限公司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无锡市锡山区东亭街道二泉东路177-301</w:t>
            </w:r>
            <w:bookmarkEnd w:id="6"/>
          </w:p>
        </w:tc>
        <w:tc>
          <w:tcPr>
            <w:tcW w:w="1242" w:type="dxa"/>
            <w:vMerge w:val="restart"/>
            <w:vAlign w:val="center"/>
          </w:tcPr>
          <w:p>
            <w:r>
              <w:rPr>
                <w:rFonts w:hint="eastAsia"/>
              </w:rPr>
              <w:t>邮编</w:t>
            </w:r>
          </w:p>
        </w:tc>
        <w:tc>
          <w:tcPr>
            <w:tcW w:w="1771" w:type="dxa"/>
          </w:tcPr>
          <w:p>
            <w:bookmarkStart w:id="7" w:name="注册邮编"/>
            <w:r>
              <w:t>214000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江苏省无锡市锡山区东亭街道二泉东路177-301</w:t>
            </w:r>
            <w:bookmarkEnd w:id="8"/>
          </w:p>
        </w:tc>
        <w:tc>
          <w:tcPr>
            <w:tcW w:w="1242" w:type="dxa"/>
            <w:vMerge w:val="continue"/>
            <w:vAlign w:val="center"/>
          </w:tcPr>
          <w:p/>
        </w:tc>
        <w:tc>
          <w:tcPr>
            <w:tcW w:w="1771" w:type="dxa"/>
          </w:tcPr>
          <w:p>
            <w:bookmarkStart w:id="9" w:name="办公邮编"/>
            <w:r>
              <w:t>214000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皋媛媛</w:t>
            </w:r>
            <w:bookmarkEnd w:id="10"/>
          </w:p>
        </w:tc>
        <w:tc>
          <w:tcPr>
            <w:tcW w:w="1313" w:type="dxa"/>
            <w:vAlign w:val="center"/>
          </w:tcPr>
          <w:p>
            <w:r>
              <w:rPr>
                <w:rFonts w:hint="eastAsia"/>
              </w:rPr>
              <w:t>电话.</w:t>
            </w:r>
          </w:p>
        </w:tc>
        <w:tc>
          <w:tcPr>
            <w:tcW w:w="2180" w:type="dxa"/>
            <w:vAlign w:val="center"/>
          </w:tcPr>
          <w:p>
            <w:bookmarkStart w:id="11" w:name="联系人电话"/>
            <w:r>
              <w:t>13861714715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王瑶</w:t>
            </w:r>
            <w:bookmarkEnd w:id="13"/>
          </w:p>
        </w:tc>
        <w:tc>
          <w:tcPr>
            <w:tcW w:w="1313" w:type="dxa"/>
            <w:vAlign w:val="center"/>
          </w:tcPr>
          <w:p>
            <w:r>
              <w:rPr>
                <w:rFonts w:hint="eastAsia"/>
              </w:rPr>
              <w:t>管理者代表</w:t>
            </w:r>
          </w:p>
        </w:tc>
        <w:tc>
          <w:tcPr>
            <w:tcW w:w="2180" w:type="dxa"/>
          </w:tcPr>
          <w:p>
            <w:bookmarkStart w:id="14" w:name="管理者代表"/>
            <w:r>
              <w:t>皋媛媛</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w:t>
            </w:r>
            <w:r>
              <w:rPr>
                <w:rFonts w:hint="eastAsia"/>
              </w:rPr>
              <w:sym w:font="Wingdings 2" w:char="0052"/>
            </w:r>
            <w:r>
              <w:rPr>
                <w:rFonts w:hint="eastAsia"/>
              </w:rPr>
              <w:t>双班</w:t>
            </w:r>
            <w:r>
              <w:rPr>
                <w:rFonts w:hint="eastAsia"/>
                <w:lang w:eastAsia="zh-CN"/>
              </w:rPr>
              <w:t>（</w:t>
            </w:r>
            <w:r>
              <w:rPr>
                <w:rFonts w:hint="eastAsia"/>
                <w:lang w:val="en-US" w:eastAsia="zh-CN"/>
              </w:rPr>
              <w:t>保安</w:t>
            </w:r>
            <w:r>
              <w:rPr>
                <w:rFonts w:hint="eastAsia"/>
                <w:lang w:eastAsia="zh-CN"/>
              </w:rPr>
              <w:t>）</w:t>
            </w:r>
            <w:r>
              <w:rPr>
                <w:rFonts w:hint="eastAsia"/>
              </w:rPr>
              <w:t>□三班□其他</w:t>
            </w:r>
          </w:p>
          <w:p>
            <w:r>
              <w:rPr>
                <w:rFonts w:hint="eastAsia"/>
                <w:highlight w:val="cyan"/>
              </w:rPr>
              <w:t>审核相应地考虑了多班次操作，并且有代表性地审核了所有班次。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280" w:lineRule="exact"/>
              <w:jc w:val="left"/>
              <w:rPr>
                <w:rFonts w:hint="eastAsia" w:ascii="Times New Roman" w:hAnsi="Times New Roman" w:cs="Times New Roman"/>
                <w:b/>
                <w:sz w:val="20"/>
                <w:szCs w:val="22"/>
              </w:rPr>
            </w:pPr>
            <w:r>
              <w:rPr>
                <w:rFonts w:hint="eastAsia" w:ascii="Times New Roman" w:hAnsi="Times New Roman" w:cs="Times New Roman"/>
                <w:b/>
                <w:sz w:val="20"/>
                <w:szCs w:val="22"/>
              </w:rPr>
              <w:t>服务过程策划→投标洽谈→签到合同→人员配置→提供物业服务→处理投诉、业主回访→评价、改进服务质量；</w:t>
            </w:r>
          </w:p>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2022年07月02日 上午至2022年07月04日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rPr>
              <w:sym w:font="Wingdings 2" w:char="0052"/>
            </w:r>
            <w:r>
              <w:rPr>
                <w:rFonts w:hint="eastAsia"/>
              </w:rPr>
              <w:t>GB/T 23331-2020/</w:t>
            </w:r>
            <w:r>
              <w:rPr>
                <w:rFonts w:hint="eastAsia"/>
                <w:lang w:val="de-DE"/>
              </w:rPr>
              <w:t>ISO50001：2018标准</w:t>
            </w:r>
          </w:p>
          <w:p>
            <w:pPr>
              <w:rPr>
                <w:rFonts w:hint="eastAsia" w:ascii="宋体" w:hAnsi="宋体"/>
                <w:b/>
                <w:color w:val="000000"/>
                <w:szCs w:val="21"/>
                <w:lang w:val="en-US" w:eastAsia="zh-CN"/>
              </w:rPr>
            </w:pPr>
            <w:r>
              <w:rPr>
                <w:rFonts w:hint="eastAsia"/>
                <w:lang w:val="de-DE"/>
              </w:rPr>
              <w:sym w:font="Wingdings 2" w:char="0052"/>
            </w:r>
            <w:r>
              <w:rPr>
                <w:rFonts w:hint="eastAsia" w:ascii="宋体" w:hAnsi="宋体"/>
                <w:b/>
                <w:color w:val="000000"/>
                <w:szCs w:val="21"/>
                <w:lang w:val="de-DE"/>
              </w:rPr>
              <w:t>RB</w:t>
            </w:r>
            <w:r>
              <w:rPr>
                <w:rFonts w:hint="eastAsia" w:ascii="宋体" w:hAnsi="宋体"/>
                <w:b/>
                <w:color w:val="000000"/>
                <w:szCs w:val="21"/>
                <w:lang w:val="en-US" w:eastAsia="zh-CN"/>
              </w:rPr>
              <w:t>/T107-2013</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初审二阶段</w:t>
            </w:r>
            <w:bookmarkStart w:id="25" w:name="监督勾选"/>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vAlign w:val="top"/>
          </w:tcPr>
          <w:p>
            <w:pPr>
              <w:rPr>
                <w:rFonts w:ascii="宋体"/>
                <w:b/>
                <w:color w:val="0000FF"/>
                <w:szCs w:val="21"/>
              </w:rPr>
            </w:pPr>
            <w:r>
              <w:rPr>
                <w:rFonts w:hint="eastAsia" w:ascii="宋体"/>
                <w:b/>
                <w:color w:val="0000FF"/>
                <w:szCs w:val="21"/>
                <w:lang w:val="en-US" w:eastAsia="zh-CN"/>
              </w:rPr>
              <w:t>河北省石家庄市/湖北省荆州市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物业管理服务涉及相关能源管理活动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2.10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w:t>
            </w:r>
          </w:p>
          <w:p/>
        </w:tc>
        <w:tc>
          <w:tcPr>
            <w:tcW w:w="1883" w:type="dxa"/>
            <w:vAlign w:val="center"/>
          </w:tcPr>
          <w:p>
            <w:r>
              <w:rPr>
                <w:rFonts w:hint="eastAsia"/>
                <w:b/>
                <w:bCs/>
              </w:rPr>
              <w:t>能源管理体系运行已超过6个月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677"/>
        <w:gridCol w:w="1161"/>
        <w:gridCol w:w="1885"/>
        <w:gridCol w:w="1587"/>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677" w:type="dxa"/>
            <w:shd w:val="clear" w:color="auto" w:fill="F3F3F3"/>
            <w:tcMar>
              <w:left w:w="57" w:type="dxa"/>
              <w:right w:w="57" w:type="dxa"/>
            </w:tcMar>
          </w:tcPr>
          <w:p>
            <w:r>
              <w:rPr>
                <w:rFonts w:hint="eastAsia"/>
              </w:rPr>
              <w:t>经营场所的地址</w:t>
            </w:r>
          </w:p>
          <w:p>
            <w:r>
              <w:rPr>
                <w:rFonts w:hint="eastAsia"/>
              </w:rPr>
              <w:t>（多现场和临时现场）</w:t>
            </w:r>
          </w:p>
        </w:tc>
        <w:tc>
          <w:tcPr>
            <w:tcW w:w="1161" w:type="dxa"/>
            <w:shd w:val="clear" w:color="auto" w:fill="F3F3F3"/>
            <w:tcMar>
              <w:left w:w="57" w:type="dxa"/>
              <w:right w:w="57" w:type="dxa"/>
            </w:tcMar>
          </w:tcPr>
          <w:p>
            <w:r>
              <w:rPr>
                <w:rFonts w:hint="eastAsia"/>
              </w:rPr>
              <w:t>员工人数</w:t>
            </w:r>
          </w:p>
        </w:tc>
        <w:tc>
          <w:tcPr>
            <w:tcW w:w="1885"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587"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lang w:val="de-DE" w:eastAsia="ja-JP"/>
              </w:rPr>
            </w:pPr>
            <w:r>
              <w:rPr>
                <w:sz w:val="21"/>
                <w:szCs w:val="21"/>
              </w:rPr>
              <w:t>无锡市东盛物业管理有限公司</w:t>
            </w:r>
            <w:r>
              <w:rPr>
                <w:rFonts w:hint="eastAsia"/>
                <w:sz w:val="21"/>
                <w:szCs w:val="21"/>
                <w:lang w:val="en-US" w:eastAsia="zh-CN"/>
              </w:rPr>
              <w:t>/</w:t>
            </w:r>
            <w:r>
              <w:rPr>
                <w:sz w:val="21"/>
                <w:szCs w:val="21"/>
              </w:rPr>
              <w:t>无锡市锡山区东亭街道二泉东路177-301</w:t>
            </w:r>
          </w:p>
        </w:tc>
        <w:tc>
          <w:tcPr>
            <w:tcW w:w="1677" w:type="dxa"/>
            <w:vAlign w:val="top"/>
          </w:tcPr>
          <w:p>
            <w:pPr>
              <w:spacing w:before="40" w:after="40"/>
              <w:rPr>
                <w:lang w:val="de-DE" w:eastAsia="ja-JP"/>
              </w:rPr>
            </w:pPr>
            <w:r>
              <w:rPr>
                <w:sz w:val="21"/>
                <w:szCs w:val="21"/>
              </w:rPr>
              <w:t>江苏省无锡市锡山区东亭街道二泉东路177-301</w:t>
            </w:r>
          </w:p>
        </w:tc>
        <w:tc>
          <w:tcPr>
            <w:tcW w:w="1161" w:type="dxa"/>
            <w:vAlign w:val="center"/>
          </w:tcPr>
          <w:p>
            <w:pPr>
              <w:spacing w:before="40" w:after="40"/>
              <w:rPr>
                <w:lang w:eastAsia="ja-JP"/>
              </w:rPr>
            </w:pPr>
            <w:r>
              <w:rPr>
                <w:rFonts w:hint="eastAsia" w:eastAsia="黑体"/>
                <w:szCs w:val="21"/>
                <w:lang w:val="en-US" w:eastAsia="zh-CN"/>
              </w:rPr>
              <w:t>85人（能源体系27人）</w:t>
            </w:r>
          </w:p>
        </w:tc>
        <w:tc>
          <w:tcPr>
            <w:tcW w:w="1885" w:type="dxa"/>
            <w:vAlign w:val="center"/>
          </w:tcPr>
          <w:p>
            <w:pPr>
              <w:pStyle w:val="23"/>
              <w:rPr>
                <w:lang w:eastAsia="ja-JP"/>
              </w:rPr>
            </w:pPr>
            <w:r>
              <w:rPr>
                <w:rFonts w:hint="eastAsia" w:ascii="Times New Roman" w:hAnsi="Times New Roman" w:eastAsia="宋体" w:cs="Times New Roman"/>
                <w:kern w:val="2"/>
                <w:sz w:val="21"/>
                <w:szCs w:val="21"/>
                <w:lang w:val="en-US" w:eastAsia="zh-CN" w:bidi="ar-SA"/>
              </w:rPr>
              <w:t>物业管理服务所涉及的能源管理活动；</w:t>
            </w:r>
          </w:p>
        </w:tc>
        <w:tc>
          <w:tcPr>
            <w:tcW w:w="1587" w:type="dxa"/>
            <w:vAlign w:val="center"/>
          </w:tcPr>
          <w:p>
            <w:pPr>
              <w:spacing w:before="40" w:after="40"/>
              <w:rPr>
                <w:rFonts w:hint="eastAsia" w:eastAsia="黑体"/>
                <w:szCs w:val="21"/>
                <w:lang w:val="en-US" w:eastAsia="zh-CN"/>
              </w:rPr>
            </w:pPr>
            <w:r>
              <w:rPr>
                <w:rFonts w:hint="eastAsia" w:eastAsia="黑体"/>
                <w:szCs w:val="21"/>
                <w:lang w:val="en-US" w:eastAsia="zh-CN"/>
              </w:rPr>
              <w:t>GB/T23331-2020</w:t>
            </w:r>
          </w:p>
          <w:p>
            <w:pPr>
              <w:spacing w:before="40" w:after="40"/>
              <w:rPr>
                <w:lang w:eastAsia="ja-JP"/>
              </w:rPr>
            </w:pPr>
            <w:r>
              <w:rPr>
                <w:rFonts w:hint="eastAsia" w:eastAsia="黑体"/>
                <w:szCs w:val="21"/>
                <w:lang w:val="en-US" w:eastAsia="zh-CN"/>
              </w:rPr>
              <w:t>RB/T107-2013</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spacing w:before="40" w:after="40"/>
              <w:rPr>
                <w:lang w:eastAsia="ja-JP"/>
              </w:rPr>
            </w:pPr>
          </w:p>
        </w:tc>
        <w:tc>
          <w:tcPr>
            <w:tcW w:w="1677" w:type="dxa"/>
            <w:vAlign w:val="center"/>
          </w:tcPr>
          <w:p>
            <w:pPr>
              <w:spacing w:before="40" w:after="40"/>
              <w:rPr>
                <w:lang w:eastAsia="ja-JP"/>
              </w:rPr>
            </w:pPr>
            <w:r>
              <w:rPr>
                <w:rFonts w:hint="eastAsia" w:eastAsia="黑体"/>
                <w:szCs w:val="21"/>
                <w:lang w:val="en-US" w:eastAsia="zh-CN"/>
              </w:rPr>
              <w:t>多场所：</w:t>
            </w:r>
            <w:r>
              <w:rPr>
                <w:rFonts w:hint="eastAsia" w:ascii="宋体" w:hAnsi="宋体"/>
                <w:color w:val="000000"/>
                <w:sz w:val="21"/>
              </w:rPr>
              <w:t>隆亭新苑（地址：江苏省无锡市锡山区东亭锡沪东路12号）</w:t>
            </w:r>
          </w:p>
        </w:tc>
        <w:tc>
          <w:tcPr>
            <w:tcW w:w="1161" w:type="dxa"/>
            <w:vAlign w:val="center"/>
          </w:tcPr>
          <w:p>
            <w:pPr>
              <w:spacing w:before="40" w:after="40"/>
              <w:rPr>
                <w:lang w:eastAsia="ja-JP"/>
              </w:rPr>
            </w:pPr>
            <w:r>
              <w:rPr>
                <w:rFonts w:hint="eastAsia" w:eastAsia="黑体"/>
                <w:szCs w:val="21"/>
                <w:lang w:val="en-US" w:eastAsia="zh-CN"/>
              </w:rPr>
              <w:t>25人</w:t>
            </w:r>
          </w:p>
        </w:tc>
        <w:tc>
          <w:tcPr>
            <w:tcW w:w="1885" w:type="dxa"/>
            <w:vAlign w:val="center"/>
          </w:tcPr>
          <w:p>
            <w:pPr>
              <w:spacing w:before="40" w:after="40"/>
              <w:rPr>
                <w:lang w:eastAsia="ja-JP"/>
              </w:rPr>
            </w:pPr>
            <w:r>
              <w:rPr>
                <w:rFonts w:hint="eastAsia" w:ascii="Times New Roman" w:hAnsi="Times New Roman" w:eastAsia="宋体" w:cs="Times New Roman"/>
                <w:kern w:val="2"/>
                <w:sz w:val="21"/>
                <w:szCs w:val="21"/>
                <w:lang w:val="en-US" w:eastAsia="zh-CN" w:bidi="ar-SA"/>
              </w:rPr>
              <w:t>物业管理服务所涉及的能源管理活动</w:t>
            </w:r>
          </w:p>
        </w:tc>
        <w:tc>
          <w:tcPr>
            <w:tcW w:w="1587" w:type="dxa"/>
            <w:vAlign w:val="center"/>
          </w:tcPr>
          <w:p>
            <w:pPr>
              <w:spacing w:before="40" w:after="40"/>
              <w:rPr>
                <w:rFonts w:hint="eastAsia" w:eastAsia="黑体"/>
                <w:szCs w:val="21"/>
                <w:lang w:val="en-US" w:eastAsia="zh-CN"/>
              </w:rPr>
            </w:pPr>
            <w:r>
              <w:rPr>
                <w:rFonts w:hint="eastAsia" w:eastAsia="黑体"/>
                <w:szCs w:val="21"/>
                <w:lang w:val="en-US" w:eastAsia="zh-CN"/>
              </w:rPr>
              <w:t>GB/T23331-2020</w:t>
            </w:r>
          </w:p>
          <w:p>
            <w:pPr>
              <w:spacing w:before="40" w:after="40"/>
              <w:rPr>
                <w:lang w:eastAsia="ja-JP"/>
              </w:rPr>
            </w:pPr>
            <w:r>
              <w:rPr>
                <w:rFonts w:hint="eastAsia" w:eastAsia="黑体"/>
                <w:szCs w:val="21"/>
                <w:lang w:val="en-US" w:eastAsia="zh-CN"/>
              </w:rPr>
              <w:t>RB/T107-2013</w:t>
            </w:r>
          </w:p>
        </w:tc>
        <w:tc>
          <w:tcPr>
            <w:tcW w:w="668" w:type="dxa"/>
            <w:shd w:val="clear" w:color="auto" w:fill="FFFFFF"/>
            <w:vAlign w:val="top"/>
          </w:tcPr>
          <w:sdt>
            <w:sdtPr>
              <w:rPr>
                <w:rFonts w:eastAsia="黑体"/>
                <w:szCs w:val="21"/>
              </w:rPr>
              <w:id w:val="1360237495"/>
            </w:sdtPr>
            <w:sdtEndPr>
              <w:rPr>
                <w:rFonts w:eastAsia="黑体"/>
                <w:szCs w:val="21"/>
              </w:rPr>
            </w:sdtEndPr>
            <w:sdtContent>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eastAsia="黑体"/>
                    <w:szCs w:val="21"/>
                  </w:rPr>
                </w:pP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677" w:type="dxa"/>
            <w:vAlign w:val="center"/>
          </w:tcPr>
          <w:p>
            <w:pPr>
              <w:rPr>
                <w:lang w:eastAsia="ja-JP"/>
              </w:rPr>
            </w:pPr>
          </w:p>
        </w:tc>
        <w:tc>
          <w:tcPr>
            <w:tcW w:w="1161" w:type="dxa"/>
            <w:vAlign w:val="center"/>
          </w:tcPr>
          <w:p>
            <w:pPr>
              <w:rPr>
                <w:lang w:eastAsia="ja-JP"/>
              </w:rPr>
            </w:pPr>
          </w:p>
        </w:tc>
        <w:tc>
          <w:tcPr>
            <w:tcW w:w="1885" w:type="dxa"/>
            <w:vAlign w:val="center"/>
          </w:tcPr>
          <w:p>
            <w:pPr>
              <w:rPr>
                <w:lang w:eastAsia="ja-JP"/>
              </w:rPr>
            </w:pPr>
          </w:p>
        </w:tc>
        <w:tc>
          <w:tcPr>
            <w:tcW w:w="1587"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677" w:type="dxa"/>
            <w:vAlign w:val="center"/>
          </w:tcPr>
          <w:p>
            <w:pPr>
              <w:rPr>
                <w:lang w:eastAsia="ja-JP"/>
              </w:rPr>
            </w:pPr>
          </w:p>
        </w:tc>
        <w:tc>
          <w:tcPr>
            <w:tcW w:w="1161" w:type="dxa"/>
            <w:vAlign w:val="center"/>
          </w:tcPr>
          <w:p>
            <w:pPr>
              <w:rPr>
                <w:lang w:eastAsia="ja-JP"/>
              </w:rPr>
            </w:pPr>
          </w:p>
        </w:tc>
        <w:tc>
          <w:tcPr>
            <w:tcW w:w="1885" w:type="dxa"/>
            <w:vAlign w:val="center"/>
          </w:tcPr>
          <w:p>
            <w:pPr>
              <w:rPr>
                <w:lang w:eastAsia="ja-JP"/>
              </w:rPr>
            </w:pPr>
          </w:p>
        </w:tc>
        <w:tc>
          <w:tcPr>
            <w:tcW w:w="1587"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677" w:type="dxa"/>
            <w:vAlign w:val="center"/>
          </w:tcPr>
          <w:p>
            <w:pPr>
              <w:rPr>
                <w:lang w:eastAsia="ja-JP"/>
              </w:rPr>
            </w:pPr>
          </w:p>
        </w:tc>
        <w:tc>
          <w:tcPr>
            <w:tcW w:w="1161" w:type="dxa"/>
            <w:vAlign w:val="center"/>
          </w:tcPr>
          <w:p>
            <w:pPr>
              <w:rPr>
                <w:lang w:eastAsia="ja-JP"/>
              </w:rPr>
            </w:pPr>
          </w:p>
        </w:tc>
        <w:tc>
          <w:tcPr>
            <w:tcW w:w="1885" w:type="dxa"/>
            <w:vAlign w:val="center"/>
          </w:tcPr>
          <w:p>
            <w:pPr>
              <w:rPr>
                <w:lang w:eastAsia="ja-JP"/>
              </w:rPr>
            </w:pPr>
          </w:p>
        </w:tc>
        <w:tc>
          <w:tcPr>
            <w:tcW w:w="1587"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组长</w:t>
            </w:r>
          </w:p>
        </w:tc>
        <w:tc>
          <w:tcPr>
            <w:tcW w:w="711" w:type="dxa"/>
            <w:vAlign w:val="center"/>
          </w:tcPr>
          <w:p>
            <w:r>
              <w:t>女</w:t>
            </w:r>
          </w:p>
        </w:tc>
        <w:tc>
          <w:tcPr>
            <w:tcW w:w="3870" w:type="dxa"/>
            <w:vAlign w:val="center"/>
          </w:tcPr>
          <w:p>
            <w:r>
              <w:t>2020-N1EnMS-3021820</w:t>
            </w:r>
          </w:p>
        </w:tc>
        <w:tc>
          <w:tcPr>
            <w:tcW w:w="2179" w:type="dxa"/>
            <w:vAlign w:val="center"/>
          </w:tcPr>
          <w:p>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宋翠琳</w:t>
            </w:r>
          </w:p>
        </w:tc>
        <w:tc>
          <w:tcPr>
            <w:tcW w:w="1089" w:type="dxa"/>
            <w:vAlign w:val="center"/>
          </w:tcPr>
          <w:p>
            <w:r>
              <w:t>组员</w:t>
            </w:r>
          </w:p>
        </w:tc>
        <w:tc>
          <w:tcPr>
            <w:tcW w:w="711" w:type="dxa"/>
            <w:vAlign w:val="center"/>
          </w:tcPr>
          <w:p>
            <w:r>
              <w:t>女</w:t>
            </w:r>
          </w:p>
        </w:tc>
        <w:tc>
          <w:tcPr>
            <w:tcW w:w="3870" w:type="dxa"/>
            <w:vAlign w:val="center"/>
          </w:tcPr>
          <w:p>
            <w:r>
              <w:t>2022-N1EnMS-1082241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（见□QMS □EcMS□EMS□OHSMS</w:t>
      </w:r>
      <w:r>
        <w:rPr>
          <w:rFonts w:hint="eastAsia"/>
        </w:rPr>
        <w:sym w:font="Wingdings 2" w:char="0052"/>
      </w:r>
      <w:r>
        <w:rPr>
          <w:rFonts w:hint="eastAsia"/>
        </w:rPr>
        <w:t>EnMS□FSMS□HACCP的附件）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77470</wp:posOffset>
                  </wp:positionV>
                  <wp:extent cx="777240" cy="234950"/>
                  <wp:effectExtent l="0" t="0" r="0" b="5715"/>
                  <wp:wrapSquare wrapText="bothSides"/>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6"/>
                          <a:stretch>
                            <a:fillRect/>
                          </a:stretch>
                        </pic:blipFill>
                        <pic:spPr>
                          <a:xfrm>
                            <a:off x="0" y="0"/>
                            <a:ext cx="777240" cy="234950"/>
                          </a:xfrm>
                          <a:prstGeom prst="rect">
                            <a:avLst/>
                          </a:prstGeom>
                        </pic:spPr>
                      </pic:pic>
                    </a:graphicData>
                  </a:graphic>
                </wp:anchor>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2022.7.4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rPr>
                      <w:rFonts w:hint="eastAsia"/>
                    </w:rPr>
                    <w:t>活动、产品和服务</w:t>
                  </w:r>
                  <w:r>
                    <w:rPr>
                      <w:rFonts w:hint="eastAsia"/>
                    </w:rPr>
                    <w:sym w:font="Wingdings 2" w:char="0052"/>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rPr>
              <w:sym w:font="Wingdings 2" w:char="00A3"/>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A3"/>
            </w:r>
            <w:r>
              <w:rPr>
                <w:rFonts w:hint="eastAsia"/>
              </w:rPr>
              <w:t>生产</w:t>
            </w:r>
            <w:r>
              <w:rPr>
                <w:rFonts w:hint="eastAsia"/>
              </w:rPr>
              <w:sym w:font="Wingdings 2" w:char="00A3"/>
            </w:r>
            <w:r>
              <w:rPr>
                <w:rFonts w:hint="eastAsia"/>
              </w:rPr>
              <w:t>检验</w:t>
            </w:r>
            <w:r>
              <w:rPr>
                <w:rFonts w:hint="eastAsia"/>
              </w:rPr>
              <w:sym w:font="Wingdings 2" w:char="0052"/>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节约资源□满足限额要求</w:t>
            </w:r>
            <w:r>
              <w:rPr>
                <w:rFonts w:hint="eastAsia"/>
              </w:rPr>
              <w:sym w:font="Wingdings 2" w:char="0052"/>
            </w:r>
            <w:r>
              <w:rPr>
                <w:rFonts w:hint="eastAsia"/>
              </w:rPr>
              <w:t>主要用能设备管理□能耗测量</w:t>
            </w:r>
          </w:p>
          <w:p>
            <w:pPr>
              <w:shd w:val="clear" w:color="auto" w:fill="EBF1DE" w:themeFill="accent3" w:themeFillTint="32"/>
              <w:spacing w:before="40" w:after="40"/>
            </w:pPr>
            <w:r>
              <w:rPr>
                <w:rFonts w:hint="eastAsia"/>
              </w:rPr>
              <w:sym w:font="Wingdings 2" w:char="00A3"/>
            </w: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□生产/服务过程</w:t>
            </w:r>
            <w:r>
              <w:rPr>
                <w:rFonts w:hint="eastAsia"/>
              </w:rPr>
              <w:sym w:font="Wingdings 2" w:char="00A3"/>
            </w:r>
            <w:r>
              <w:rPr>
                <w:rFonts w:hint="eastAsia"/>
              </w:rPr>
              <w:t>能效监测</w:t>
            </w:r>
            <w:r>
              <w:rPr>
                <w:rFonts w:hint="eastAsia"/>
              </w:rPr>
              <w:sym w:font="Wingdings 2" w:char="0052"/>
            </w:r>
            <w:r>
              <w:rPr>
                <w:rFonts w:hint="eastAsia"/>
              </w:rPr>
              <w:t>设备维修</w:t>
            </w:r>
            <w:r>
              <w:rPr>
                <w:rFonts w:hint="eastAsia"/>
              </w:rPr>
              <w:sym w:font="Wingdings 2" w:char="00A3"/>
            </w:r>
            <w:r>
              <w:rPr>
                <w:rFonts w:hint="eastAsia"/>
              </w:rPr>
              <w:t>人员培训</w:t>
            </w:r>
            <w:r>
              <w:rPr>
                <w:rFonts w:hint="eastAsia"/>
              </w:rPr>
              <w:sym w:font="Wingdings 2" w:char="0052"/>
            </w:r>
            <w:r>
              <w:rPr>
                <w:rFonts w:hint="eastAsia"/>
              </w:rPr>
              <w:t>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r>
              <w:rPr>
                <w:rFonts w:hint="eastAsia"/>
                <w:color w:val="000000"/>
                <w:szCs w:val="18"/>
              </w:rPr>
              <w:t>遵守法规  清洁生产  创新改造  提高能效</w:t>
            </w:r>
          </w:p>
          <w:p>
            <w:pPr>
              <w:shd w:val="clear" w:color="auto" w:fill="EBF1DE" w:themeFill="accent3" w:themeFillTint="32"/>
              <w:rPr>
                <w:u w:val="single"/>
              </w:rPr>
            </w:pP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EnMS的主管部门是——</w:t>
            </w:r>
            <w:r>
              <w:rPr>
                <w:rFonts w:hint="eastAsia"/>
                <w:lang w:val="en-US" w:eastAsia="zh-CN"/>
              </w:rPr>
              <w:t xml:space="preserve">行政中心 </w:t>
            </w:r>
            <w:r>
              <w:rPr>
                <w:rFonts w:hint="eastAsia"/>
              </w:rPr>
              <w:sym w:font="Wingdings 2" w:char="0052"/>
            </w:r>
            <w:r>
              <w:rPr>
                <w:rFonts w:hint="eastAsia"/>
              </w:rPr>
              <w:t>能源管理团队</w:t>
            </w:r>
            <w:r>
              <w:rPr>
                <w:rFonts w:hint="eastAsia"/>
                <w:lang w:eastAsia="zh-CN"/>
              </w:rPr>
              <w:t>——</w:t>
            </w:r>
            <w:r>
              <w:rPr>
                <w:rFonts w:hint="eastAsia"/>
                <w:lang w:val="en-US" w:eastAsia="zh-CN"/>
              </w:rPr>
              <w:t>运营中心</w:t>
            </w:r>
          </w:p>
          <w:p>
            <w:pPr>
              <w:shd w:val="clear" w:color="auto" w:fill="EBF1DE" w:themeFill="accent3" w:themeFillTint="32"/>
              <w:rPr>
                <w:rFonts w:hint="eastAsia" w:eastAsia="宋体"/>
                <w:lang w:val="en-US" w:eastAsia="zh-CN"/>
              </w:rPr>
            </w:pPr>
            <w:r>
              <w:rPr>
                <w:rFonts w:hint="eastAsia"/>
              </w:rPr>
              <w:t>能源管理团队负责人是——</w:t>
            </w:r>
            <w:r>
              <w:rPr>
                <w:rFonts w:hint="eastAsia"/>
                <w:highlight w:val="none"/>
                <w:lang w:val="en-US" w:eastAsia="zh-CN"/>
              </w:rPr>
              <w:t>皋媛媛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法律法规的变化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及时更新掌握法律部法规的变化，进行合规性评价</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能源供应的中断</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及时了解供方的生产经营情况，寻求备用能源</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能源结构的变化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了解新能源的优势，及时调整</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rPr>
              <w:t>□蒸汽</w:t>
            </w:r>
            <w:r>
              <w:rPr>
                <w:rFonts w:hint="eastAsia"/>
              </w:rPr>
              <w:sym w:font="Wingdings 2" w:char="00A3"/>
            </w:r>
            <w:r>
              <w:rPr>
                <w:rFonts w:hint="eastAsia"/>
              </w:rPr>
              <w:t>天然气□燃料油□燃料气</w:t>
            </w:r>
            <w:r>
              <w:rPr>
                <w:rFonts w:hint="eastAsia"/>
              </w:rPr>
              <w:sym w:font="Wingdings 2" w:char="0052"/>
            </w:r>
            <w:r>
              <w:rPr>
                <w:rFonts w:hint="eastAsia"/>
              </w:rPr>
              <w:t>电力</w:t>
            </w:r>
            <w:r>
              <w:rPr>
                <w:rFonts w:hint="eastAsia"/>
              </w:rPr>
              <w:sym w:font="Wingdings 2" w:char="00A3"/>
            </w:r>
            <w:r>
              <w:rPr>
                <w:rFonts w:hint="eastAsia"/>
              </w:rPr>
              <w:t>氮气□风</w:t>
            </w:r>
            <w:r>
              <w:rPr>
                <w:rFonts w:hint="eastAsia"/>
              </w:rPr>
              <w:sym w:font="Wingdings 2" w:char="0052"/>
            </w:r>
            <w:r>
              <w:rPr>
                <w:rFonts w:hint="eastAsia"/>
              </w:rPr>
              <w:t>新鲜水□各种品质水</w:t>
            </w:r>
          </w:p>
          <w:p>
            <w:pPr>
              <w:jc w:val="left"/>
              <w:rPr>
                <w:rFonts w:hint="default" w:eastAsia="宋体"/>
                <w:lang w:val="en-US" w:eastAsia="zh-CN"/>
              </w:rPr>
            </w:pPr>
            <w:r>
              <w:rPr>
                <w:rFonts w:hint="eastAsia"/>
              </w:rPr>
              <w:sym w:font="Wingdings 2" w:char="00A3"/>
            </w:r>
            <w:r>
              <w:rPr>
                <w:rFonts w:hint="eastAsia"/>
              </w:rPr>
              <w:t>其他</w:t>
            </w:r>
            <w:r>
              <w:rPr>
                <w:rFonts w:hint="eastAsia"/>
                <w:lang w:val="en-US" w:eastAsia="zh-CN"/>
              </w:rPr>
              <w:t>汽油、柴油</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rPr>
                <w:rFonts w:hint="default" w:eastAsia="宋体"/>
                <w:lang w:val="en-US" w:eastAsia="zh-CN"/>
              </w:rPr>
            </w:pPr>
            <w:r>
              <w:rPr>
                <w:rFonts w:hint="eastAsia" w:asciiTheme="majorEastAsia" w:hAnsiTheme="majorEastAsia" w:eastAsiaTheme="majorEastAsia"/>
              </w:rPr>
              <w:t>能源绩效参数包括但不限于：</w:t>
            </w:r>
            <w:r>
              <w:rPr>
                <w:rFonts w:hint="eastAsia"/>
              </w:rPr>
              <w:sym w:font="Wingdings 2" w:char="0052"/>
            </w:r>
            <w:r>
              <w:rPr>
                <w:rFonts w:hint="eastAsia"/>
              </w:rPr>
              <w:t>单位产品综合能耗</w:t>
            </w:r>
            <w:r>
              <w:rPr>
                <w:rFonts w:hint="eastAsia"/>
              </w:rPr>
              <w:sym w:font="Wingdings 2" w:char="0052"/>
            </w:r>
            <w:r>
              <w:rPr>
                <w:rFonts w:hint="eastAsia"/>
              </w:rPr>
              <w:t>能源消费总量□单位产品蒸汽消耗□单位产品燃料气消耗□加热炉热效率</w:t>
            </w:r>
            <w:r>
              <w:rPr>
                <w:rFonts w:hint="eastAsia"/>
              </w:rPr>
              <w:sym w:font="Wingdings 2" w:char="0052"/>
            </w:r>
            <w:r>
              <w:rPr>
                <w:rFonts w:hint="eastAsia"/>
              </w:rPr>
              <w:t>其他</w:t>
            </w:r>
            <w:r>
              <w:rPr>
                <w:rFonts w:hint="eastAsia"/>
                <w:lang w:eastAsia="zh-CN"/>
              </w:rPr>
              <w:t>，</w:t>
            </w:r>
            <w:r>
              <w:rPr>
                <w:rFonts w:hint="eastAsia"/>
                <w:lang w:val="en-US" w:eastAsia="zh-CN"/>
              </w:rPr>
              <w:t>单位产值综合能耗</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□节能评估报告编号/日期：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能源评审报告编号/日期：</w:t>
            </w:r>
            <w:r>
              <w:rPr>
                <w:rFonts w:hint="eastAsia"/>
                <w:lang w:val="en-US" w:eastAsia="zh-CN"/>
              </w:rPr>
              <w:t>2022.3</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w:t>
            </w:r>
            <w:r>
              <w:rPr>
                <w:rFonts w:hint="eastAsia"/>
              </w:rPr>
              <w:sym w:font="Wingdings 2" w:char="0052"/>
            </w:r>
            <w:r>
              <w:rPr>
                <w:rFonts w:hint="eastAsia"/>
              </w:rPr>
              <w:t>能源计量管理</w:t>
            </w:r>
            <w:r>
              <w:rPr>
                <w:rFonts w:hint="eastAsia"/>
              </w:rPr>
              <w:sym w:font="Wingdings 2" w:char="0052"/>
            </w:r>
            <w:r>
              <w:rPr>
                <w:rFonts w:hint="eastAsia"/>
              </w:rPr>
              <w:t>使用节能设备</w:t>
            </w:r>
            <w:r>
              <w:rPr>
                <w:rFonts w:hint="eastAsia"/>
              </w:rPr>
              <w:sym w:font="Wingdings 2" w:char="0052"/>
            </w:r>
            <w:r>
              <w:rPr>
                <w:rFonts w:hint="eastAsia"/>
              </w:rPr>
              <w:t>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354"/>
              <w:gridCol w:w="1126"/>
              <w:gridCol w:w="2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节能目标</w:t>
                  </w:r>
                </w:p>
              </w:tc>
              <w:tc>
                <w:tcPr>
                  <w:tcW w:w="2354"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126"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2797"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kern w:val="2"/>
                      <w:sz w:val="21"/>
                      <w:szCs w:val="24"/>
                      <w:highlight w:val="yellow"/>
                      <w:lang w:val="en-US" w:eastAsia="zh-CN" w:bidi="ar-SA"/>
                    </w:rPr>
                  </w:pPr>
                  <w:r>
                    <w:rPr>
                      <w:rFonts w:hint="eastAsia" w:ascii="宋体" w:hAnsi="宋体" w:eastAsia="宋体" w:cs="宋体"/>
                      <w:i w:val="0"/>
                      <w:color w:val="000000"/>
                      <w:kern w:val="0"/>
                      <w:sz w:val="22"/>
                      <w:szCs w:val="22"/>
                      <w:u w:val="none"/>
                      <w:lang w:val="en-US" w:eastAsia="zh-CN" w:bidi="ar"/>
                    </w:rPr>
                    <w:t>综合能耗，</w:t>
                  </w:r>
                  <w:r>
                    <w:rPr>
                      <w:rFonts w:hint="eastAsia" w:ascii="宋体" w:hAnsi="宋体" w:cs="宋体"/>
                      <w:i w:val="0"/>
                      <w:color w:val="000000"/>
                      <w:kern w:val="0"/>
                      <w:sz w:val="22"/>
                      <w:szCs w:val="22"/>
                      <w:u w:val="none"/>
                      <w:lang w:val="en-US" w:eastAsia="zh-CN" w:bidi="ar"/>
                    </w:rPr>
                    <w:t>4970</w:t>
                  </w:r>
                  <w:r>
                    <w:rPr>
                      <w:rFonts w:hint="eastAsia" w:ascii="宋体" w:hAnsi="宋体" w:eastAsia="宋体" w:cs="宋体"/>
                      <w:i w:val="0"/>
                      <w:color w:val="000000"/>
                      <w:kern w:val="0"/>
                      <w:sz w:val="22"/>
                      <w:szCs w:val="22"/>
                      <w:u w:val="none"/>
                      <w:lang w:val="en-US" w:eastAsia="zh-CN" w:bidi="ar"/>
                    </w:rPr>
                    <w:t>kgce</w:t>
                  </w:r>
                </w:p>
              </w:tc>
              <w:tc>
                <w:tcPr>
                  <w:tcW w:w="2354"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GB" w:eastAsia="zh-CN" w:bidi="ar-SA"/>
                    </w:rPr>
                  </w:pPr>
                  <w:r>
                    <w:rPr>
                      <w:rFonts w:hint="eastAsia"/>
                      <w:highlight w:val="none"/>
                      <w:lang w:val="en-US" w:eastAsia="zh-CN"/>
                    </w:rPr>
                    <w:t>加强节能管理</w:t>
                  </w:r>
                </w:p>
              </w:tc>
              <w:tc>
                <w:tcPr>
                  <w:tcW w:w="1126"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GB" w:eastAsia="zh-CN" w:bidi="ar-SA"/>
                    </w:rPr>
                  </w:pPr>
                  <w:r>
                    <w:rPr>
                      <w:rFonts w:hint="eastAsia"/>
                      <w:highlight w:val="none"/>
                      <w:lang w:val="en-US" w:eastAsia="zh-CN"/>
                    </w:rPr>
                    <w:t>行政中心</w:t>
                  </w:r>
                </w:p>
              </w:tc>
              <w:tc>
                <w:tcPr>
                  <w:tcW w:w="2797" w:type="dxa"/>
                  <w:shd w:val="clear" w:color="auto" w:fill="auto"/>
                  <w:vAlign w:val="center"/>
                </w:tcPr>
                <w:p>
                  <w:pPr>
                    <w:shd w:val="clear" w:color="auto" w:fill="EBF1DE" w:themeFill="accent3" w:themeFillTint="32"/>
                    <w:rPr>
                      <w:rFonts w:hint="eastAsia" w:ascii="Times New Roman" w:hAnsi="Times New Roman" w:eastAsia="宋体" w:cs="Times New Roman"/>
                      <w:highlight w:val="none"/>
                      <w:lang w:val="en-GB" w:eastAsia="zh-CN"/>
                    </w:rPr>
                  </w:pPr>
                  <w:r>
                    <w:rPr>
                      <w:rFonts w:hint="eastAsia" w:ascii="Times New Roman" w:hAnsi="Times New Roman" w:eastAsia="宋体" w:cs="Times New Roman"/>
                      <w:highlight w:val="none"/>
                      <w:lang w:val="en-US" w:eastAsia="zh-CN"/>
                    </w:rPr>
                    <w:t>4961.527——完成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1" w:type="dxa"/>
                  <w:shd w:val="clear" w:color="auto" w:fill="auto"/>
                  <w:vAlign w:val="center"/>
                </w:tcPr>
                <w:p>
                  <w:pPr>
                    <w:keepNext w:val="0"/>
                    <w:keepLines w:val="0"/>
                    <w:widowControl/>
                    <w:suppressLineNumbers w:val="0"/>
                    <w:jc w:val="left"/>
                    <w:textAlignment w:val="center"/>
                    <w:rPr>
                      <w:rFonts w:ascii="Times New Roman" w:hAnsi="Times New Roman" w:eastAsia="宋体" w:cs="Times New Roman"/>
                      <w:kern w:val="2"/>
                      <w:sz w:val="21"/>
                      <w:szCs w:val="24"/>
                      <w:highlight w:val="yellow"/>
                      <w:lang w:val="en-US" w:eastAsia="zh-CN" w:bidi="ar-SA"/>
                    </w:rPr>
                  </w:pPr>
                  <w:r>
                    <w:rPr>
                      <w:rStyle w:val="27"/>
                      <w:lang w:val="en-US" w:eastAsia="zh-CN" w:bidi="ar"/>
                    </w:rPr>
                    <w:t>总部单位面积综合能耗，</w:t>
                  </w:r>
                  <w:r>
                    <w:rPr>
                      <w:rStyle w:val="27"/>
                      <w:rFonts w:hint="eastAsia"/>
                      <w:lang w:val="en-US" w:eastAsia="zh-CN" w:bidi="ar"/>
                    </w:rPr>
                    <w:t>≤0.23</w:t>
                  </w:r>
                  <w:r>
                    <w:rPr>
                      <w:rStyle w:val="27"/>
                      <w:lang w:val="en-US" w:eastAsia="zh-CN" w:bidi="ar"/>
                    </w:rPr>
                    <w:t>kgce/m</w:t>
                  </w:r>
                  <w:r>
                    <w:rPr>
                      <w:rStyle w:val="28"/>
                      <w:lang w:val="en-US" w:eastAsia="zh-CN" w:bidi="ar"/>
                    </w:rPr>
                    <w:t>2</w:t>
                  </w:r>
                  <w:r>
                    <w:rPr>
                      <w:rStyle w:val="27"/>
                      <w:lang w:val="en-US" w:eastAsia="zh-CN" w:bidi="ar"/>
                    </w:rPr>
                    <w:t xml:space="preserve">·a </w:t>
                  </w:r>
                </w:p>
              </w:tc>
              <w:tc>
                <w:tcPr>
                  <w:tcW w:w="2354" w:type="dxa"/>
                  <w:shd w:val="clear" w:color="auto" w:fill="auto"/>
                  <w:vAlign w:val="center"/>
                </w:tcPr>
                <w:p>
                  <w:pPr>
                    <w:shd w:val="clear" w:color="auto" w:fill="EBF1DE" w:themeFill="accent3" w:themeFillTint="32"/>
                    <w:rPr>
                      <w:rFonts w:hint="default" w:ascii="宋体" w:hAnsi="宋体" w:eastAsia="宋体" w:cs="Times New Roman"/>
                      <w:kern w:val="2"/>
                      <w:sz w:val="21"/>
                      <w:szCs w:val="24"/>
                      <w:highlight w:val="none"/>
                      <w:lang w:val="en-US" w:eastAsia="zh-CN" w:bidi="ar-SA"/>
                    </w:rPr>
                  </w:pPr>
                  <w:r>
                    <w:rPr>
                      <w:rFonts w:hint="eastAsia"/>
                      <w:highlight w:val="none"/>
                      <w:lang w:val="en-US" w:eastAsia="zh-CN"/>
                    </w:rPr>
                    <w:t>加强节能管理</w:t>
                  </w:r>
                </w:p>
              </w:tc>
              <w:tc>
                <w:tcPr>
                  <w:tcW w:w="1126" w:type="dxa"/>
                  <w:shd w:val="clear" w:color="auto" w:fill="auto"/>
                  <w:vAlign w:val="center"/>
                </w:tcPr>
                <w:p>
                  <w:pPr>
                    <w:shd w:val="clear" w:color="auto" w:fill="EBF1DE" w:themeFill="accent3" w:themeFillTint="32"/>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行政中心</w:t>
                  </w:r>
                </w:p>
              </w:tc>
              <w:tc>
                <w:tcPr>
                  <w:tcW w:w="2797" w:type="dxa"/>
                  <w:shd w:val="clear" w:color="auto" w:fill="auto"/>
                  <w:vAlign w:val="center"/>
                </w:tcPr>
                <w:p>
                  <w:pPr>
                    <w:shd w:val="clear" w:color="auto" w:fill="EBF1DE" w:themeFill="accent3" w:themeFillTint="32"/>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w:t>
                  </w:r>
                  <w:bookmarkStart w:id="34" w:name="_GoBack"/>
                  <w:bookmarkEnd w:id="34"/>
                  <w:r>
                    <w:rPr>
                      <w:rFonts w:hint="eastAsia" w:ascii="Times New Roman" w:hAnsi="Times New Roman" w:eastAsia="宋体" w:cs="Times New Roman"/>
                      <w:highlight w:val="none"/>
                      <w:lang w:val="en-US" w:eastAsia="zh-CN"/>
                    </w:rPr>
                    <w:t>226 ——完成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highlight w:val="yellow"/>
                    </w:rPr>
                  </w:pPr>
                  <w:r>
                    <w:rPr>
                      <w:rStyle w:val="27"/>
                      <w:lang w:val="en-US" w:eastAsia="zh-CN" w:bidi="ar"/>
                    </w:rPr>
                    <w:t>隆亭新苑项目单位面积综合能耗，</w:t>
                  </w:r>
                  <w:r>
                    <w:rPr>
                      <w:rStyle w:val="27"/>
                      <w:rFonts w:hint="eastAsia"/>
                      <w:lang w:val="en-US" w:eastAsia="zh-CN" w:bidi="ar"/>
                    </w:rPr>
                    <w:t>≤0.034</w:t>
                  </w:r>
                  <w:r>
                    <w:rPr>
                      <w:rStyle w:val="27"/>
                      <w:lang w:val="en-US" w:eastAsia="zh-CN" w:bidi="ar"/>
                    </w:rPr>
                    <w:t>kgce/m</w:t>
                  </w:r>
                  <w:r>
                    <w:rPr>
                      <w:rStyle w:val="28"/>
                      <w:lang w:val="en-US" w:eastAsia="zh-CN" w:bidi="ar"/>
                    </w:rPr>
                    <w:t>2</w:t>
                  </w:r>
                  <w:r>
                    <w:rPr>
                      <w:rStyle w:val="27"/>
                      <w:lang w:val="en-US" w:eastAsia="zh-CN" w:bidi="ar"/>
                    </w:rPr>
                    <w:t xml:space="preserve">·a </w:t>
                  </w:r>
                </w:p>
              </w:tc>
              <w:tc>
                <w:tcPr>
                  <w:tcW w:w="2354" w:type="dxa"/>
                  <w:shd w:val="clear" w:color="auto" w:fill="auto"/>
                  <w:vAlign w:val="center"/>
                </w:tcPr>
                <w:p>
                  <w:pPr>
                    <w:shd w:val="clear" w:color="auto" w:fill="EBF1DE" w:themeFill="accent3" w:themeFillTint="32"/>
                    <w:rPr>
                      <w:rFonts w:hint="default" w:ascii="宋体" w:hAnsi="宋体"/>
                      <w:highlight w:val="none"/>
                      <w:lang w:val="en-US"/>
                    </w:rPr>
                  </w:pPr>
                  <w:r>
                    <w:rPr>
                      <w:rFonts w:hint="eastAsia"/>
                      <w:highlight w:val="none"/>
                      <w:lang w:val="en-US" w:eastAsia="zh-CN"/>
                    </w:rPr>
                    <w:t>加强节能管理</w:t>
                  </w:r>
                </w:p>
              </w:tc>
              <w:tc>
                <w:tcPr>
                  <w:tcW w:w="1126"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r>
                    <w:rPr>
                      <w:rFonts w:hint="eastAsia" w:ascii="宋体" w:hAnsi="宋体"/>
                      <w:highlight w:val="none"/>
                      <w:lang w:val="en-US" w:eastAsia="zh-CN"/>
                    </w:rPr>
                    <w:t>运营中心</w:t>
                  </w:r>
                </w:p>
              </w:tc>
              <w:tc>
                <w:tcPr>
                  <w:tcW w:w="2797" w:type="dxa"/>
                  <w:shd w:val="clear" w:color="auto" w:fill="auto"/>
                  <w:vAlign w:val="center"/>
                </w:tcPr>
                <w:p>
                  <w:pPr>
                    <w:shd w:val="clear" w:color="auto" w:fill="EBF1DE" w:themeFill="accent3" w:themeFillTint="32"/>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0.0373 未完成，进行了原因分析。</w:t>
                  </w:r>
                </w:p>
              </w:tc>
            </w:tr>
          </w:tbl>
          <w:p>
            <w:pPr>
              <w:shd w:val="clear" w:color="auto" w:fill="EBF1DE" w:themeFill="accent3" w:themeFillTint="32"/>
              <w:rPr>
                <w:rFonts w:hint="default" w:eastAsia="宋体"/>
                <w:highlight w:val="none"/>
                <w:lang w:val="en-US" w:eastAsia="zh-CN"/>
              </w:rPr>
            </w:pPr>
            <w:r>
              <w:rPr>
                <w:rFonts w:hint="eastAsia" w:ascii="Wingdings" w:hAnsi="Wingdings"/>
                <w:highlight w:val="none"/>
                <w:lang w:eastAsia="zh-CN"/>
              </w:rPr>
              <w:sym w:font="Wingdings 2" w:char="0052"/>
            </w:r>
            <w:r>
              <w:rPr>
                <w:rFonts w:hint="eastAsia"/>
                <w:highlight w:val="none"/>
              </w:rPr>
              <w:t>目标已</w:t>
            </w:r>
            <w:r>
              <w:rPr>
                <w:rFonts w:hint="eastAsia"/>
                <w:highlight w:val="none"/>
                <w:lang w:val="en-US" w:eastAsia="zh-CN"/>
              </w:rPr>
              <w:t>部分</w:t>
            </w:r>
            <w:r>
              <w:rPr>
                <w:rFonts w:hint="eastAsia"/>
                <w:highlight w:val="none"/>
              </w:rPr>
              <w:t>实现</w:t>
            </w:r>
            <w:r>
              <w:rPr>
                <w:rFonts w:hint="eastAsia"/>
                <w:highlight w:val="none"/>
                <w:lang w:eastAsia="zh-CN"/>
              </w:rPr>
              <w:t>，</w:t>
            </w:r>
            <w:r>
              <w:rPr>
                <w:rFonts w:hint="eastAsia"/>
                <w:highlight w:val="none"/>
                <w:lang w:val="en-US" w:eastAsia="zh-CN"/>
              </w:rPr>
              <w:t>单位产品综合能耗和单位产值综合能耗高于指标值。</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sym w:font="Wingdings 2" w:char="0052"/>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highlight w:val="none"/>
                <w:lang w:val="en-US" w:eastAsia="zh-CN"/>
              </w:rPr>
              <w:t>建筑</w:t>
            </w:r>
            <w:r>
              <w:rPr>
                <w:rFonts w:hint="eastAsia"/>
                <w:highlight w:val="none"/>
              </w:rPr>
              <w:t>面积：</w:t>
            </w:r>
            <w:r>
              <w:rPr>
                <w:rFonts w:hint="eastAsia"/>
                <w:highlight w:val="none"/>
                <w:lang w:val="en-US" w:eastAsia="zh-CN"/>
              </w:rPr>
              <w:t>总部857.29</w:t>
            </w:r>
            <w:r>
              <w:rPr>
                <w:rFonts w:hint="eastAsia"/>
                <w:highlight w:val="none"/>
              </w:rPr>
              <w:t>平方，</w:t>
            </w:r>
            <w:r>
              <w:rPr>
                <w:rFonts w:hint="eastAsia"/>
                <w:highlight w:val="none"/>
                <w:lang w:val="en-US" w:eastAsia="zh-CN"/>
              </w:rPr>
              <w:t>隆亭新苑</w:t>
            </w:r>
            <w:r>
              <w:rPr>
                <w:rFonts w:hint="eastAsia"/>
                <w:highlight w:val="none"/>
              </w:rPr>
              <w:t>建筑面积</w:t>
            </w:r>
            <w:r>
              <w:rPr>
                <w:rFonts w:hint="eastAsia" w:ascii="宋体" w:hAnsi="宋体" w:cs="宋体"/>
                <w:b/>
                <w:bCs/>
                <w:kern w:val="0"/>
                <w:sz w:val="18"/>
                <w:szCs w:val="18"/>
                <w:highlight w:val="none"/>
                <w:lang w:val="en-US" w:eastAsia="zh-CN"/>
              </w:rPr>
              <w:t>127843.77</w:t>
            </w:r>
            <w:r>
              <w:rPr>
                <w:rFonts w:hint="eastAsia"/>
                <w:highlight w:val="none"/>
              </w:rPr>
              <w:t>平方米</w:t>
            </w:r>
            <w:r>
              <w:rPr>
                <w:rFonts w:hint="eastAsia"/>
              </w:rPr>
              <w:t>；；库房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EBF1DE" w:themeFill="accent3" w:themeFillTint="32"/>
              <w:rPr>
                <w:u w:val="single"/>
              </w:rPr>
            </w:pPr>
            <w:r>
              <w:rPr>
                <w:rFonts w:hint="eastAsia"/>
              </w:rPr>
              <w:t>主要生产设备有：</w:t>
            </w:r>
            <w:r>
              <w:rPr>
                <w:rFonts w:hint="eastAsia"/>
                <w:u w:val="single"/>
                <w:lang w:val="en-US" w:eastAsia="zh-CN"/>
              </w:rPr>
              <w:t>风机、变电室、消防泵、电梯</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u w:val="single"/>
                <w:lang w:val="en-US" w:eastAsia="zh-CN"/>
              </w:rPr>
              <w:t>消防泵、电梯</w:t>
            </w:r>
            <w:r>
              <w:rPr>
                <w:rFonts w:hint="eastAsia"/>
                <w:color w:val="000000"/>
                <w:szCs w:val="22"/>
                <w:u w:val="single"/>
              </w:rPr>
              <w:t>、</w:t>
            </w:r>
            <w:r>
              <w:rPr>
                <w:rFonts w:hint="eastAsia"/>
                <w:color w:val="000000"/>
                <w:szCs w:val="22"/>
                <w:u w:val="single"/>
                <w:lang w:val="en-US" w:eastAsia="zh-CN"/>
              </w:rPr>
              <w:t>变压器等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sym w:font="Wingdings 2" w:char="00A3"/>
            </w:r>
            <w:r>
              <w:rPr>
                <w:rFonts w:hint="eastAsia"/>
              </w:rPr>
              <w:t>叉车</w:t>
            </w:r>
            <w:r>
              <w:rPr>
                <w:rFonts w:hint="eastAsia" w:ascii="Wingdings" w:hAnsi="Wingdings"/>
                <w:lang w:eastAsia="zh-CN"/>
              </w:rPr>
              <w:sym w:font="Wingdings 2" w:char="00A3"/>
            </w:r>
            <w:r>
              <w:rPr>
                <w:rFonts w:hint="eastAsia"/>
              </w:rPr>
              <w:t>行车</w:t>
            </w:r>
            <w:r>
              <w:rPr>
                <w:rFonts w:hint="eastAsia" w:ascii="Wingdings" w:hAnsi="Wingdings"/>
                <w:lang w:eastAsia="zh-CN"/>
              </w:rPr>
              <w:sym w:font="Wingdings 2" w:char="00A3"/>
            </w:r>
            <w:r>
              <w:rPr>
                <w:rFonts w:hint="eastAsia"/>
              </w:rPr>
              <w:t>锅炉</w:t>
            </w:r>
            <w:r>
              <w:rPr>
                <w:rFonts w:hint="eastAsia" w:ascii="Wingdings" w:hAnsi="Wingdings"/>
                <w:lang w:eastAsia="zh-CN"/>
              </w:rPr>
              <w:t>□</w:t>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sym w:font="Wingdings 2" w:char="00A3"/>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sym w:font="Wingdings 2" w:char="00A3"/>
            </w:r>
            <w:r>
              <w:rPr>
                <w:rFonts w:hint="eastAsia"/>
              </w:rPr>
              <w:t>空压站</w:t>
            </w:r>
            <w:r>
              <w:rPr>
                <w:rFonts w:hint="eastAsia" w:ascii="Wingdings" w:hAnsi="Wingdings"/>
                <w:lang w:eastAsia="zh-CN"/>
              </w:rPr>
              <w:sym w:font="Wingdings 2" w:char="00A3"/>
            </w:r>
            <w:r>
              <w:rPr>
                <w:rFonts w:hint="eastAsia"/>
              </w:rPr>
              <w:t>锅炉房</w:t>
            </w:r>
            <w:r>
              <w:rPr>
                <w:rFonts w:hint="eastAsia" w:ascii="Wingdings" w:hAnsi="Wingdings"/>
                <w:lang w:eastAsia="zh-CN"/>
              </w:rPr>
              <w:sym w:font="Wingdings 2" w:char="00A3"/>
            </w:r>
            <w:r>
              <w:rPr>
                <w:rFonts w:hint="eastAsia"/>
              </w:rPr>
              <w:t>食堂</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能源计量器具有：</w:t>
            </w:r>
            <w:r>
              <w:rPr>
                <w:rFonts w:hint="eastAsia"/>
                <w:u w:val="single"/>
                <w:lang w:val="en-US" w:eastAsia="zh-CN"/>
              </w:rPr>
              <w:t>电表、水表</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highlight w:val="none"/>
                <w:lang w:eastAsia="zh-CN"/>
              </w:rPr>
              <w:sym w:font="Wingdings 2" w:char="00A3"/>
            </w:r>
            <w:r>
              <w:rPr>
                <w:rFonts w:hint="eastAsia"/>
                <w:highlight w:val="none"/>
              </w:rPr>
              <w:t>进行了定期校准</w:t>
            </w:r>
            <w:r>
              <w:rPr>
                <w:rFonts w:hint="eastAsia"/>
              </w:rPr>
              <w:t>/检定</w:t>
            </w:r>
            <w:r>
              <w:rPr>
                <w:rFonts w:hint="eastAsia" w:ascii="Wingdings" w:hAnsi="Wingdings"/>
                <w:lang w:eastAsia="zh-CN"/>
              </w:rPr>
              <w:sym w:font="Wingdings 2" w:char="0052"/>
            </w:r>
            <w:r>
              <w:rPr>
                <w:rFonts w:hint="eastAsia"/>
              </w:rPr>
              <w:t>未</w:t>
            </w:r>
            <w:r>
              <w:rPr>
                <w:rFonts w:hint="eastAsia"/>
                <w:lang w:val="en-US" w:eastAsia="zh-CN"/>
              </w:rPr>
              <w:t>提供</w:t>
            </w:r>
            <w:r>
              <w:rPr>
                <w:rFonts w:hint="eastAsia"/>
              </w:rPr>
              <w:t>行定期校准/检定</w:t>
            </w:r>
            <w:r>
              <w:rPr>
                <w:rFonts w:hint="eastAsia"/>
                <w:lang w:val="en-US" w:eastAsia="zh-CN"/>
              </w:rPr>
              <w:t>报告，企业介绍</w:t>
            </w:r>
            <w:r>
              <w:rPr>
                <w:rFonts w:hint="eastAsia"/>
              </w:rPr>
              <w:t>：</w:t>
            </w:r>
            <w:r>
              <w:rPr>
                <w:rFonts w:hint="eastAsia"/>
                <w:lang w:val="en-US" w:eastAsia="zh-CN"/>
              </w:rPr>
              <w:t>一级计量如电表、水表</w:t>
            </w:r>
            <w:r>
              <w:rPr>
                <w:rFonts w:hint="eastAsia"/>
                <w:highlight w:val="none"/>
                <w:lang w:val="en-US" w:eastAsia="zh-CN"/>
              </w:rPr>
              <w:t>由供方校验</w:t>
            </w:r>
            <w:r>
              <w:rPr>
                <w:rFonts w:hint="eastAsia"/>
                <w:lang w:val="en-US" w:eastAsia="zh-CN"/>
              </w:rPr>
              <w:t>。已与企业进行沟通，建议向供方获取检定或校准资料。内部水表电表未提供校准证据，企业介绍：隆亭新苑，水电表校正，不是物业负责的，由自来水公司和供电局负责。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组织为满足节能管理的要求，已对用能过程建立了相应的运行准则；按照运行准则实施过程控制。策划文件包括：</w:t>
            </w:r>
          </w:p>
          <w:p>
            <w:pPr>
              <w:shd w:val="clear" w:color="auto" w:fill="EBF1DE" w:themeFill="accent3" w:themeFillTint="32"/>
            </w:pPr>
            <w:r>
              <w:rPr>
                <w:rFonts w:hint="eastAsia" w:ascii="Wingdings" w:hAnsi="Wingdings"/>
                <w:color w:val="auto"/>
                <w:lang w:eastAsia="zh-CN"/>
              </w:rPr>
              <w:t>□</w:t>
            </w:r>
            <w:r>
              <w:rPr>
                <w:rFonts w:hint="eastAsia"/>
                <w:color w:val="auto"/>
              </w:rPr>
              <w:t>操作规程</w:t>
            </w:r>
            <w:r>
              <w:rPr>
                <w:rFonts w:hint="eastAsia" w:ascii="Wingdings" w:hAnsi="Wingdings"/>
                <w:color w:val="auto"/>
                <w:lang w:eastAsia="zh-CN"/>
              </w:rPr>
              <w:sym w:font="Wingdings 2" w:char="0052"/>
            </w:r>
            <w:r>
              <w:rPr>
                <w:rFonts w:hint="eastAsia"/>
                <w:color w:val="auto"/>
              </w:rPr>
              <w:t>作业文件</w:t>
            </w:r>
            <w:r>
              <w:rPr>
                <w:rFonts w:hint="eastAsia" w:ascii="Wingdings" w:hAnsi="Wingdings"/>
                <w:color w:val="auto"/>
                <w:lang w:eastAsia="zh-CN"/>
              </w:rPr>
              <w:t>□</w:t>
            </w:r>
            <w:r>
              <w:rPr>
                <w:rFonts w:hint="eastAsia"/>
                <w:color w:val="auto"/>
              </w:rPr>
              <w:t>工艺卡片</w:t>
            </w:r>
            <w:r>
              <w:rPr>
                <w:rFonts w:hint="eastAsia" w:ascii="Wingdings" w:hAnsi="Wingdings"/>
                <w:color w:val="auto"/>
                <w:lang w:eastAsia="zh-CN"/>
              </w:rPr>
              <w:sym w:font="Wingdings 2" w:char="0052"/>
            </w:r>
            <w:r>
              <w:rPr>
                <w:rFonts w:hint="eastAsia"/>
                <w:color w:val="auto"/>
              </w:rPr>
              <w:t>接收准则</w:t>
            </w:r>
            <w:r>
              <w:rPr>
                <w:rFonts w:hint="eastAsia" w:ascii="Wingdings" w:hAnsi="Wingdings"/>
                <w:color w:val="auto"/>
                <w:lang w:eastAsia="zh-CN"/>
              </w:rPr>
              <w:t>□</w:t>
            </w:r>
            <w:r>
              <w:rPr>
                <w:rFonts w:hint="eastAsia"/>
                <w:color w:val="auto"/>
              </w:rPr>
              <w:t>工艺流程图</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 xml:space="preserve">   </w:t>
            </w:r>
            <w:r>
              <w:rPr>
                <w:rFonts w:hint="eastAsia"/>
                <w:highlight w:val="none"/>
                <w:u w:val="single"/>
                <w:lang w:val="en-US" w:eastAsia="zh-CN"/>
              </w:rPr>
              <w:t xml:space="preserve">无  </w:t>
            </w:r>
            <w:r>
              <w:rPr>
                <w:rFonts w:hint="eastAsia"/>
                <w:highlight w:val="none"/>
                <w:u w:val="single"/>
              </w:rPr>
              <w:t>（</w:t>
            </w:r>
            <w:r>
              <w:rPr>
                <w:rFonts w:hint="eastAsia"/>
                <w:highlight w:val="none"/>
              </w:rPr>
              <w:t>举1例）</w:t>
            </w:r>
          </w:p>
          <w:p>
            <w:pPr>
              <w:shd w:val="clear" w:color="auto" w:fill="EBF1DE" w:themeFill="accent3" w:themeFillTint="32"/>
            </w:pPr>
            <w:r>
              <w:rPr>
                <w:rFonts w:hint="eastAsia"/>
              </w:rPr>
              <w:t>对该设计和开发的项目进行了</w:t>
            </w:r>
            <w:r>
              <w:rPr>
                <w:rFonts w:hint="eastAsia"/>
                <w:lang w:val="en-US" w:eastAsia="zh-CN"/>
              </w:rPr>
              <w:t>项目备案</w:t>
            </w:r>
            <w:r>
              <w:rPr>
                <w:rFonts w:hint="eastAsia"/>
              </w:rPr>
              <w:t>，并制订了相应的控制措施。</w:t>
            </w:r>
          </w:p>
          <w:p>
            <w:pPr>
              <w:shd w:val="clear" w:color="auto" w:fill="EBF1DE" w:themeFill="accent3" w:themeFillTint="32"/>
            </w:pP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能源采购</w:t>
            </w:r>
            <w:r>
              <w:rPr>
                <w:rFonts w:hint="eastAsia" w:ascii="Wingdings" w:hAnsi="Wingdings"/>
                <w:lang w:eastAsia="zh-CN"/>
              </w:rPr>
              <w:sym w:font="Wingdings 2" w:char="0052"/>
            </w:r>
            <w:r>
              <w:rPr>
                <w:rFonts w:hint="eastAsia"/>
                <w:lang w:val="en-US" w:eastAsia="zh-CN"/>
              </w:rPr>
              <w:t>节能</w:t>
            </w:r>
            <w:r>
              <w:rPr>
                <w:rFonts w:hint="eastAsia"/>
              </w:rPr>
              <w:t>设备采购</w:t>
            </w:r>
            <w:r>
              <w:rPr>
                <w:rFonts w:hint="eastAsia" w:ascii="Wingdings" w:hAnsi="Wingdings"/>
                <w:lang w:eastAsia="zh-CN"/>
              </w:rPr>
              <w:sym w:font="Wingdings 2" w:char="00A3"/>
            </w:r>
            <w:r>
              <w:rPr>
                <w:rFonts w:hint="eastAsia"/>
              </w:rPr>
              <w:t>淘汰落后设备更新</w:t>
            </w:r>
            <w:r>
              <w:rPr>
                <w:rFonts w:hint="eastAsia" w:ascii="Wingdings" w:hAnsi="Wingdings"/>
                <w:lang w:eastAsia="zh-CN"/>
              </w:rPr>
              <w:sym w:font="Wingdings 2" w:char="0052"/>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rPr>
                      <w:rFonts w:hint="default" w:eastAsia="宋体"/>
                      <w:lang w:val="en-US" w:eastAsia="zh-CN"/>
                    </w:rPr>
                  </w:pPr>
                </w:p>
              </w:tc>
              <w:tc>
                <w:tcPr>
                  <w:tcW w:w="3265" w:type="dxa"/>
                </w:tcPr>
                <w:p>
                  <w:pPr>
                    <w:shd w:val="clear" w:color="auto" w:fill="EBF1DE" w:themeFill="accent3" w:themeFillTint="32"/>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加强节电管理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r>
                    <w:rPr>
                      <w:rFonts w:hint="eastAsia"/>
                      <w:lang w:eastAsia="zh-CN"/>
                    </w:rPr>
                    <w:t>——</w:t>
                  </w:r>
                </w:p>
              </w:tc>
              <w:tc>
                <w:tcPr>
                  <w:tcW w:w="3665" w:type="dxa"/>
                </w:tcPr>
                <w:p>
                  <w:pPr>
                    <w:shd w:val="clear" w:color="auto" w:fill="EBF1DE" w:themeFill="accent3" w:themeFillTint="32"/>
                    <w:jc w:val="left"/>
                    <w:rPr>
                      <w:rFonts w:hint="default" w:eastAsia="宋体"/>
                      <w:lang w:val="en-US" w:eastAsia="zh-CN"/>
                    </w:rPr>
                  </w:pPr>
                </w:p>
              </w:tc>
              <w:tc>
                <w:tcPr>
                  <w:tcW w:w="3265" w:type="dxa"/>
                </w:tcPr>
                <w:p>
                  <w:pPr>
                    <w:shd w:val="clear" w:color="auto" w:fill="EBF1DE" w:themeFill="accent3" w:themeFillTint="32"/>
                    <w:jc w:val="left"/>
                    <w:rPr>
                      <w:rFonts w:hint="default" w:eastAsia="宋体"/>
                      <w:lang w:val="en-US" w:eastAsia="zh-CN"/>
                    </w:rPr>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sym w:font="Wingdings 2" w:char="00A3"/>
            </w:r>
            <w:r>
              <w:rPr>
                <w:rFonts w:hint="eastAsia"/>
              </w:rPr>
              <w:t>节能技术的实施</w:t>
            </w:r>
            <w:r>
              <w:rPr>
                <w:rFonts w:hint="eastAsia" w:ascii="Wingdings" w:hAnsi="Wingdings"/>
                <w:lang w:eastAsia="zh-CN"/>
              </w:rPr>
              <w:sym w:font="Wingdings 2" w:char="00A3"/>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定期（每年）：</w:t>
            </w:r>
            <w:r>
              <w:rPr>
                <w:rFonts w:hint="eastAsia"/>
                <w:highlight w:val="none"/>
                <w:lang w:val="en-US" w:eastAsia="zh-CN"/>
              </w:rPr>
              <w:t>2021</w:t>
            </w:r>
            <w:r>
              <w:rPr>
                <w:rFonts w:hint="eastAsia"/>
                <w:highlight w:val="none"/>
              </w:rPr>
              <w:t>年</w:t>
            </w:r>
            <w:r>
              <w:rPr>
                <w:rFonts w:hint="eastAsia"/>
                <w:highlight w:val="none"/>
                <w:lang w:val="en-US" w:eastAsia="zh-CN"/>
              </w:rPr>
              <w:t>12</w:t>
            </w:r>
            <w:r>
              <w:rPr>
                <w:rFonts w:hint="eastAsia"/>
                <w:highlight w:val="none"/>
              </w:rPr>
              <w:t>月</w:t>
            </w:r>
            <w:r>
              <w:rPr>
                <w:rFonts w:hint="eastAsia"/>
                <w:highlight w:val="none"/>
                <w:lang w:val="en-US" w:eastAsia="zh-CN"/>
              </w:rPr>
              <w:t>20</w:t>
            </w:r>
            <w:r>
              <w:rPr>
                <w:rFonts w:hint="eastAsia"/>
                <w:highlight w:val="none"/>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sym w:font="Wingdings 2" w:char="00A3"/>
            </w:r>
            <w:r>
              <w:rPr>
                <w:rFonts w:hint="eastAsia"/>
              </w:rPr>
              <w:t>其他</w:t>
            </w:r>
          </w:p>
          <w:p>
            <w:pPr>
              <w:shd w:val="clear" w:color="auto" w:fill="EBF1DE" w:themeFill="accent3" w:themeFillTint="32"/>
            </w:pPr>
          </w:p>
          <w:p>
            <w:pPr>
              <w:shd w:val="clear" w:color="auto" w:fill="EBF1DE" w:themeFill="accent3" w:themeFillTint="32"/>
              <w:rPr>
                <w:rFonts w:hint="default"/>
                <w:lang w:val="en-US" w:eastAsia="zh-CN"/>
              </w:rPr>
            </w:pPr>
            <w:r>
              <w:rPr>
                <w:rFonts w:hint="eastAsia"/>
              </w:rPr>
              <w:t>《能效测试报告》编号：</w:t>
            </w:r>
            <w:r>
              <w:rPr>
                <w:rFonts w:hint="eastAsia"/>
                <w:lang w:val="en-US" w:eastAsia="zh-CN"/>
              </w:rPr>
              <w:t>企业目前未开展能效测试</w:t>
            </w:r>
          </w:p>
          <w:p>
            <w:pPr>
              <w:shd w:val="clear" w:color="auto" w:fill="EBF1DE" w:themeFill="accent3" w:themeFillTint="32"/>
              <w:rPr>
                <w:rFonts w:hint="default" w:eastAsia="宋体"/>
                <w:lang w:val="en-US" w:eastAsia="zh-CN"/>
              </w:rPr>
            </w:pPr>
            <w:r>
              <w:rPr>
                <w:rFonts w:hint="eastAsia"/>
              </w:rPr>
              <w:t>达标评价：</w:t>
            </w:r>
            <w:r>
              <w:rPr>
                <w:rFonts w:hint="eastAsia" w:ascii="Wingdings" w:hAnsi="Wingdings"/>
                <w:lang w:eastAsia="zh-CN"/>
              </w:rPr>
              <w:sym w:font="Wingdings 2" w:char="00A3"/>
            </w:r>
            <w:r>
              <w:rPr>
                <w:rFonts w:hint="eastAsia"/>
              </w:rPr>
              <w:t>符合要求</w:t>
            </w:r>
            <w:r>
              <w:rPr>
                <w:rFonts w:hint="eastAsia" w:ascii="Wingdings" w:hAnsi="Wingdings"/>
                <w:lang w:eastAsia="zh-CN"/>
              </w:rPr>
              <w:sym w:font="Wingdings 2" w:char="0052"/>
            </w:r>
            <w:r>
              <w:rPr>
                <w:rFonts w:hint="eastAsia"/>
              </w:rPr>
              <w:t>存在不足，说明</w:t>
            </w:r>
            <w:r>
              <w:rPr>
                <w:rFonts w:hint="eastAsia"/>
                <w:lang w:eastAsia="zh-CN"/>
              </w:rPr>
              <w:t>：</w:t>
            </w:r>
            <w:r>
              <w:rPr>
                <w:rFonts w:hint="eastAsia"/>
                <w:lang w:val="en-US" w:eastAsia="zh-CN"/>
              </w:rPr>
              <w:t>建议企业结合实际适时开展。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20-21</w:t>
            </w:r>
            <w:r>
              <w:rPr>
                <w:rFonts w:hint="eastAsia"/>
              </w:rPr>
              <w:t>日实施了能源管理体系内部审核，对能源管理体系的符合性和有效性进行了审核。内审发现的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sym w:font="Wingdings 2" w:char="0052"/>
            </w:r>
            <w:r>
              <w:rPr>
                <w:rFonts w:hint="eastAsia"/>
              </w:rPr>
              <w:t>未对所有班次的现场都进行审核，只</w:t>
            </w:r>
            <w:r>
              <w:rPr>
                <w:rFonts w:hint="eastAsia"/>
                <w:lang w:val="en-US" w:eastAsia="zh-CN"/>
              </w:rPr>
              <w:t>远程</w:t>
            </w:r>
            <w:r>
              <w:rPr>
                <w:rFonts w:hint="eastAsia"/>
              </w:rPr>
              <w:t>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16</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eastAsia="宋体"/>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780" w:type="dxa"/>
            <w:shd w:val="clear" w:color="auto" w:fill="EBF1DE" w:themeFill="accent3" w:themeFillTint="32"/>
            <w:vAlign w:val="center"/>
          </w:tcPr>
          <w:p>
            <w:pPr>
              <w:shd w:val="clear" w:color="auto" w:fill="EBF1DE" w:themeFill="accent3" w:themeFillTint="32"/>
            </w:pPr>
            <w:r>
              <w:rPr>
                <w:rFonts w:hint="eastAsia"/>
              </w:rPr>
              <w:t>7.4</w:t>
            </w:r>
          </w:p>
        </w:tc>
        <w:tc>
          <w:tcPr>
            <w:tcW w:w="779" w:type="dxa"/>
            <w:shd w:val="clear" w:color="auto" w:fill="EBF1DE" w:themeFill="accent3" w:themeFillTint="32"/>
            <w:vAlign w:val="center"/>
          </w:tcPr>
          <w:p>
            <w:pPr>
              <w:shd w:val="clear" w:color="auto" w:fill="EBF1DE" w:themeFill="accent3" w:themeFillTint="32"/>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pPr>
            <w:r>
              <w:rPr>
                <w:rFonts w:hint="eastAsia"/>
              </w:rPr>
              <w:t>8.3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none"/>
              </w:rPr>
              <w:t>10</w:t>
            </w: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10.2</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single" w:color="auto" w:sz="4" w:space="1"/>
      </w:pBdr>
      <w:spacing w:line="320" w:lineRule="exact"/>
      <w:ind w:firstLine="756" w:firstLineChars="400"/>
      <w:jc w:val="left"/>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39637"/>
    <w:multiLevelType w:val="singleLevel"/>
    <w:tmpl w:val="ADC39637"/>
    <w:lvl w:ilvl="0" w:tentative="0">
      <w:start w:val="1"/>
      <w:numFmt w:val="bullet"/>
      <w:pStyle w:val="4"/>
      <w:lvlText w:val=""/>
      <w:lvlJc w:val="left"/>
      <w:pPr>
        <w:tabs>
          <w:tab w:val="left" w:pos="2040"/>
        </w:tabs>
        <w:ind w:left="2040" w:hanging="360"/>
      </w:pPr>
      <w:rPr>
        <w:rFonts w:hint="default" w:ascii="Wingdings" w:hAnsi="Wingdings"/>
      </w:r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94E5773"/>
    <w:rsid w:val="26B76F5C"/>
    <w:rsid w:val="2FFE006B"/>
    <w:rsid w:val="30050E67"/>
    <w:rsid w:val="34153C2E"/>
    <w:rsid w:val="371F2D32"/>
    <w:rsid w:val="42023AB4"/>
    <w:rsid w:val="641E2F05"/>
    <w:rsid w:val="65FF5BF4"/>
    <w:rsid w:val="79E356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4"/>
    <w:qFormat/>
    <w:uiPriority w:val="0"/>
  </w:style>
  <w:style w:type="paragraph" w:styleId="4">
    <w:name w:val="List Bullet 5"/>
    <w:basedOn w:val="1"/>
    <w:semiHidden/>
    <w:unhideWhenUsed/>
    <w:uiPriority w:val="99"/>
    <w:pPr>
      <w:numPr>
        <w:ilvl w:val="0"/>
        <w:numId w:val="1"/>
      </w:numPr>
    </w:p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7"/>
    <w:qFormat/>
    <w:uiPriority w:val="99"/>
    <w:rPr>
      <w:rFonts w:ascii="Times New Roman" w:hAnsi="Times New Roman" w:eastAsia="宋体" w:cs="Times New Roman"/>
      <w:sz w:val="18"/>
      <w:szCs w:val="18"/>
    </w:rPr>
  </w:style>
  <w:style w:type="character" w:customStyle="1" w:styleId="17">
    <w:name w:val="页脚 Char"/>
    <w:basedOn w:val="12"/>
    <w:link w:val="6"/>
    <w:qFormat/>
    <w:uiPriority w:val="99"/>
    <w:rPr>
      <w:rFonts w:ascii="Times New Roman" w:hAnsi="Times New Roman" w:eastAsia="宋体" w:cs="Times New Roman"/>
      <w:sz w:val="18"/>
      <w:szCs w:val="18"/>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character" w:customStyle="1" w:styleId="27">
    <w:name w:val="font01"/>
    <w:basedOn w:val="12"/>
    <w:uiPriority w:val="0"/>
    <w:rPr>
      <w:rFonts w:hint="eastAsia" w:ascii="宋体" w:hAnsi="宋体" w:eastAsia="宋体" w:cs="宋体"/>
      <w:color w:val="000000"/>
      <w:sz w:val="22"/>
      <w:szCs w:val="22"/>
      <w:u w:val="none"/>
    </w:rPr>
  </w:style>
  <w:style w:type="character" w:customStyle="1" w:styleId="28">
    <w:name w:val="font21"/>
    <w:basedOn w:val="12"/>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7</TotalTime>
  <ScaleCrop>false</ScaleCrop>
  <LinksUpToDate>false</LinksUpToDate>
  <CharactersWithSpaces>26902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2022-07-03T11:45:43Z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