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谌摇摇</w:t>
            </w:r>
            <w:bookmarkEnd w:id="0"/>
            <w:r>
              <w:rPr>
                <w:rFonts w:hint="eastAsia"/>
                <w:sz w:val="24"/>
                <w:szCs w:val="24"/>
                <w:lang w:val="en-US" w:eastAsia="zh-CN"/>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w:t>
            </w:r>
            <w:r>
              <w:rPr>
                <w:rFonts w:hint="eastAsia"/>
                <w:sz w:val="24"/>
                <w:szCs w:val="24"/>
                <w:lang w:val="en-US" w:eastAsia="zh-CN"/>
              </w:rPr>
              <w:t>敏杰</w:t>
            </w:r>
            <w:r>
              <w:rPr>
                <w:rFonts w:hint="eastAsia"/>
                <w:sz w:val="24"/>
                <w:szCs w:val="24"/>
                <w:lang w:val="en-US" w:eastAsia="zh-CN"/>
              </w:rPr>
              <w:t xml:space="preserve">  廖子健</w:t>
            </w:r>
            <w:bookmarkEnd w:id="1"/>
            <w:r>
              <w:rPr>
                <w:rFonts w:hint="eastAsia"/>
                <w:sz w:val="24"/>
                <w:szCs w:val="24"/>
                <w:lang w:val="en-US" w:eastAsia="zh-CN"/>
              </w:rPr>
              <w:t xml:space="preserve">       审核时间：</w:t>
            </w:r>
            <w:bookmarkStart w:id="2" w:name="审核日期"/>
            <w:r>
              <w:rPr>
                <w:rFonts w:hint="eastAsia"/>
                <w:sz w:val="24"/>
                <w:szCs w:val="24"/>
                <w:lang w:val="en-US" w:eastAsia="zh-CN"/>
              </w:rPr>
              <w:t>2022年06月15日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jc w:val="both"/>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w:t>
            </w:r>
            <w:r>
              <w:rPr>
                <w:rFonts w:hint="eastAsia" w:ascii="宋体" w:hAnsi="宋体" w:cs="Arial"/>
                <w:color w:val="auto"/>
                <w:spacing w:val="-6"/>
                <w:sz w:val="21"/>
                <w:szCs w:val="21"/>
                <w:highlight w:val="none"/>
              </w:rPr>
              <w:t>、6.3变更的策划、</w:t>
            </w:r>
            <w:r>
              <w:rPr>
                <w:rFonts w:hint="eastAsia" w:ascii="宋体" w:hAnsi="宋体" w:cs="Arial"/>
                <w:color w:val="auto"/>
                <w:spacing w:val="-6"/>
                <w:sz w:val="21"/>
                <w:szCs w:val="21"/>
              </w:rPr>
              <w:t>7.1资源、</w:t>
            </w:r>
            <w:r>
              <w:rPr>
                <w:rFonts w:hint="eastAsia" w:ascii="宋体" w:hAnsi="宋体" w:cs="Arial"/>
                <w:color w:val="auto"/>
                <w:spacing w:val="-6"/>
                <w:sz w:val="21"/>
                <w:szCs w:val="21"/>
                <w:lang w:val="en-US" w:eastAsia="zh-CN"/>
              </w:rPr>
              <w:t>7.4沟通、</w:t>
            </w:r>
            <w:r>
              <w:rPr>
                <w:rFonts w:hint="eastAsia" w:ascii="宋体" w:hAnsi="宋体" w:cs="Arial"/>
                <w:color w:val="auto"/>
                <w:spacing w:val="-6"/>
                <w:sz w:val="21"/>
                <w:szCs w:val="21"/>
              </w:rPr>
              <w:t>9.3管理评审、10.1改进、10.3持续改进</w:t>
            </w:r>
          </w:p>
          <w:p>
            <w:pPr>
              <w:adjustRightInd w:val="0"/>
              <w:snapToGrid w:val="0"/>
              <w:spacing w:line="240" w:lineRule="auto"/>
              <w:ind w:right="105" w:rightChars="50"/>
              <w:jc w:val="both"/>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8.3删减确认</w:t>
            </w:r>
          </w:p>
          <w:p>
            <w:pPr>
              <w:spacing w:line="240" w:lineRule="auto"/>
              <w:rPr>
                <w:rFonts w:hint="eastAsia"/>
                <w:sz w:val="24"/>
                <w:szCs w:val="24"/>
              </w:rPr>
            </w:pPr>
            <w:r>
              <w:rPr>
                <w:rFonts w:hint="eastAsia" w:ascii="宋体" w:hAnsi="宋体" w:eastAsia="宋体" w:cs="Arial"/>
                <w:color w:val="auto"/>
                <w:spacing w:val="-6"/>
                <w:sz w:val="21"/>
                <w:szCs w:val="21"/>
              </w:rPr>
              <w:t>国家/地方监督抽查情况；顾客满意、相关方投诉及处理情况；</w:t>
            </w:r>
            <w:r>
              <w:rPr>
                <w:rFonts w:hint="eastAsia" w:ascii="宋体" w:hAnsi="宋体" w:eastAsia="宋体" w:cs="Arial"/>
                <w:color w:val="auto"/>
                <w:spacing w:val="-6"/>
                <w:sz w:val="21"/>
                <w:szCs w:val="21"/>
                <w:lang w:val="en-US" w:eastAsia="zh-CN"/>
              </w:rPr>
              <w:t>上次审核</w:t>
            </w:r>
            <w:r>
              <w:rPr>
                <w:rFonts w:hint="eastAsia" w:ascii="宋体" w:hAnsi="宋体" w:eastAsia="宋体" w:cs="Arial"/>
                <w:color w:val="auto"/>
                <w:spacing w:val="-6"/>
                <w:sz w:val="21"/>
                <w:szCs w:val="21"/>
              </w:rPr>
              <w:t>问题验证，验证企业相关资质证明的有效性；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highlight w:val="none"/>
                <w:lang w:val="en-US" w:eastAsia="zh-CN" w:bidi="ar-SA"/>
              </w:rPr>
            </w:pPr>
            <w:r>
              <w:rPr>
                <w:rFonts w:hint="default" w:ascii="Times New Roman" w:hAnsi="Times New Roman" w:cs="Times New Roman"/>
                <w:szCs w:val="24"/>
                <w:highlight w:val="none"/>
              </w:rPr>
              <w:t>理解组织及其环境</w:t>
            </w:r>
          </w:p>
        </w:tc>
        <w:tc>
          <w:tcPr>
            <w:tcW w:w="960" w:type="dxa"/>
            <w:vAlign w:val="center"/>
          </w:tcPr>
          <w:p>
            <w:pPr>
              <w:rPr>
                <w:rFonts w:hint="eastAsia" w:ascii="Times New Roman" w:hAnsi="Times New Roman" w:eastAsia="宋体" w:cs="Times New Roman"/>
                <w:b/>
                <w:kern w:val="2"/>
                <w:sz w:val="21"/>
                <w:szCs w:val="24"/>
                <w:highlight w:val="none"/>
                <w:lang w:val="en-US" w:eastAsia="zh-CN" w:bidi="ar-SA"/>
              </w:rPr>
            </w:pPr>
            <w:r>
              <w:rPr>
                <w:rFonts w:hint="eastAsia" w:asciiTheme="minorEastAsia" w:hAnsiTheme="minorEastAsia" w:eastAsiaTheme="minorEastAsia" w:cstheme="minorEastAsia"/>
                <w:szCs w:val="24"/>
                <w:highlight w:val="none"/>
              </w:rPr>
              <w:t>Q</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4.1</w:t>
            </w:r>
          </w:p>
        </w:tc>
        <w:tc>
          <w:tcPr>
            <w:tcW w:w="10004" w:type="dxa"/>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eastAsia="宋体"/>
                <w:szCs w:val="22"/>
                <w:highlight w:val="none"/>
                <w:lang w:val="en-US" w:eastAsia="zh-CN"/>
              </w:rPr>
            </w:pPr>
            <w:r>
              <w:rPr>
                <w:rFonts w:hint="eastAsia"/>
                <w:szCs w:val="22"/>
                <w:highlight w:val="none"/>
                <w:lang w:val="zh-CN"/>
              </w:rPr>
              <w:t>江西诚曜纺织品有限公司成立于</w:t>
            </w:r>
            <w:r>
              <w:rPr>
                <w:rFonts w:hint="eastAsia"/>
                <w:szCs w:val="21"/>
                <w:highlight w:val="none"/>
              </w:rPr>
              <w:t>2017年05月23日</w:t>
            </w:r>
            <w:r>
              <w:rPr>
                <w:rFonts w:hint="eastAsia"/>
                <w:szCs w:val="22"/>
                <w:highlight w:val="none"/>
                <w:lang w:val="zh-CN"/>
              </w:rPr>
              <w:t>；</w:t>
            </w:r>
            <w:r>
              <w:rPr>
                <w:rFonts w:hint="eastAsia"/>
                <w:szCs w:val="22"/>
                <w:highlight w:val="none"/>
                <w:lang w:val="en-US" w:eastAsia="zh-CN"/>
              </w:rPr>
              <w:t>注册资金1000万元；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2"/>
                <w:highlight w:val="none"/>
                <w:lang w:val="zh-CN"/>
              </w:rPr>
            </w:pPr>
            <w:r>
              <w:rPr>
                <w:rFonts w:hint="eastAsia"/>
                <w:szCs w:val="22"/>
                <w:highlight w:val="none"/>
                <w:lang w:val="en-US" w:eastAsia="zh-CN"/>
              </w:rPr>
              <w:t>注册</w:t>
            </w:r>
            <w:r>
              <w:rPr>
                <w:rFonts w:hint="eastAsia"/>
                <w:szCs w:val="22"/>
                <w:highlight w:val="none"/>
                <w:lang w:val="zh-CN"/>
              </w:rPr>
              <w:t>地址：江西省南昌市安义县万埠镇万埠老街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szCs w:val="22"/>
                <w:highlight w:val="none"/>
                <w:lang w:val="zh-CN"/>
              </w:rPr>
            </w:pPr>
            <w:r>
              <w:rPr>
                <w:rFonts w:hint="eastAsia"/>
                <w:szCs w:val="22"/>
                <w:highlight w:val="none"/>
                <w:lang w:val="en-US" w:eastAsia="zh-CN"/>
              </w:rPr>
              <w:t>经营</w:t>
            </w:r>
            <w:r>
              <w:rPr>
                <w:rFonts w:hint="eastAsia"/>
                <w:szCs w:val="22"/>
                <w:highlight w:val="none"/>
                <w:lang w:val="zh-CN"/>
              </w:rPr>
              <w:t>地址：江西省南昌市安义县和强工业园区内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公司现有</w:t>
            </w:r>
            <w:r>
              <w:rPr>
                <w:rFonts w:hint="eastAsia"/>
                <w:color w:val="000000"/>
                <w:szCs w:val="21"/>
                <w:highlight w:val="none"/>
                <w:lang w:val="en-US" w:eastAsia="zh-CN"/>
              </w:rPr>
              <w:t>32</w:t>
            </w:r>
            <w:r>
              <w:rPr>
                <w:rFonts w:hint="eastAsia"/>
                <w:color w:val="auto"/>
                <w:szCs w:val="22"/>
                <w:highlight w:val="none"/>
                <w:lang w:val="en-US" w:eastAsia="zh-CN"/>
              </w:rPr>
              <w:t>人，主要设备有全自动清花线、梳棉机、并条机、气流纺等。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现有的设备基本能够满足业务服务要求。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2"/>
                <w:highlight w:val="none"/>
                <w:lang w:val="en-US" w:eastAsia="zh-CN"/>
              </w:rPr>
            </w:pPr>
            <w:r>
              <w:rPr>
                <w:rFonts w:hint="eastAsia"/>
                <w:szCs w:val="22"/>
                <w:highlight w:val="none"/>
                <w:lang w:val="en-US" w:eastAsia="zh-CN"/>
              </w:rPr>
              <w:t>营业执照：棉花购销；棉布、棉纱、纺织品、涤纶布加工、销售；袜子、手套制造、销售。(依法须经批准的项目,经相关部门批准后方可开展经营活动)**，覆盖了认证范围：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b w:val="0"/>
                <w:bCs w:val="0"/>
                <w:i/>
                <w:iCs/>
                <w:highlight w:val="none"/>
                <w:lang w:val="en-US" w:eastAsia="zh-CN"/>
              </w:rPr>
            </w:pPr>
            <w:r>
              <w:rPr>
                <w:rFonts w:hint="default"/>
                <w:b w:val="0"/>
                <w:bCs w:val="0"/>
                <w:highlight w:val="none"/>
                <w:lang w:val="en-US" w:eastAsia="zh-CN"/>
              </w:rPr>
              <w:t>Q：</w:t>
            </w:r>
            <w:r>
              <w:rPr>
                <w:rFonts w:hint="eastAsia" w:ascii="宋体" w:hAnsi="宋体"/>
                <w:highlight w:val="none"/>
              </w:rPr>
              <w:t>纺织品（棉纱）的加工、销售</w:t>
            </w:r>
            <w:r>
              <w:rPr>
                <w:rFonts w:hint="eastAsia" w:ascii="宋体" w:hAnsi="宋体"/>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rPr>
            </w:pPr>
            <w:r>
              <w:rPr>
                <w:rFonts w:hint="eastAsia"/>
                <w:highlight w:val="none"/>
              </w:rPr>
              <w:t>外部因素——</w:t>
            </w:r>
            <w:r>
              <w:rPr>
                <w:rFonts w:hint="eastAsia"/>
                <w:highlight w:val="none"/>
                <w:lang w:eastAsia="zh-CN"/>
              </w:rPr>
              <w:t>世界经济形势政治形态的影响；</w:t>
            </w:r>
            <w:r>
              <w:rPr>
                <w:rFonts w:hint="eastAsia"/>
                <w:highlight w:val="none"/>
              </w:rPr>
              <w:t>竞争对手、客户需求的变化等；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公司文化、内部管理机制的建立、人员稳定性、经验等；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rPr>
            </w:pPr>
            <w:r>
              <w:rPr>
                <w:rFonts w:hint="eastAsia"/>
                <w:highlight w:val="none"/>
              </w:rPr>
              <w:t>这些因素包括了需要考虑的正面和负面因素或条件。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szCs w:val="24"/>
                <w:highlight w:val="none"/>
                <w:lang w:val="de-DE" w:eastAsia="zh-CN" w:bidi="ar-SA"/>
              </w:rPr>
            </w:pPr>
            <w:r>
              <w:rPr>
                <w:rFonts w:hint="eastAsia"/>
                <w:highlight w:val="none"/>
              </w:rPr>
              <w:t>公司每年根据从市场、客户、网络等搜集到的信息并结合公司自身业务运作情况进行分析，通过分析对这些内部和外部因素的相关信息进行监视和评审以确保其充分和适宜。</w:t>
            </w:r>
          </w:p>
        </w:tc>
        <w:tc>
          <w:tcPr>
            <w:tcW w:w="1585"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highlight w:val="none"/>
                <w:lang w:val="en-US" w:eastAsia="zh-CN" w:bidi="ar-SA"/>
              </w:rPr>
            </w:pPr>
            <w:r>
              <w:rPr>
                <w:rFonts w:hint="default" w:ascii="Times New Roman" w:hAnsi="Times New Roman" w:cs="Times New Roman"/>
                <w:szCs w:val="24"/>
                <w:highlight w:val="none"/>
              </w:rPr>
              <w:t>理解相关方的需求和期望</w:t>
            </w:r>
          </w:p>
        </w:tc>
        <w:tc>
          <w:tcPr>
            <w:tcW w:w="960" w:type="dxa"/>
            <w:vAlign w:val="center"/>
          </w:tcPr>
          <w:p>
            <w:pPr>
              <w:jc w:val="center"/>
              <w:rPr>
                <w:rFonts w:hint="default" w:asciiTheme="minorEastAsia" w:hAnsiTheme="minorEastAsia" w:eastAsiaTheme="minorEastAsia" w:cstheme="minorEastAsia"/>
                <w:kern w:val="2"/>
                <w:sz w:val="21"/>
                <w:szCs w:val="24"/>
                <w:highlight w:val="none"/>
                <w:lang w:val="en-US" w:eastAsia="zh-CN" w:bidi="ar-SA"/>
              </w:rPr>
            </w:pPr>
            <w:r>
              <w:rPr>
                <w:rFonts w:hint="default" w:asciiTheme="minorEastAsia" w:hAnsiTheme="minorEastAsia" w:eastAsiaTheme="minorEastAsia" w:cstheme="minorEastAsia"/>
                <w:szCs w:val="24"/>
                <w:highlight w:val="none"/>
              </w:rPr>
              <w:t>Q：4.2</w:t>
            </w:r>
          </w:p>
        </w:tc>
        <w:tc>
          <w:tcPr>
            <w:tcW w:w="10004" w:type="dxa"/>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cs="Times New Roman"/>
                <w:szCs w:val="22"/>
                <w:highlight w:val="none"/>
              </w:rPr>
            </w:pPr>
            <w:r>
              <w:rPr>
                <w:rFonts w:hint="default" w:ascii="Times New Roman" w:hAnsi="Times New Roman" w:cs="Times New Roman"/>
                <w:szCs w:val="22"/>
                <w:highlight w:val="none"/>
              </w:rPr>
              <w:t>相关方包括</w:t>
            </w:r>
            <w:r>
              <w:rPr>
                <w:rFonts w:hint="eastAsia" w:ascii="Times New Roman" w:hAnsi="Times New Roman" w:cs="Times New Roman"/>
                <w:szCs w:val="22"/>
                <w:highlight w:val="none"/>
                <w:lang w:val="en-US" w:eastAsia="zh-CN"/>
              </w:rPr>
              <w:t>主要包括</w:t>
            </w:r>
            <w:r>
              <w:rPr>
                <w:rFonts w:hint="eastAsia" w:ascii="Times New Roman" w:hAnsi="Times New Roman" w:cs="Times New Roman"/>
                <w:szCs w:val="22"/>
                <w:highlight w:val="none"/>
              </w:rPr>
              <w:t>员工、法律法规和监管机构、顾客、供方、周边邻居等。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cs="Times New Roman"/>
                <w:szCs w:val="22"/>
                <w:highlight w:val="none"/>
              </w:rPr>
            </w:pPr>
            <w:r>
              <w:rPr>
                <w:rFonts w:hint="eastAsia" w:ascii="Times New Roman" w:hAnsi="Times New Roman" w:cs="Times New Roman"/>
                <w:szCs w:val="22"/>
                <w:highlight w:val="none"/>
              </w:rPr>
              <w:t>相关方进行监视和评审的方式方法：公司通过走访、会议、客户要求等方式对相关方的信息进行监视和评审。</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2"/>
                <w:highlight w:val="none"/>
              </w:rPr>
              <w:t>基本识别了与组织管理体系有关的相关方和要求</w:t>
            </w:r>
            <w:r>
              <w:rPr>
                <w:rFonts w:hint="default" w:ascii="Times New Roman" w:hAnsi="Times New Roman" w:cs="Times New Roman"/>
                <w:szCs w:val="22"/>
                <w:highlight w:val="none"/>
                <w:lang w:val="zh-CN"/>
              </w:rPr>
              <w:t>。</w:t>
            </w:r>
          </w:p>
        </w:tc>
        <w:tc>
          <w:tcPr>
            <w:tcW w:w="1585"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应对风险和机遇的措施</w:t>
            </w:r>
          </w:p>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确定管理体系的范围</w:t>
            </w:r>
          </w:p>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管理体系及其过程</w:t>
            </w:r>
          </w:p>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变更的策划</w:t>
            </w:r>
          </w:p>
          <w:p>
            <w:pPr>
              <w:rPr>
                <w:rFonts w:hint="default"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体系变动情况</w:t>
            </w:r>
          </w:p>
          <w:p>
            <w:pPr>
              <w:pStyle w:val="2"/>
              <w:jc w:val="both"/>
              <w:rPr>
                <w:rFonts w:hint="default" w:ascii="宋体" w:hAnsi="宋体" w:eastAsia="宋体" w:cs="Times New Roman"/>
                <w:b/>
                <w:kern w:val="2"/>
                <w:sz w:val="5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删减确认</w:t>
            </w:r>
          </w:p>
        </w:tc>
        <w:tc>
          <w:tcPr>
            <w:tcW w:w="960" w:type="dxa"/>
            <w:vAlign w:val="center"/>
          </w:tcPr>
          <w:p>
            <w:pPr>
              <w:jc w:val="center"/>
              <w:rPr>
                <w:rFonts w:hint="eastAsia" w:asciiTheme="minorEastAsia" w:hAnsiTheme="minorEastAsia" w:eastAsiaTheme="minorEastAsia" w:cstheme="minorEastAsia"/>
                <w:szCs w:val="24"/>
                <w:highlight w:val="none"/>
                <w:lang w:val="en-US" w:eastAsia="zh-CN"/>
              </w:rPr>
            </w:pPr>
            <w:r>
              <w:rPr>
                <w:rFonts w:hint="default" w:asciiTheme="minorEastAsia" w:hAnsiTheme="minorEastAsia" w:eastAsiaTheme="minorEastAsia" w:cstheme="minorEastAsia"/>
                <w:szCs w:val="24"/>
                <w:highlight w:val="none"/>
              </w:rPr>
              <w:t>Q：</w:t>
            </w:r>
            <w:r>
              <w:rPr>
                <w:rFonts w:hint="eastAsia" w:asciiTheme="minorEastAsia" w:hAnsiTheme="minorEastAsia" w:eastAsiaTheme="minorEastAsia" w:cstheme="minorEastAsia"/>
                <w:szCs w:val="24"/>
                <w:highlight w:val="none"/>
                <w:lang w:val="en-US" w:eastAsia="zh-CN"/>
              </w:rPr>
              <w:t>6.1</w:t>
            </w:r>
          </w:p>
          <w:p>
            <w:pPr>
              <w:jc w:val="center"/>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4.3</w:t>
            </w:r>
          </w:p>
          <w:p>
            <w:pPr>
              <w:jc w:val="center"/>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4.4</w:t>
            </w:r>
          </w:p>
          <w:p>
            <w:pPr>
              <w:jc w:val="center"/>
              <w:rPr>
                <w:rFonts w:hint="default"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val="en-US" w:eastAsia="zh-CN"/>
              </w:rPr>
              <w:t>6.3</w:t>
            </w:r>
          </w:p>
          <w:p>
            <w:pPr>
              <w:jc w:val="center"/>
              <w:rPr>
                <w:rFonts w:hint="default" w:asciiTheme="minorEastAsia" w:hAnsiTheme="minorEastAsia" w:eastAsiaTheme="minorEastAsia" w:cstheme="minorEastAsia"/>
                <w:kern w:val="2"/>
                <w:sz w:val="21"/>
                <w:szCs w:val="24"/>
                <w:highlight w:val="none"/>
                <w:lang w:val="en-US" w:eastAsia="zh-CN" w:bidi="ar-SA"/>
              </w:rPr>
            </w:pPr>
            <w:r>
              <w:rPr>
                <w:rFonts w:hint="eastAsia" w:asciiTheme="minorEastAsia" w:hAnsiTheme="minorEastAsia" w:eastAsiaTheme="minorEastAsia" w:cstheme="minorEastAsia"/>
                <w:szCs w:val="24"/>
                <w:highlight w:val="none"/>
                <w:lang w:val="en-US" w:eastAsia="zh-CN"/>
              </w:rPr>
              <w:t>8.3</w:t>
            </w:r>
          </w:p>
        </w:tc>
        <w:tc>
          <w:tcPr>
            <w:tcW w:w="10004" w:type="dxa"/>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lang w:val="en-US" w:eastAsia="zh-CN"/>
              </w:rPr>
            </w:pPr>
            <w:r>
              <w:rPr>
                <w:rFonts w:hint="eastAsia"/>
                <w:highlight w:val="none"/>
                <w:lang w:val="en-US"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highlight w:val="none"/>
                <w:lang w:val="en-US" w:eastAsia="zh-CN"/>
              </w:rPr>
            </w:pPr>
            <w:r>
              <w:rPr>
                <w:rFonts w:hint="eastAsia"/>
                <w:highlight w:val="none"/>
                <w:lang w:val="en-US" w:eastAsia="zh-CN"/>
              </w:rPr>
              <w:t>机遇：政策影响和经济发展的走势，</w:t>
            </w:r>
            <w:r>
              <w:rPr>
                <w:rFonts w:hint="default"/>
                <w:highlight w:val="none"/>
                <w:lang w:val="en-US" w:eastAsia="zh-CN"/>
              </w:rPr>
              <w:t>对企业有较好的</w:t>
            </w:r>
            <w:r>
              <w:rPr>
                <w:rFonts w:hint="eastAsia"/>
                <w:highlight w:val="none"/>
                <w:lang w:val="en-US" w:eastAsia="zh-CN"/>
              </w:rPr>
              <w:t>的发展机遇</w:t>
            </w:r>
            <w:r>
              <w:rPr>
                <w:rFonts w:hint="default"/>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highlight w:val="none"/>
                <w:lang w:val="en-US" w:eastAsia="zh-CN"/>
              </w:rPr>
            </w:pPr>
            <w:r>
              <w:rPr>
                <w:rFonts w:hint="eastAsia"/>
                <w:highlight w:val="none"/>
                <w:lang w:val="en-US" w:eastAsia="zh-CN"/>
              </w:rPr>
              <w:t>风险：政策管控和产业政策的变化可能给公司带来发展的风险</w:t>
            </w:r>
            <w:r>
              <w:rPr>
                <w:rFonts w:hint="default"/>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lang w:val="en-US" w:eastAsia="zh-CN"/>
              </w:rPr>
            </w:pPr>
            <w:r>
              <w:rPr>
                <w:rFonts w:hint="default"/>
                <w:highlight w:val="none"/>
                <w:lang w:val="en-US" w:eastAsia="zh-CN"/>
              </w:rPr>
              <w:t>编制有《风险和机遇的应对控制程序》，对组织内外的风险和机遇进行了策划。</w:t>
            </w:r>
            <w:r>
              <w:rPr>
                <w:rFonts w:hint="eastAsia"/>
                <w:highlight w:val="none"/>
                <w:lang w:val="en-US" w:eastAsia="zh-CN"/>
              </w:rPr>
              <w:t>介绍说，公司</w:t>
            </w:r>
            <w:r>
              <w:rPr>
                <w:rFonts w:hint="default"/>
                <w:highlight w:val="none"/>
                <w:lang w:val="en-US" w:eastAsia="zh-CN"/>
              </w:rPr>
              <w:t>识别了风险和机遇来源、风险和机遇内容、管理措施、责任部门、实时时间、评价措施等</w:t>
            </w:r>
            <w:r>
              <w:rPr>
                <w:rFonts w:hint="eastAsia"/>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lang w:val="en-US" w:eastAsia="zh-CN"/>
              </w:rPr>
            </w:pPr>
            <w:r>
              <w:rPr>
                <w:rFonts w:hint="eastAsia"/>
                <w:highlight w:val="none"/>
                <w:lang w:val="en-US" w:eastAsia="zh-CN"/>
              </w:rPr>
              <w:t>为应对相应风险和机遇，公司依据GB/T19001-2016标准的要求并结合本公司的具体情况，采取PDCA的过程方法，建立、实施、保持并持续改进质量管理体系。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质量管理体系于</w:t>
            </w:r>
            <w:r>
              <w:rPr>
                <w:rFonts w:hint="eastAsia"/>
                <w:szCs w:val="21"/>
                <w:highlight w:val="none"/>
              </w:rPr>
              <w:t>20</w:t>
            </w:r>
            <w:r>
              <w:rPr>
                <w:rFonts w:hint="eastAsia"/>
                <w:szCs w:val="21"/>
                <w:highlight w:val="none"/>
                <w:lang w:val="en-US" w:eastAsia="zh-CN"/>
              </w:rPr>
              <w:t>22</w:t>
            </w:r>
            <w:r>
              <w:rPr>
                <w:rFonts w:hint="eastAsia"/>
                <w:szCs w:val="21"/>
                <w:highlight w:val="none"/>
              </w:rPr>
              <w:t>年</w:t>
            </w:r>
            <w:r>
              <w:rPr>
                <w:rFonts w:hint="eastAsia"/>
                <w:szCs w:val="21"/>
                <w:highlight w:val="none"/>
                <w:lang w:val="en-US" w:eastAsia="zh-CN"/>
              </w:rPr>
              <w:t>1</w:t>
            </w:r>
            <w:r>
              <w:rPr>
                <w:rFonts w:hint="eastAsia"/>
                <w:szCs w:val="21"/>
                <w:highlight w:val="none"/>
              </w:rPr>
              <w:t>月</w:t>
            </w:r>
            <w:r>
              <w:rPr>
                <w:rFonts w:hint="eastAsia"/>
                <w:szCs w:val="21"/>
                <w:highlight w:val="none"/>
                <w:lang w:val="en-US" w:eastAsia="zh-CN"/>
              </w:rPr>
              <w:t>5</w:t>
            </w:r>
            <w:r>
              <w:rPr>
                <w:rFonts w:hint="eastAsia"/>
                <w:szCs w:val="21"/>
                <w:highlight w:val="none"/>
              </w:rPr>
              <w:t>日</w:t>
            </w:r>
            <w:r>
              <w:rPr>
                <w:rFonts w:hint="eastAsia" w:ascii="Times New Roman" w:hAnsi="Times New Roman" w:eastAsia="宋体" w:cs="Times New Roman"/>
                <w:szCs w:val="22"/>
                <w:highlight w:val="none"/>
                <w:lang w:val="en-US" w:eastAsia="zh-CN"/>
              </w:rPr>
              <w:t>建立并正式实施。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lang w:val="en-US" w:eastAsia="zh-CN"/>
              </w:rPr>
            </w:pPr>
            <w:r>
              <w:rPr>
                <w:rFonts w:hint="eastAsia"/>
                <w:highlight w:val="none"/>
                <w:lang w:val="en-US" w:eastAsia="zh-CN"/>
              </w:rPr>
              <w:t>识别了目标管理、资源管理、文件管理、采购、生产制备、绩效监测、改进等过程。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工艺流程：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2"/>
                <w:highlight w:val="none"/>
                <w:lang w:val="en-US" w:eastAsia="zh-CN"/>
              </w:rPr>
            </w:pPr>
            <w:r>
              <w:rPr>
                <w:rFonts w:hint="eastAsia" w:ascii="宋体" w:hAnsi="宋体"/>
                <w:highlight w:val="none"/>
              </w:rPr>
              <w:t>清花---梳棉---精梳---并条---粗纱---细纱---槽筒</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关键过程为：粗纱、细纱；</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bCs/>
                <w:sz w:val="21"/>
                <w:szCs w:val="21"/>
                <w:highlight w:val="none"/>
              </w:rPr>
            </w:pPr>
            <w:r>
              <w:rPr>
                <w:rFonts w:hint="eastAsia"/>
                <w:highlight w:val="none"/>
                <w:lang w:val="en-US" w:eastAsia="zh-CN"/>
              </w:rPr>
              <w:t>删减条款Q8.3，</w:t>
            </w:r>
            <w:r>
              <w:rPr>
                <w:rFonts w:hint="eastAsia"/>
                <w:color w:val="000000"/>
                <w:szCs w:val="18"/>
                <w:highlight w:val="none"/>
              </w:rPr>
              <w:t>公司纺织品（棉纱）的加工、销售及其相关质量管理活动均参照国家标准、行业标准、企业规范及工艺要求组织生产及销售，其生产、销售过程不涉及GB/T19001-2016/ISO 9001：2015标准中8.3条款内容，其不适用的要求不影响组织确保其产品和服务合格的能力和责任，对增强顾客满意也不会产生影响</w:t>
            </w:r>
            <w:r>
              <w:rPr>
                <w:rFonts w:hint="eastAsia" w:ascii="宋体" w:hAnsi="宋体" w:cs="宋体"/>
                <w:bCs/>
                <w:sz w:val="21"/>
                <w:szCs w:val="21"/>
                <w:highlight w:val="none"/>
              </w:rPr>
              <w:t>。</w:t>
            </w:r>
            <w:bookmarkStart w:id="3" w:name="_GoBack"/>
            <w:bookmarkEnd w:id="3"/>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szCs w:val="24"/>
                <w:highlight w:val="none"/>
                <w:lang w:val="en-US" w:eastAsia="zh-CN" w:bidi="ar-SA"/>
              </w:rPr>
            </w:pPr>
            <w:r>
              <w:rPr>
                <w:rFonts w:hint="eastAsia" w:ascii="宋体" w:hAnsi="宋体" w:cs="宋体"/>
                <w:bCs/>
                <w:sz w:val="21"/>
                <w:szCs w:val="21"/>
                <w:highlight w:val="none"/>
                <w:lang w:val="en-US" w:eastAsia="zh-CN"/>
              </w:rPr>
              <w:t>公司管理体系建立以来尚未发生变更。</w:t>
            </w:r>
          </w:p>
        </w:tc>
        <w:tc>
          <w:tcPr>
            <w:tcW w:w="1585"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领导作用和承诺</w:t>
            </w:r>
          </w:p>
          <w:p>
            <w:pPr>
              <w:rPr>
                <w:rFonts w:hint="default" w:ascii="Times New Roman" w:hAnsi="Times New Roman" w:eastAsia="宋体" w:cs="Times New Roman"/>
                <w:b/>
                <w:kern w:val="2"/>
                <w:sz w:val="21"/>
                <w:szCs w:val="24"/>
                <w:highlight w:val="none"/>
                <w:lang w:val="en-US" w:eastAsia="zh-CN" w:bidi="ar-SA"/>
              </w:rPr>
            </w:pPr>
            <w:r>
              <w:rPr>
                <w:rFonts w:hint="eastAsia" w:ascii="Times New Roman" w:hAnsi="Times New Roman" w:cs="Times New Roman"/>
                <w:szCs w:val="24"/>
                <w:highlight w:val="none"/>
              </w:rPr>
              <w:t>组织的岗位职责和权限</w:t>
            </w:r>
          </w:p>
        </w:tc>
        <w:tc>
          <w:tcPr>
            <w:tcW w:w="0" w:type="auto"/>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Q：5.1</w:t>
            </w:r>
          </w:p>
          <w:p>
            <w:pPr>
              <w:jc w:val="center"/>
              <w:rPr>
                <w:rFonts w:hint="default" w:ascii="Times New Roman" w:hAnsi="Times New Roman" w:eastAsia="宋体" w:cs="Times New Roman"/>
                <w:b/>
                <w:kern w:val="2"/>
                <w:sz w:val="21"/>
                <w:szCs w:val="24"/>
                <w:highlight w:val="none"/>
                <w:lang w:val="en-US" w:eastAsia="zh-CN" w:bidi="ar-SA"/>
              </w:rPr>
            </w:pPr>
            <w:r>
              <w:rPr>
                <w:rFonts w:hint="eastAsia" w:asciiTheme="minorEastAsia" w:hAnsiTheme="minorEastAsia" w:eastAsiaTheme="minorEastAsia" w:cstheme="minorEastAsia"/>
                <w:szCs w:val="24"/>
                <w:highlight w:val="none"/>
                <w:lang w:val="en-US" w:eastAsia="zh-CN"/>
              </w:rPr>
              <w:t>5.3</w:t>
            </w:r>
          </w:p>
        </w:tc>
        <w:tc>
          <w:tcPr>
            <w:tcW w:w="0" w:type="auto"/>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highlight w:val="none"/>
              </w:rPr>
            </w:pPr>
            <w:r>
              <w:rPr>
                <w:rFonts w:hint="eastAsia"/>
                <w:szCs w:val="21"/>
                <w:highlight w:val="none"/>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4"/>
                <w:highlight w:val="none"/>
              </w:rPr>
            </w:pPr>
            <w:r>
              <w:rPr>
                <w:rFonts w:hint="default" w:ascii="Times New Roman" w:hAnsi="Times New Roman" w:cs="Times New Roman"/>
                <w:szCs w:val="24"/>
                <w:highlight w:val="none"/>
              </w:rPr>
              <w:t>总经理主持建立了质量管理体系，对管理体系的运行和保持进行了适当的授权，提供了必需的资源，能履行其管理承诺。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highlight w:val="none"/>
              </w:rPr>
            </w:pPr>
            <w:r>
              <w:rPr>
                <w:rFonts w:hint="eastAsia"/>
                <w:szCs w:val="21"/>
                <w:highlight w:val="none"/>
              </w:rPr>
              <w:t>企业设置了</w:t>
            </w:r>
            <w:r>
              <w:rPr>
                <w:rFonts w:hint="eastAsia"/>
                <w:szCs w:val="21"/>
                <w:highlight w:val="none"/>
                <w:lang w:val="en-US" w:eastAsia="zh-CN"/>
              </w:rPr>
              <w:t>行政部</w:t>
            </w:r>
            <w:r>
              <w:rPr>
                <w:rFonts w:hint="eastAsia"/>
                <w:szCs w:val="21"/>
                <w:highlight w:val="none"/>
              </w:rPr>
              <w:t>、</w:t>
            </w:r>
            <w:r>
              <w:rPr>
                <w:rFonts w:hint="eastAsia"/>
                <w:szCs w:val="21"/>
                <w:highlight w:val="none"/>
                <w:lang w:val="en-US" w:eastAsia="zh-CN"/>
              </w:rPr>
              <w:t>采购部、销售部</w:t>
            </w:r>
            <w:r>
              <w:rPr>
                <w:rFonts w:hint="eastAsia"/>
                <w:szCs w:val="21"/>
                <w:highlight w:val="none"/>
              </w:rPr>
              <w:t>、生产部等部门</w:t>
            </w:r>
            <w:r>
              <w:rPr>
                <w:rFonts w:hint="eastAsia"/>
                <w:szCs w:val="21"/>
                <w:highlight w:val="none"/>
                <w:lang w:eastAsia="zh-CN"/>
              </w:rPr>
              <w:t>；</w:t>
            </w:r>
            <w:r>
              <w:rPr>
                <w:rFonts w:hint="eastAsia"/>
                <w:szCs w:val="21"/>
                <w:highlight w:val="none"/>
              </w:rPr>
              <w:t>并对各部门的作用、职责、权限进行了划分，提供的管理手册中确定了组织机构图、职能分配表，各部门作用、职责、权限界定基本清楚，并与实际情况基本相符。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szCs w:val="24"/>
                <w:highlight w:val="none"/>
                <w:lang w:val="en-US" w:eastAsia="zh-CN" w:bidi="ar-SA"/>
              </w:rPr>
            </w:pPr>
            <w:r>
              <w:rPr>
                <w:rFonts w:hint="eastAsia"/>
                <w:szCs w:val="21"/>
                <w:highlight w:val="none"/>
              </w:rPr>
              <w:t>最高管理者负责岗位的设定、职责和权限的指派工作。并有通过文件、会议、培训等方式将职责、权限传达到组织相关部门及层次。审核发现组织的角色、职责和权限基本得到有效沟通和贯彻实施。</w:t>
            </w:r>
          </w:p>
        </w:tc>
        <w:tc>
          <w:tcPr>
            <w:tcW w:w="0" w:type="auto"/>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highlight w:val="none"/>
              </w:rPr>
            </w:pPr>
            <w:r>
              <w:rPr>
                <w:rFonts w:hint="default"/>
                <w:highlight w:val="none"/>
              </w:rPr>
              <w:t>方针</w:t>
            </w:r>
          </w:p>
          <w:p>
            <w:pPr>
              <w:pStyle w:val="3"/>
              <w:jc w:val="both"/>
              <w:rPr>
                <w:rFonts w:hint="default" w:ascii="黑体" w:hAnsi="Times New Roman" w:eastAsia="黑体" w:cs="Times New Roman"/>
                <w:b/>
                <w:kern w:val="2"/>
                <w:sz w:val="84"/>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目标和措施计划</w:t>
            </w:r>
          </w:p>
        </w:tc>
        <w:tc>
          <w:tcPr>
            <w:tcW w:w="0" w:type="auto"/>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 xml:space="preserve">Q：5.2 </w:t>
            </w:r>
          </w:p>
          <w:p>
            <w:pPr>
              <w:jc w:val="center"/>
              <w:rPr>
                <w:rFonts w:hint="default" w:ascii="Times New Roman" w:hAnsi="Times New Roman" w:eastAsia="宋体" w:cs="Times New Roman"/>
                <w:kern w:val="2"/>
                <w:sz w:val="21"/>
                <w:szCs w:val="24"/>
                <w:highlight w:val="none"/>
                <w:lang w:val="en-US" w:eastAsia="zh-CN" w:bidi="ar-SA"/>
              </w:rPr>
            </w:pPr>
            <w:r>
              <w:rPr>
                <w:rFonts w:hint="default" w:asciiTheme="minorEastAsia" w:hAnsiTheme="minorEastAsia" w:eastAsiaTheme="minorEastAsia" w:cstheme="minorEastAsia"/>
                <w:szCs w:val="24"/>
                <w:highlight w:val="none"/>
              </w:rPr>
              <w:t xml:space="preserve">6.2 </w:t>
            </w:r>
          </w:p>
        </w:tc>
        <w:tc>
          <w:tcPr>
            <w:tcW w:w="0" w:type="auto"/>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科技领先、产品创优、客户满意、诚信双赢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方针在质量手册中予以规定，经总经理批准实施。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质量方针基本适宜。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质量目标：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产品一次检验合格率≥95%；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顾客满意度92分以上。</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制定“质量目标分解考核表”，对目标实现进行了策划；并将目标分解到各部门；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szCs w:val="24"/>
                <w:highlight w:val="none"/>
                <w:lang w:val="en-US" w:eastAsia="zh-CN"/>
              </w:rPr>
              <w:t>“质量目标分解考核表”显示对目标完成情况进行了考核，2022年1—3月均完成</w:t>
            </w:r>
            <w:r>
              <w:rPr>
                <w:rFonts w:hint="eastAsia" w:cs="Times New Roman"/>
                <w:szCs w:val="24"/>
                <w:highlight w:val="none"/>
                <w:lang w:val="en-US" w:eastAsia="zh-CN"/>
              </w:rPr>
              <w:t>。</w:t>
            </w:r>
          </w:p>
        </w:tc>
        <w:tc>
          <w:tcPr>
            <w:tcW w:w="0" w:type="auto"/>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default"/>
              </w:rPr>
              <w:t>资源</w:t>
            </w:r>
          </w:p>
        </w:tc>
        <w:tc>
          <w:tcPr>
            <w:tcW w:w="0" w:type="auto"/>
            <w:vAlign w:val="center"/>
          </w:tcPr>
          <w:p>
            <w:pPr>
              <w:jc w:val="center"/>
              <w:rPr>
                <w:rFonts w:hint="default" w:ascii="Times New Roman" w:hAnsi="Times New Roman" w:cs="Times New Roman" w:eastAsiaTheme="minorEastAsia"/>
                <w:kern w:val="2"/>
                <w:sz w:val="21"/>
                <w:lang w:val="en-US" w:eastAsia="zh-CN" w:bidi="ar-SA"/>
              </w:rPr>
            </w:pPr>
            <w:r>
              <w:rPr>
                <w:rFonts w:hint="default"/>
              </w:rPr>
              <w:t>Q：7.1</w:t>
            </w:r>
          </w:p>
        </w:tc>
        <w:tc>
          <w:tcPr>
            <w:tcW w:w="0" w:type="auto"/>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lang w:val="en-US" w:eastAsia="zh-CN"/>
              </w:rPr>
            </w:pPr>
            <w:r>
              <w:rPr>
                <w:rFonts w:hint="eastAsia"/>
              </w:rPr>
              <w:t>公司</w:t>
            </w:r>
            <w:r>
              <w:rPr>
                <w:rFonts w:hint="eastAsia"/>
                <w:lang w:val="en-US" w:eastAsia="zh-CN"/>
              </w:rPr>
              <w:t>注册资金1000万</w:t>
            </w:r>
            <w:r>
              <w:rPr>
                <w:rFonts w:hint="eastAsia"/>
                <w:highlight w:val="none"/>
                <w:lang w:val="en-US" w:eastAsia="zh-CN"/>
              </w:rPr>
              <w:t>元；</w:t>
            </w:r>
            <w:r>
              <w:rPr>
                <w:rFonts w:hint="eastAsia"/>
                <w:highlight w:val="none"/>
              </w:rPr>
              <w:t>占地面积</w:t>
            </w:r>
            <w:r>
              <w:rPr>
                <w:rFonts w:hint="eastAsia"/>
                <w:highlight w:val="none"/>
                <w:lang w:val="en-US" w:eastAsia="zh-CN"/>
              </w:rPr>
              <w:t>67</w:t>
            </w:r>
            <w:r>
              <w:rPr>
                <w:rFonts w:hint="eastAsia"/>
                <w:highlight w:val="none"/>
              </w:rPr>
              <w:t>00平方米左右</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rPr>
                <w:rFonts w:hint="eastAsia"/>
                <w:lang w:val="en-US" w:eastAsia="zh-CN"/>
              </w:rPr>
              <w:t>公司现有人数32人，管理人员10人，作业工人22人，主要设备有</w:t>
            </w:r>
            <w:r>
              <w:rPr>
                <w:rFonts w:hint="eastAsia"/>
                <w:color w:val="auto"/>
                <w:szCs w:val="22"/>
                <w:highlight w:val="none"/>
                <w:lang w:val="en-US" w:eastAsia="zh-CN"/>
              </w:rPr>
              <w:t>全自动清花线、梳棉机、并条机、气流纺</w:t>
            </w:r>
            <w:r>
              <w:rPr>
                <w:rFonts w:hint="eastAsia"/>
              </w:rPr>
              <w:t>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s="Times New Roman"/>
                <w:b w:val="0"/>
                <w:kern w:val="2"/>
                <w:sz w:val="21"/>
                <w:lang w:val="en-US" w:eastAsia="zh-CN" w:bidi="ar-SA"/>
              </w:rPr>
            </w:pPr>
            <w:r>
              <w:rPr>
                <w:rFonts w:hint="eastAsia" w:cs="Times New Roman"/>
                <w:b w:val="0"/>
                <w:kern w:val="2"/>
                <w:sz w:val="21"/>
                <w:lang w:val="en-US" w:eastAsia="zh-CN" w:bidi="ar-SA"/>
              </w:rPr>
              <w:t>特种设备：叉车。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s="Times New Roman"/>
                <w:b w:val="0"/>
                <w:kern w:val="2"/>
                <w:sz w:val="21"/>
                <w:lang w:val="en-US" w:eastAsia="zh-CN" w:bidi="ar-SA"/>
              </w:rPr>
            </w:pPr>
            <w:r>
              <w:rPr>
                <w:rFonts w:hint="eastAsia" w:cs="Times New Roman"/>
                <w:b w:val="0"/>
                <w:kern w:val="2"/>
                <w:sz w:val="21"/>
                <w:lang w:val="en-US" w:eastAsia="zh-CN" w:bidi="ar-SA"/>
              </w:rPr>
              <w:t>主要检测设备：</w:t>
            </w:r>
            <w:r>
              <w:rPr>
                <w:rFonts w:hint="eastAsia" w:ascii="Times New Roman" w:hAnsi="Times New Roman" w:eastAsia="宋体" w:cs="Times New Roman"/>
                <w:color w:val="auto"/>
                <w:szCs w:val="22"/>
                <w:highlight w:val="none"/>
                <w:lang w:val="en-US" w:eastAsia="zh-CN"/>
              </w:rPr>
              <w:t>电子秤</w:t>
            </w:r>
            <w:r>
              <w:rPr>
                <w:rFonts w:hint="eastAsia"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lang w:val="en-US" w:eastAsia="zh-CN"/>
              </w:rPr>
              <w:t>现有的人员、设备基本能够满足业务服务要求。</w:t>
            </w:r>
          </w:p>
        </w:tc>
        <w:tc>
          <w:tcPr>
            <w:tcW w:w="0" w:type="auto"/>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信息交流</w:t>
            </w:r>
          </w:p>
        </w:tc>
        <w:tc>
          <w:tcPr>
            <w:tcW w:w="0" w:type="auto"/>
            <w:vAlign w:val="center"/>
          </w:tcPr>
          <w:p>
            <w:pPr>
              <w:jc w:val="center"/>
              <w:rPr>
                <w:rFonts w:hint="default" w:asciiTheme="minorEastAsia" w:hAnsiTheme="minorEastAsia" w:eastAsiaTheme="minorEastAsia" w:cstheme="minorEastAsia"/>
                <w:kern w:val="2"/>
                <w:sz w:val="21"/>
                <w:szCs w:val="24"/>
                <w:highlight w:val="none"/>
                <w:lang w:val="en-US" w:eastAsia="zh-CN" w:bidi="ar-SA"/>
              </w:rPr>
            </w:pPr>
            <w:r>
              <w:rPr>
                <w:rFonts w:hint="default" w:asciiTheme="minorEastAsia" w:hAnsiTheme="minorEastAsia" w:eastAsiaTheme="minorEastAsia" w:cstheme="minorEastAsia"/>
                <w:szCs w:val="24"/>
                <w:highlight w:val="none"/>
              </w:rPr>
              <w:t>Q：7.4</w:t>
            </w:r>
          </w:p>
        </w:tc>
        <w:tc>
          <w:tcPr>
            <w:tcW w:w="0" w:type="auto"/>
            <w:vAlign w:val="center"/>
          </w:tcPr>
          <w:p>
            <w:pPr>
              <w:keepNext w:val="0"/>
              <w:keepLines w:val="0"/>
              <w:pageBreakBefore w:val="0"/>
              <w:widowControl w:val="0"/>
              <w:kinsoku/>
              <w:wordWrap/>
              <w:overflowPunct/>
              <w:topLinePunct w:val="0"/>
              <w:autoSpaceDE/>
              <w:autoSpaceDN/>
              <w:bidi w:val="0"/>
              <w:adjustRightInd/>
              <w:spacing w:line="360" w:lineRule="auto"/>
              <w:ind w:firstLine="468"/>
              <w:textAlignment w:val="auto"/>
              <w:rPr>
                <w:rFonts w:hint="default" w:ascii="Times New Roman" w:hAnsi="Times New Roman" w:cs="Times New Roman"/>
                <w:szCs w:val="24"/>
                <w:highlight w:val="none"/>
              </w:rPr>
            </w:pPr>
            <w:r>
              <w:rPr>
                <w:rFonts w:hint="default" w:ascii="Times New Roman" w:hAnsi="Times New Roman" w:cs="Times New Roman"/>
                <w:szCs w:val="24"/>
                <w:highlight w:val="none"/>
              </w:rPr>
              <w:t>组织在各部门之间建立了与体系有关的信息通渠沟道，借助于会议、电话、口头交流等方式使全体员工达到沟通和理解。目前各部门协调一致，工作上的借口基本理顺。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4"/>
                <w:highlight w:val="none"/>
              </w:rPr>
            </w:pPr>
            <w:r>
              <w:rPr>
                <w:rFonts w:hint="default" w:ascii="Times New Roman" w:hAnsi="Times New Roman" w:cs="Times New Roman"/>
                <w:szCs w:val="24"/>
                <w:highlight w:val="none"/>
              </w:rPr>
              <w:t>编制了《信息交流、协商和沟通控制程序》，确了内部外部信息交流的内容及职责，基本符合。</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4"/>
                <w:highlight w:val="none"/>
              </w:rPr>
            </w:pPr>
            <w:r>
              <w:rPr>
                <w:rFonts w:hint="default" w:ascii="Times New Roman" w:hAnsi="Times New Roman" w:cs="Times New Roman"/>
                <w:szCs w:val="24"/>
                <w:highlight w:val="none"/>
              </w:rPr>
              <w:t>对外部相关方进行信息的交流方式：通过文件传真、接收通知、现场交流、合同协议、上网、施加影响等方式沟通协商，目前主要是接收上级通知；与供方通过合同就采购产品的要求进行沟通；</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4"/>
                <w:highlight w:val="none"/>
              </w:rPr>
            </w:pPr>
            <w:r>
              <w:rPr>
                <w:rFonts w:hint="default" w:ascii="Times New Roman" w:hAnsi="Times New Roman" w:cs="Times New Roman"/>
                <w:szCs w:val="24"/>
                <w:highlight w:val="none"/>
              </w:rPr>
              <w:t>内部、外部沟通协商的机制已建立运行，有效。</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现场查见会议记录、通知通报、培训记录、文件签收等组织内部培训方式相关记录。现有的沟通渠道和方法能满足要求。审核中未发现因沟通不利不及时而造成（影响）某项工作不能正常运行的情况。</w:t>
            </w:r>
          </w:p>
        </w:tc>
        <w:tc>
          <w:tcPr>
            <w:tcW w:w="0" w:type="auto"/>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管理评审</w:t>
            </w:r>
          </w:p>
        </w:tc>
        <w:tc>
          <w:tcPr>
            <w:tcW w:w="0" w:type="auto"/>
            <w:vAlign w:val="center"/>
          </w:tcPr>
          <w:p>
            <w:pPr>
              <w:jc w:val="center"/>
              <w:rPr>
                <w:rFonts w:hint="default" w:asciiTheme="minorEastAsia" w:hAnsiTheme="minorEastAsia" w:eastAsiaTheme="minorEastAsia" w:cstheme="minorEastAsia"/>
                <w:kern w:val="2"/>
                <w:sz w:val="21"/>
                <w:szCs w:val="24"/>
                <w:highlight w:val="none"/>
                <w:lang w:val="en-US" w:eastAsia="zh-CN" w:bidi="ar-SA"/>
              </w:rPr>
            </w:pPr>
            <w:r>
              <w:rPr>
                <w:rFonts w:hint="default" w:asciiTheme="minorEastAsia" w:hAnsiTheme="minorEastAsia" w:eastAsiaTheme="minorEastAsia" w:cstheme="minorEastAsia"/>
                <w:szCs w:val="24"/>
                <w:highlight w:val="none"/>
              </w:rPr>
              <w:t xml:space="preserve">Q：9.3  </w:t>
            </w:r>
          </w:p>
        </w:tc>
        <w:tc>
          <w:tcPr>
            <w:tcW w:w="0" w:type="auto"/>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4"/>
                <w:highlight w:val="none"/>
              </w:rPr>
            </w:pPr>
            <w:r>
              <w:rPr>
                <w:rFonts w:hint="default" w:ascii="Times New Roman" w:hAnsi="Times New Roman" w:cs="Times New Roman"/>
                <w:szCs w:val="24"/>
                <w:highlight w:val="none"/>
              </w:rPr>
              <w:t>查看《管理评审程序》，</w:t>
            </w:r>
            <w:r>
              <w:rPr>
                <w:rFonts w:hint="eastAsia" w:cs="Times New Roman"/>
                <w:szCs w:val="24"/>
                <w:highlight w:val="none"/>
                <w:lang w:val="en-US" w:eastAsia="zh-CN"/>
              </w:rPr>
              <w:t>有效文件</w:t>
            </w:r>
            <w:r>
              <w:rPr>
                <w:rFonts w:hint="default" w:ascii="Times New Roman" w:hAnsi="Times New Roman" w:cs="Times New Roman"/>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lang w:val="en-US" w:eastAsia="zh-CN"/>
              </w:rPr>
            </w:pPr>
            <w:r>
              <w:rPr>
                <w:rFonts w:hint="eastAsia" w:ascii="Times New Roman" w:hAnsi="Times New Roman" w:cs="Times New Roman"/>
                <w:szCs w:val="22"/>
                <w:highlight w:val="none"/>
                <w:lang w:val="en-US" w:eastAsia="zh-CN"/>
              </w:rPr>
              <w:t>2022年5月19日在公司会议室由谌摇摇总经</w:t>
            </w:r>
            <w:r>
              <w:rPr>
                <w:rFonts w:hint="eastAsia"/>
                <w:highlight w:val="none"/>
                <w:lang w:val="en-US" w:eastAsia="zh-CN"/>
              </w:rPr>
              <w:t>理主持召开管理评审会议；</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ighlight w:val="none"/>
                <w:lang w:val="en-US" w:eastAsia="zh-CN"/>
              </w:rPr>
            </w:pPr>
            <w:r>
              <w:rPr>
                <w:rFonts w:hint="eastAsia"/>
                <w:highlight w:val="none"/>
                <w:lang w:val="en-US" w:eastAsia="zh-CN"/>
              </w:rPr>
              <w:t>保留管理评审计划、管理评审报告、管理评审会议纪要等；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管理评审结论：质量管理体系的建立和运行是充分的、适宜的、有效的。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改进措施要求：改善生产现场环境，返工品、合格品、不合格品分区域堆放</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szCs w:val="22"/>
                <w:highlight w:val="none"/>
                <w:lang w:val="en-US" w:eastAsia="zh-CN"/>
              </w:rPr>
              <w:t>保留有“管理评审改进措施计划”。</w:t>
            </w:r>
          </w:p>
        </w:tc>
        <w:tc>
          <w:tcPr>
            <w:tcW w:w="0" w:type="auto"/>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改进</w:t>
            </w:r>
          </w:p>
        </w:tc>
        <w:tc>
          <w:tcPr>
            <w:tcW w:w="0" w:type="auto"/>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Q：10.1</w:t>
            </w:r>
          </w:p>
          <w:p>
            <w:pPr>
              <w:jc w:val="center"/>
              <w:rPr>
                <w:rFonts w:hint="default" w:asciiTheme="minorEastAsia" w:hAnsiTheme="minorEastAsia" w:eastAsiaTheme="minorEastAsia" w:cstheme="minorEastAsia"/>
                <w:kern w:val="2"/>
                <w:sz w:val="21"/>
                <w:szCs w:val="24"/>
                <w:highlight w:val="none"/>
                <w:lang w:val="en-US" w:eastAsia="zh-CN" w:bidi="ar-SA"/>
              </w:rPr>
            </w:pPr>
            <w:r>
              <w:rPr>
                <w:rFonts w:hint="default" w:asciiTheme="minorEastAsia" w:hAnsiTheme="minorEastAsia" w:eastAsiaTheme="minorEastAsia" w:cstheme="minorEastAsia"/>
                <w:szCs w:val="24"/>
                <w:highlight w:val="none"/>
              </w:rPr>
              <w:t>10.3</w:t>
            </w:r>
          </w:p>
        </w:tc>
        <w:tc>
          <w:tcPr>
            <w:tcW w:w="0" w:type="auto"/>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管理者代表根据总经理意图组织持续改进过程的策划工作，由</w:t>
            </w:r>
            <w:r>
              <w:rPr>
                <w:rFonts w:hint="eastAsia" w:ascii="Times New Roman" w:hAnsi="Times New Roman" w:eastAsia="宋体" w:cs="Times New Roman"/>
                <w:szCs w:val="24"/>
                <w:highlight w:val="none"/>
                <w:lang w:val="en-US" w:eastAsia="zh-CN"/>
              </w:rPr>
              <w:t>行政部</w:t>
            </w:r>
            <w:r>
              <w:rPr>
                <w:rFonts w:hint="default" w:ascii="Times New Roman" w:hAnsi="Times New Roman" w:eastAsia="宋体" w:cs="Times New Roman"/>
                <w:szCs w:val="24"/>
                <w:highlight w:val="none"/>
              </w:rPr>
              <w:t>实施持续改进过程的管理。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szCs w:val="24"/>
                <w:highlight w:val="none"/>
              </w:rPr>
              <w:t>自体系运行以来，全员的质量意识有较大的提高，持续改进了管理体系的有效性。</w:t>
            </w:r>
          </w:p>
        </w:tc>
        <w:tc>
          <w:tcPr>
            <w:tcW w:w="0" w:type="auto"/>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s="Arial"/>
                <w:spacing w:val="-6"/>
                <w:sz w:val="21"/>
                <w:szCs w:val="21"/>
                <w:highlight w:val="none"/>
              </w:rPr>
              <w:t>验证资质</w:t>
            </w:r>
          </w:p>
        </w:tc>
        <w:tc>
          <w:tcPr>
            <w:tcW w:w="0" w:type="auto"/>
            <w:vAlign w:val="top"/>
          </w:tcPr>
          <w:p>
            <w:pPr>
              <w:rPr>
                <w:rFonts w:hint="eastAsia" w:asciiTheme="majorEastAsia" w:hAnsiTheme="majorEastAsia" w:eastAsiaTheme="majorEastAsia" w:cstheme="majorEastAsia"/>
                <w:kern w:val="2"/>
                <w:sz w:val="21"/>
                <w:szCs w:val="21"/>
                <w:highlight w:val="none"/>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imes New Roman" w:hAnsi="Times New Roman" w:eastAsia="宋体" w:cs="Times New Roman"/>
                <w:szCs w:val="22"/>
                <w:highlight w:val="none"/>
                <w:lang w:val="en-US" w:eastAsia="zh-CN"/>
              </w:rPr>
              <w:t>经查验营业执照有效。信用平台查询，无不良信息。</w:t>
            </w:r>
          </w:p>
        </w:tc>
        <w:tc>
          <w:tcPr>
            <w:tcW w:w="0" w:type="auto"/>
            <w:vAlign w:val="center"/>
          </w:tcPr>
          <w:p>
            <w:pPr>
              <w:jc w:val="center"/>
              <w:rPr>
                <w:rFonts w:hint="eastAsia" w:asciiTheme="majorEastAsia" w:hAnsiTheme="majorEastAsia" w:eastAsiaTheme="majorEastAsia" w:cstheme="majorEastAsia"/>
                <w:kern w:val="2"/>
                <w:sz w:val="21"/>
                <w:szCs w:val="21"/>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cs="Arial"/>
                <w:spacing w:val="-6"/>
                <w:sz w:val="21"/>
                <w:szCs w:val="21"/>
                <w:highlight w:val="none"/>
              </w:rPr>
            </w:pPr>
            <w:r>
              <w:rPr>
                <w:rFonts w:hint="eastAsia" w:ascii="宋体" w:hAnsi="宋体" w:cs="Arial"/>
                <w:spacing w:val="-6"/>
                <w:sz w:val="21"/>
                <w:szCs w:val="21"/>
                <w:highlight w:val="none"/>
              </w:rPr>
              <w:t>国家/地方抽查</w:t>
            </w:r>
          </w:p>
          <w:p>
            <w:pPr>
              <w:rPr>
                <w:rFonts w:hint="eastAsia" w:ascii="宋体" w:hAnsi="宋体" w:cs="Arial"/>
                <w:spacing w:val="-6"/>
                <w:sz w:val="21"/>
                <w:szCs w:val="21"/>
                <w:highlight w:val="none"/>
              </w:rPr>
            </w:pPr>
            <w:r>
              <w:rPr>
                <w:rFonts w:hint="eastAsia" w:ascii="宋体" w:hAnsi="宋体" w:cs="Arial"/>
                <w:spacing w:val="-6"/>
                <w:sz w:val="21"/>
                <w:szCs w:val="21"/>
                <w:highlight w:val="none"/>
              </w:rPr>
              <w:t>顾客满意</w:t>
            </w:r>
          </w:p>
          <w:p>
            <w:pPr>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s="Arial"/>
                <w:spacing w:val="-6"/>
                <w:sz w:val="21"/>
                <w:szCs w:val="21"/>
                <w:highlight w:val="none"/>
              </w:rPr>
              <w:t>相关方投诉处理</w:t>
            </w:r>
          </w:p>
        </w:tc>
        <w:tc>
          <w:tcPr>
            <w:tcW w:w="0" w:type="auto"/>
            <w:vAlign w:val="top"/>
          </w:tcPr>
          <w:p>
            <w:pPr>
              <w:rPr>
                <w:rFonts w:hint="eastAsia" w:asciiTheme="majorEastAsia" w:hAnsiTheme="majorEastAsia" w:eastAsiaTheme="majorEastAsia" w:cstheme="majorEastAsia"/>
                <w:kern w:val="2"/>
                <w:sz w:val="21"/>
                <w:szCs w:val="21"/>
                <w:highlight w:val="none"/>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自体系建立以来，未受到上级主管部门有关质量问题的行政处罚。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highlight w:val="none"/>
                <w:lang w:val="en-US" w:eastAsia="zh-CN"/>
              </w:rPr>
            </w:pPr>
            <w:r>
              <w:rPr>
                <w:rFonts w:hint="eastAsia" w:cs="Times New Roman"/>
                <w:szCs w:val="22"/>
                <w:highlight w:val="none"/>
                <w:lang w:val="en-US" w:eastAsia="zh-CN"/>
              </w:rPr>
              <w:t>顾客满意：</w:t>
            </w:r>
            <w:r>
              <w:rPr>
                <w:rFonts w:hint="eastAsia" w:ascii="Times New Roman" w:hAnsi="Times New Roman" w:cs="Times New Roman" w:eastAsiaTheme="minorEastAsia"/>
                <w:sz w:val="21"/>
                <w:szCs w:val="21"/>
                <w:highlight w:val="none"/>
                <w:lang w:val="en-US" w:eastAsia="zh-CN"/>
              </w:rPr>
              <w:t>2022.3.30“顾客满意度调查分析”，满意度99%，目标已实现。</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未发生相关方的投诉。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Times New Roman" w:hAnsi="Times New Roman" w:eastAsia="宋体" w:cs="Times New Roman"/>
                <w:szCs w:val="22"/>
                <w:highlight w:val="none"/>
                <w:lang w:val="en-US" w:eastAsia="zh-CN"/>
              </w:rPr>
              <w:t>国家/地方抽查情况</w:t>
            </w:r>
            <w:r>
              <w:rPr>
                <w:rFonts w:hint="eastAsia" w:cs="Times New Roman"/>
                <w:szCs w:val="22"/>
                <w:highlight w:val="none"/>
                <w:lang w:val="en-US" w:eastAsia="zh-CN"/>
              </w:rPr>
              <w:t>，未发现本公司的质量问题，未进行过通报</w:t>
            </w:r>
            <w:r>
              <w:rPr>
                <w:rFonts w:hint="eastAsia" w:ascii="Times New Roman" w:hAnsi="Times New Roman" w:eastAsia="宋体" w:cs="Times New Roman"/>
                <w:szCs w:val="22"/>
                <w:highlight w:val="none"/>
                <w:lang w:val="en-US" w:eastAsia="zh-CN"/>
              </w:rPr>
              <w:t>。</w:t>
            </w:r>
          </w:p>
        </w:tc>
        <w:tc>
          <w:tcPr>
            <w:tcW w:w="0" w:type="auto"/>
            <w:vAlign w:val="center"/>
          </w:tcPr>
          <w:p>
            <w:pPr>
              <w:jc w:val="center"/>
              <w:rPr>
                <w:rFonts w:hint="eastAsia" w:asciiTheme="majorEastAsia" w:hAnsiTheme="majorEastAsia" w:eastAsiaTheme="majorEastAsia" w:cstheme="majorEastAsia"/>
                <w:kern w:val="2"/>
                <w:sz w:val="21"/>
                <w:szCs w:val="21"/>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highlight w:val="none"/>
                <w:lang w:val="en-US" w:eastAsia="zh-CN" w:bidi="ar-SA"/>
              </w:rPr>
            </w:pPr>
            <w:r>
              <w:rPr>
                <w:rFonts w:hint="eastAsia" w:ascii="宋体" w:hAnsi="宋体"/>
                <w:sz w:val="21"/>
                <w:szCs w:val="21"/>
                <w:highlight w:val="none"/>
                <w:lang w:val="en-US" w:eastAsia="zh-CN"/>
              </w:rPr>
              <w:t>一阶段审核</w:t>
            </w:r>
            <w:r>
              <w:rPr>
                <w:rFonts w:hint="eastAsia" w:ascii="宋体" w:hAnsi="宋体"/>
                <w:sz w:val="21"/>
                <w:szCs w:val="21"/>
                <w:highlight w:val="none"/>
              </w:rPr>
              <w:t>不符合项的验证</w:t>
            </w:r>
          </w:p>
        </w:tc>
        <w:tc>
          <w:tcPr>
            <w:tcW w:w="0" w:type="auto"/>
            <w:vAlign w:val="top"/>
          </w:tcPr>
          <w:p>
            <w:pPr>
              <w:rPr>
                <w:rFonts w:hint="eastAsia" w:ascii="Times New Roman" w:hAnsi="Times New Roman" w:eastAsia="宋体" w:cs="Times New Roman"/>
                <w:kern w:val="2"/>
                <w:sz w:val="21"/>
                <w:highlight w:val="none"/>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color w:val="auto"/>
                <w:szCs w:val="22"/>
                <w:highlight w:val="none"/>
                <w:lang w:val="en-US" w:eastAsia="zh-CN"/>
              </w:rPr>
              <w:t>一阶段审核未开具不符合项。</w:t>
            </w:r>
          </w:p>
        </w:tc>
        <w:tc>
          <w:tcPr>
            <w:tcW w:w="0" w:type="auto"/>
            <w:vAlign w:val="center"/>
          </w:tcPr>
          <w:p>
            <w:pPr>
              <w:jc w:val="center"/>
              <w:rPr>
                <w:rFonts w:hint="eastAsia" w:asciiTheme="majorEastAsia" w:hAnsiTheme="majorEastAsia" w:eastAsiaTheme="majorEastAsia" w:cstheme="majorEastAsia"/>
                <w:kern w:val="2"/>
                <w:sz w:val="21"/>
                <w:szCs w:val="21"/>
                <w:highlight w:val="none"/>
                <w:lang w:val="en-US" w:eastAsia="zh-CN" w:bidi="ar-SA"/>
              </w:rPr>
            </w:pPr>
            <w:r>
              <w:rPr>
                <w:rFonts w:hint="eastAsia"/>
                <w:highlight w:val="none"/>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50B26CE9"/>
    <w:rsid w:val="76043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黑体" w:eastAsia="黑体"/>
      <w:b/>
      <w:sz w:val="8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100</Characters>
  <Lines>1</Lines>
  <Paragraphs>1</Paragraphs>
  <TotalTime>8</TotalTime>
  <ScaleCrop>false</ScaleCrop>
  <LinksUpToDate>false</LinksUpToDate>
  <CharactersWithSpaces>119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2022-06-15T00:55:55Z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531F5CB94451464B96C568D94D5AFAEA</vt:lpwstr>
  </property>
  <property fmtid="{D5CDD505-2E9C-101B-9397-08002B2CF9AE}" pid="3" name="KSOProductBuildVer">
    <vt:lpwstr>2052-11.1.0.11744</vt:lpwstr>
  </property>
</Properties>
</file>