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0791-2022-Q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11"/>
        <w:gridCol w:w="1848"/>
        <w:gridCol w:w="814"/>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杭州特种纸业有限公司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913301837368823842</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15" w:name="_GoBack"/>
            <w:bookmarkEnd w:id="15"/>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350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3"/>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3"/>
            <w:vMerge w:val="restart"/>
          </w:tcPr>
          <w:p>
            <w:pPr>
              <w:snapToGrid w:val="0"/>
              <w:spacing w:line="0" w:lineRule="atLeast"/>
              <w:jc w:val="left"/>
              <w:rPr>
                <w:sz w:val="22"/>
                <w:szCs w:val="22"/>
                <w:lang w:val="en-GB"/>
              </w:rPr>
            </w:pPr>
            <w:bookmarkStart w:id="11" w:name="组织名称Add1"/>
            <w:r>
              <w:rPr>
                <w:rFonts w:hint="eastAsia"/>
                <w:sz w:val="22"/>
                <w:szCs w:val="22"/>
              </w:rPr>
              <w:t>杭州特种纸业有限公司</w:t>
            </w:r>
            <w:bookmarkEnd w:id="11"/>
          </w:p>
        </w:tc>
        <w:tc>
          <w:tcPr>
            <w:tcW w:w="5013" w:type="dxa"/>
            <w:gridSpan w:val="3"/>
            <w:vMerge w:val="restart"/>
          </w:tcPr>
          <w:p>
            <w:pPr>
              <w:snapToGrid w:val="0"/>
              <w:spacing w:line="0" w:lineRule="atLeast"/>
              <w:jc w:val="left"/>
              <w:rPr>
                <w:sz w:val="22"/>
                <w:szCs w:val="22"/>
              </w:rPr>
            </w:pPr>
            <w:bookmarkStart w:id="12" w:name="审核范围"/>
            <w:r>
              <w:rPr>
                <w:sz w:val="22"/>
                <w:szCs w:val="22"/>
              </w:rPr>
              <w:t>特种纸（定性化学分析滤纸、定量化学分析滤纸、体外诊断材料、滤油纸、缓冲纸、花纹纸、吸水纸、杯垫纸、化纤滤纸、娟花纸、色层分析滤纸、钢纸、钢纸原纸）、口罩（非医用）、熔喷法非织造布的设计开发与生产</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3"/>
          </w:tcPr>
          <w:p>
            <w:pPr>
              <w:snapToGrid w:val="0"/>
              <w:spacing w:line="0" w:lineRule="atLeast"/>
              <w:jc w:val="left"/>
              <w:rPr>
                <w:sz w:val="22"/>
                <w:szCs w:val="22"/>
              </w:rPr>
            </w:pPr>
            <w:bookmarkStart w:id="13" w:name="注册地址"/>
            <w:r>
              <w:rPr>
                <w:rFonts w:hint="eastAsia"/>
                <w:sz w:val="22"/>
                <w:szCs w:val="22"/>
                <w:lang w:val="en-GB"/>
              </w:rPr>
              <w:t>浙江省杭州市富阳区鹿山街道上里工业区</w:t>
            </w:r>
            <w:bookmarkEnd w:id="13"/>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3"/>
          </w:tcPr>
          <w:p>
            <w:pPr>
              <w:snapToGrid w:val="0"/>
              <w:spacing w:line="0" w:lineRule="atLeast"/>
              <w:jc w:val="left"/>
              <w:rPr>
                <w:sz w:val="22"/>
                <w:szCs w:val="22"/>
              </w:rPr>
            </w:pPr>
            <w:bookmarkStart w:id="14" w:name="办公地址"/>
            <w:r>
              <w:rPr>
                <w:rFonts w:hint="eastAsia"/>
                <w:sz w:val="22"/>
                <w:szCs w:val="22"/>
                <w:lang w:val="en-GB"/>
              </w:rPr>
              <w:t>浙江省杭州市富阳区鹿山街道上里工业区</w:t>
            </w:r>
            <w:bookmarkEnd w:id="14"/>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3"/>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559" w:type="dxa"/>
            <w:gridSpan w:val="2"/>
          </w:tcPr>
          <w:p>
            <w:pPr>
              <w:snapToGrid w:val="0"/>
              <w:spacing w:line="0" w:lineRule="atLeast"/>
              <w:jc w:val="left"/>
              <w:rPr>
                <w:sz w:val="22"/>
                <w:szCs w:val="22"/>
              </w:rPr>
            </w:pPr>
            <w:r>
              <w:rPr>
                <w:rFonts w:hint="eastAsia" w:cs="Arial"/>
                <w:b/>
                <w:bCs/>
                <w:sz w:val="22"/>
                <w:szCs w:val="16"/>
              </w:rPr>
              <w:t>Hangzhou Special Paper Co., Ltd</w:t>
            </w:r>
          </w:p>
        </w:tc>
        <w:tc>
          <w:tcPr>
            <w:tcW w:w="814" w:type="dxa"/>
          </w:tcPr>
          <w:p>
            <w:pPr>
              <w:snapToGrid w:val="0"/>
              <w:spacing w:line="0" w:lineRule="atLeast"/>
              <w:jc w:val="left"/>
              <w:rPr>
                <w:rFonts w:hint="eastAsia" w:eastAsia="宋体"/>
                <w:sz w:val="22"/>
                <w:szCs w:val="22"/>
                <w:lang w:eastAsia="zh-CN"/>
              </w:rPr>
            </w:pPr>
            <w:r>
              <w:rPr>
                <w:rFonts w:hint="eastAsia"/>
                <w:sz w:val="22"/>
                <w:szCs w:val="22"/>
              </w:rPr>
              <w:t>QMS</w:t>
            </w:r>
            <w:r>
              <w:rPr>
                <w:rFonts w:hint="eastAsia"/>
                <w:sz w:val="22"/>
                <w:szCs w:val="22"/>
                <w:lang w:val="en-US" w:eastAsia="zh-CN"/>
              </w:rPr>
              <w:t xml:space="preserve"> </w:t>
            </w:r>
          </w:p>
        </w:tc>
        <w:tc>
          <w:tcPr>
            <w:tcW w:w="5013" w:type="dxa"/>
            <w:gridSpan w:val="3"/>
            <w:tcBorders/>
          </w:tcPr>
          <w:p>
            <w:pPr>
              <w:snapToGrid w:val="0"/>
              <w:spacing w:line="0" w:lineRule="atLeast"/>
              <w:jc w:val="left"/>
              <w:rPr>
                <w:sz w:val="21"/>
                <w:szCs w:val="16"/>
              </w:rPr>
            </w:pPr>
            <w:r>
              <w:rPr>
                <w:rFonts w:hint="eastAsia"/>
                <w:sz w:val="22"/>
                <w:szCs w:val="22"/>
              </w:rPr>
              <w:t>Design, development and production of special paper (qualitative chemical analysis filter paper, quantitative chemical analysis filter paper, external diagnostic materials, oil filter paper, buffer paper, pattern paper, absorbent paper, coaster paper, chemical fiber filter paper, Juan paper, color layer analysis filter paper, steel paper, steel base paper), masks (non-medical), melt-blown nonwoven fabric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gridSpan w:val="2"/>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7675" w:type="dxa"/>
            <w:gridSpan w:val="5"/>
            <w:tcBorders/>
          </w:tcPr>
          <w:p>
            <w:pPr>
              <w:snapToGrid w:val="0"/>
              <w:spacing w:line="0" w:lineRule="atLeast"/>
              <w:jc w:val="left"/>
              <w:rPr>
                <w:sz w:val="22"/>
                <w:szCs w:val="22"/>
              </w:rPr>
            </w:pPr>
            <w:r>
              <w:rPr>
                <w:rFonts w:hint="eastAsia" w:cs="Arial"/>
                <w:b/>
                <w:bCs/>
                <w:sz w:val="22"/>
                <w:szCs w:val="16"/>
              </w:rPr>
              <w:t>Shangli Industrial Zone, Lushan Street, Fuyang District, Hangzhou City, Zhejiang, P.R.China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287" w:type="dxa"/>
            <w:gridSpan w:val="2"/>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7675" w:type="dxa"/>
            <w:gridSpan w:val="5"/>
            <w:tcBorders/>
          </w:tcPr>
          <w:p>
            <w:pPr>
              <w:snapToGrid w:val="0"/>
              <w:spacing w:line="0" w:lineRule="atLeast"/>
              <w:jc w:val="left"/>
              <w:rPr>
                <w:sz w:val="22"/>
                <w:szCs w:val="22"/>
              </w:rPr>
            </w:pPr>
            <w:r>
              <w:rPr>
                <w:rFonts w:hint="eastAsia" w:cs="Arial"/>
                <w:b/>
                <w:bCs/>
                <w:sz w:val="22"/>
                <w:szCs w:val="16"/>
              </w:rPr>
              <w:t>Shangli Industrial Zone, Lushan Street, Fuyang District, Hangzhou City, Zhejiang, P.R.China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4"/>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0YTE0MGY2ZDNlMWRjNTY0YzZjODI1ZjhiNzdmYzQifQ=="/>
  </w:docVars>
  <w:rsids>
    <w:rsidRoot w:val="00000000"/>
    <w:rsid w:val="462E5AAB"/>
    <w:rsid w:val="540549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625</Words>
  <Characters>1362</Characters>
  <Lines>18</Lines>
  <Paragraphs>5</Paragraphs>
  <TotalTime>2</TotalTime>
  <ScaleCrop>false</ScaleCrop>
  <LinksUpToDate>false</LinksUpToDate>
  <CharactersWithSpaces>1577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2022-06-24T07:10:12Z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