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无锡万华机械有限公司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生产部岗位说明书中没有体现能源管理的要求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未对主要耗能设备进行能效测试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tbl>
            <w:tblPr>
              <w:tblStyle w:val="6"/>
              <w:tblW w:w="9923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3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033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简体" w:eastAsia="方正仿宋简体"/>
                      <w:b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b/>
                      <w:lang w:val="en-US" w:eastAsia="zh-CN"/>
                    </w:rPr>
                    <w:t>下次审核时关注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2033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b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能源计量器具的配备不满足要求，如生产线未安装电表、加热炉为安装电表。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公司的体系文件仍需结合实际进一步修订：如：</w:t>
            </w:r>
          </w:p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《能源采购</w:t>
            </w:r>
            <w:bookmarkStart w:id="12" w:name="_GoBack"/>
            <w:bookmarkEnd w:id="12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控制程序》中描述能源采购的负责部门是生产部，与公司实际采购部门（总经办）不一致。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013363"/>
    <w:rsid w:val="185F285D"/>
    <w:rsid w:val="198F0C80"/>
    <w:rsid w:val="1DF60BE7"/>
    <w:rsid w:val="2EFF5C08"/>
    <w:rsid w:val="2F836DC8"/>
    <w:rsid w:val="340410EC"/>
    <w:rsid w:val="381A3F75"/>
    <w:rsid w:val="77887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/>
      <w:b/>
      <w:bCs/>
      <w:sz w:val="2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58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2022-06-29T13:39:50Z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