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outlineLvl w:val="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956"/>
        <w:gridCol w:w="9954"/>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vAlign w:val="center"/>
          </w:tcPr>
          <w:p>
            <w:pPr>
              <w:spacing w:before="120"/>
              <w:jc w:val="center"/>
              <w:rPr>
                <w:rFonts w:asciiTheme="minorEastAsia" w:hAnsiTheme="minorEastAsia" w:eastAsiaTheme="minorEastAsia"/>
                <w:b/>
                <w:bCs/>
                <w:sz w:val="24"/>
                <w:szCs w:val="24"/>
              </w:rPr>
            </w:pPr>
            <w:bookmarkStart w:id="0" w:name="_Hlk105925059"/>
            <w:r>
              <w:rPr>
                <w:rFonts w:hint="eastAsia" w:asciiTheme="minorEastAsia" w:hAnsiTheme="minorEastAsia" w:eastAsiaTheme="minorEastAsia"/>
                <w:b/>
                <w:bCs/>
                <w:sz w:val="24"/>
                <w:szCs w:val="24"/>
              </w:rPr>
              <w:t>过程与活动、</w:t>
            </w:r>
          </w:p>
          <w:p>
            <w:pPr>
              <w:jc w:val="center"/>
              <w:rPr>
                <w:rFonts w:asciiTheme="minorEastAsia" w:hAnsiTheme="minorEastAsia" w:eastAsiaTheme="minorEastAsia"/>
                <w:b/>
                <w:bCs/>
              </w:rPr>
            </w:pPr>
            <w:r>
              <w:rPr>
                <w:rFonts w:hint="eastAsia" w:asciiTheme="minorEastAsia" w:hAnsiTheme="minorEastAsia" w:eastAsiaTheme="minorEastAsia"/>
                <w:b/>
                <w:bCs/>
                <w:sz w:val="24"/>
                <w:szCs w:val="24"/>
              </w:rPr>
              <w:t>抽样计划</w:t>
            </w:r>
          </w:p>
        </w:tc>
        <w:tc>
          <w:tcPr>
            <w:tcW w:w="956" w:type="dxa"/>
            <w:vMerge w:val="restart"/>
            <w:vAlign w:val="center"/>
          </w:tcPr>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涉及</w:t>
            </w:r>
          </w:p>
          <w:p>
            <w:pPr>
              <w:jc w:val="center"/>
              <w:rPr>
                <w:rFonts w:asciiTheme="minorEastAsia" w:hAnsiTheme="minorEastAsia" w:eastAsiaTheme="minorEastAsia"/>
                <w:b/>
                <w:bCs/>
              </w:rPr>
            </w:pPr>
            <w:r>
              <w:rPr>
                <w:rFonts w:hint="eastAsia" w:asciiTheme="minorEastAsia" w:hAnsiTheme="minorEastAsia" w:eastAsiaTheme="minorEastAsia"/>
                <w:b/>
                <w:bCs/>
                <w:sz w:val="24"/>
                <w:szCs w:val="24"/>
              </w:rPr>
              <w:t>条款</w:t>
            </w:r>
          </w:p>
        </w:tc>
        <w:tc>
          <w:tcPr>
            <w:tcW w:w="9954" w:type="dxa"/>
            <w:vAlign w:val="center"/>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受审核部门：领导层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主管领导：魏仁     陪同人员：郭嵘</w:t>
            </w:r>
          </w:p>
        </w:tc>
        <w:tc>
          <w:tcPr>
            <w:tcW w:w="1578" w:type="dxa"/>
            <w:vMerge w:val="restart"/>
            <w:vAlign w:val="center"/>
          </w:tcPr>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continue"/>
            <w:vAlign w:val="center"/>
          </w:tcPr>
          <w:p>
            <w:pPr>
              <w:rPr>
                <w:rFonts w:asciiTheme="minorEastAsia" w:hAnsiTheme="minorEastAsia" w:eastAsiaTheme="minorEastAsia"/>
              </w:rPr>
            </w:pPr>
          </w:p>
        </w:tc>
        <w:tc>
          <w:tcPr>
            <w:tcW w:w="956" w:type="dxa"/>
            <w:vMerge w:val="continue"/>
            <w:vAlign w:val="center"/>
          </w:tcPr>
          <w:p>
            <w:pPr>
              <w:rPr>
                <w:rFonts w:asciiTheme="minorEastAsia" w:hAnsiTheme="minorEastAsia" w:eastAsiaTheme="minorEastAsia"/>
              </w:rPr>
            </w:pPr>
          </w:p>
        </w:tc>
        <w:tc>
          <w:tcPr>
            <w:tcW w:w="9954" w:type="dxa"/>
            <w:vAlign w:val="center"/>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审核员：宋翠琳（远程审核工具采用微信、腾讯会议、电话、文件传输等）</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审核时间：</w:t>
            </w:r>
            <w:bookmarkStart w:id="1" w:name="审核日期"/>
            <w:r>
              <w:rPr>
                <w:rFonts w:asciiTheme="minorEastAsia" w:hAnsiTheme="minorEastAsia" w:eastAsiaTheme="minorEastAsia"/>
                <w:sz w:val="24"/>
                <w:szCs w:val="24"/>
              </w:rPr>
              <w:t xml:space="preserve">2022年6月28日 </w:t>
            </w:r>
            <w:bookmarkEnd w:id="1"/>
            <w:r>
              <w:rPr>
                <w:rFonts w:hint="eastAsia" w:asciiTheme="minorEastAsia" w:hAnsiTheme="minorEastAsia" w:eastAsiaTheme="minorEastAsia"/>
                <w:sz w:val="24"/>
                <w:szCs w:val="24"/>
              </w:rPr>
              <w:t>上午</w:t>
            </w:r>
            <w:r>
              <w:rPr>
                <w:rFonts w:asciiTheme="minorEastAsia" w:hAnsiTheme="minorEastAsia" w:eastAsiaTheme="minorEastAsia"/>
                <w:sz w:val="24"/>
                <w:szCs w:val="24"/>
              </w:rPr>
              <w:t>8:30-12:00</w:t>
            </w:r>
          </w:p>
        </w:tc>
        <w:tc>
          <w:tcPr>
            <w:tcW w:w="1578" w:type="dxa"/>
            <w:vMerge w:val="continue"/>
          </w:tcPr>
          <w:p>
            <w:pPr>
              <w:jc w:val="center"/>
              <w:rPr>
                <w:rFonts w:asciiTheme="minorEastAsia" w:hAnsiTheme="minorEastAsia" w:eastAsiaTheme="minorEastAsia"/>
                <w:b/>
                <w:bCs/>
                <w:sz w:val="24"/>
                <w:szCs w:val="24"/>
              </w:rPr>
            </w:pP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continue"/>
            <w:vAlign w:val="center"/>
          </w:tcPr>
          <w:p>
            <w:pPr>
              <w:rPr>
                <w:rFonts w:asciiTheme="minorEastAsia" w:hAnsiTheme="minorEastAsia" w:eastAsiaTheme="minorEastAsia"/>
              </w:rPr>
            </w:pPr>
          </w:p>
        </w:tc>
        <w:tc>
          <w:tcPr>
            <w:tcW w:w="956" w:type="dxa"/>
            <w:vMerge w:val="continue"/>
            <w:vAlign w:val="center"/>
          </w:tcPr>
          <w:p>
            <w:pPr>
              <w:rPr>
                <w:rFonts w:asciiTheme="minorEastAsia" w:hAnsiTheme="minorEastAsia" w:eastAsiaTheme="minorEastAsia"/>
              </w:rPr>
            </w:pPr>
          </w:p>
        </w:tc>
        <w:tc>
          <w:tcPr>
            <w:tcW w:w="9954" w:type="dxa"/>
            <w:vAlign w:val="center"/>
          </w:tcPr>
          <w:p>
            <w:pPr>
              <w:tabs>
                <w:tab w:val="left" w:pos="709"/>
              </w:tabs>
              <w:spacing w:line="360" w:lineRule="auto"/>
              <w:jc w:val="left"/>
              <w:rPr>
                <w:rFonts w:asciiTheme="minorEastAsia" w:hAnsiTheme="minorEastAsia" w:eastAsiaTheme="minorEastAsia"/>
                <w:szCs w:val="21"/>
              </w:rPr>
            </w:pPr>
            <w:r>
              <w:rPr>
                <w:rFonts w:hint="eastAsia" w:asciiTheme="minorEastAsia" w:hAnsiTheme="minorEastAsia" w:eastAsiaTheme="minorEastAsia"/>
                <w:sz w:val="24"/>
                <w:szCs w:val="24"/>
              </w:rPr>
              <w:t>审核条款：</w:t>
            </w:r>
            <w:r>
              <w:rPr>
                <w:rFonts w:hint="eastAsia" w:asciiTheme="minorEastAsia" w:hAnsiTheme="minorEastAsia" w:eastAsiaTheme="minorEastAsia"/>
                <w:szCs w:val="21"/>
              </w:rPr>
              <w:t>EnMS：4.1/4.2/4.3/4.4/5.1/5.2/5.3/6.1/</w:t>
            </w:r>
            <w:r>
              <w:rPr>
                <w:rFonts w:asciiTheme="minorEastAsia" w:hAnsiTheme="minorEastAsia" w:eastAsiaTheme="minorEastAsia"/>
                <w:szCs w:val="21"/>
              </w:rPr>
              <w:t>6.2</w:t>
            </w:r>
            <w:r>
              <w:rPr>
                <w:rFonts w:hint="eastAsia" w:asciiTheme="minorEastAsia" w:hAnsiTheme="minorEastAsia" w:eastAsiaTheme="minorEastAsia"/>
                <w:szCs w:val="21"/>
              </w:rPr>
              <w:t>/7.1/</w:t>
            </w:r>
            <w:r>
              <w:rPr>
                <w:rFonts w:asciiTheme="minorEastAsia" w:hAnsiTheme="minorEastAsia" w:eastAsiaTheme="minorEastAsia"/>
                <w:szCs w:val="21"/>
              </w:rPr>
              <w:t>7.4/9.1.1/</w:t>
            </w:r>
            <w:r>
              <w:rPr>
                <w:rFonts w:hint="eastAsia" w:asciiTheme="minorEastAsia" w:hAnsiTheme="minorEastAsia" w:eastAsiaTheme="minorEastAsia"/>
                <w:szCs w:val="21"/>
              </w:rPr>
              <w:t>9.3/10.</w:t>
            </w:r>
            <w:r>
              <w:rPr>
                <w:rFonts w:asciiTheme="minorEastAsia" w:hAnsiTheme="minorEastAsia" w:eastAsiaTheme="minorEastAsia"/>
                <w:szCs w:val="21"/>
              </w:rPr>
              <w:t>2</w:t>
            </w:r>
          </w:p>
        </w:tc>
        <w:tc>
          <w:tcPr>
            <w:tcW w:w="1578" w:type="dxa"/>
            <w:vMerge w:val="continue"/>
          </w:tcPr>
          <w:p>
            <w:pPr>
              <w:jc w:val="center"/>
              <w:rPr>
                <w:rFonts w:asciiTheme="minorEastAsia" w:hAnsiTheme="minorEastAsia" w:eastAsiaTheme="minorEastAsia"/>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rPr>
            </w:pPr>
            <w:r>
              <w:rPr>
                <w:rFonts w:hint="eastAsia" w:asciiTheme="minorEastAsia" w:hAnsiTheme="minorEastAsia" w:eastAsiaTheme="minorEastAsia"/>
              </w:rPr>
              <w:t>1．企业基本情况</w:t>
            </w:r>
          </w:p>
        </w:tc>
        <w:tc>
          <w:tcPr>
            <w:tcW w:w="956" w:type="dxa"/>
          </w:tcPr>
          <w:p>
            <w:pPr>
              <w:rPr>
                <w:rFonts w:asciiTheme="minorEastAsia" w:hAnsiTheme="minorEastAsia" w:eastAsiaTheme="minorEastAsia"/>
              </w:rPr>
            </w:pPr>
          </w:p>
        </w:tc>
        <w:tc>
          <w:tcPr>
            <w:tcW w:w="9954" w:type="dxa"/>
          </w:tcPr>
          <w:p>
            <w:pPr>
              <w:widowControl/>
              <w:spacing w:before="156" w:beforeLines="50" w:after="156" w:afterLines="50"/>
              <w:ind w:firstLine="210" w:firstLineChars="100"/>
              <w:jc w:val="left"/>
              <w:rPr>
                <w:rFonts w:ascii="宋体" w:hAnsi="宋体"/>
                <w:szCs w:val="21"/>
              </w:rPr>
            </w:pPr>
            <w:r>
              <w:rPr>
                <w:rFonts w:hint="eastAsia" w:ascii="宋体" w:hAnsi="宋体"/>
                <w:szCs w:val="21"/>
              </w:rPr>
              <w:t>经与魏仁总经理进行沟通了解企业基本情况：</w:t>
            </w:r>
            <w:bookmarkStart w:id="2" w:name="_Hlk107300245"/>
            <w:r>
              <w:rPr>
                <w:rFonts w:hint="eastAsia" w:ascii="宋体" w:hAnsi="宋体"/>
                <w:szCs w:val="21"/>
              </w:rPr>
              <w:t>无锡万华机械有限公司</w:t>
            </w:r>
            <w:bookmarkEnd w:id="2"/>
            <w:r>
              <w:rPr>
                <w:rFonts w:hint="eastAsia" w:ascii="宋体" w:hAnsi="宋体"/>
                <w:szCs w:val="21"/>
              </w:rPr>
              <w:t>于2000年04月13日成立，经营范围包括汽车零部件及配套附件、汽车冲压件、热成型冲压件、焊接件、金属结构件的研发、制造、加工；铝压延加工；金属表面处理加工等。</w:t>
            </w:r>
          </w:p>
          <w:p>
            <w:pPr>
              <w:widowControl/>
              <w:spacing w:before="156" w:beforeLines="50" w:after="156" w:afterLines="50"/>
              <w:ind w:firstLine="210" w:firstLineChars="100"/>
              <w:jc w:val="left"/>
              <w:rPr>
                <w:rFonts w:ascii="宋体" w:hAnsi="宋体"/>
                <w:szCs w:val="21"/>
              </w:rPr>
            </w:pPr>
            <w:r>
              <w:rPr>
                <w:rFonts w:hint="eastAsia" w:ascii="宋体" w:hAnsi="宋体"/>
                <w:szCs w:val="21"/>
              </w:rPr>
              <w:t>公司占地面积59454平方，建筑面积54500平方。公司汽车零部件的制造有：1）焊接生产线一条：4台焊接机器人；2）热成型生产线3条：包括加热炉3条、冲压机3台；3）切割生产线一条：包括激光切割机12台。</w:t>
            </w:r>
          </w:p>
          <w:p>
            <w:pPr>
              <w:widowControl/>
              <w:spacing w:before="156" w:beforeLines="50" w:after="156" w:afterLines="50"/>
              <w:ind w:firstLine="210" w:firstLineChars="100"/>
              <w:jc w:val="left"/>
              <w:rPr>
                <w:rFonts w:ascii="宋体" w:hAnsi="宋体"/>
                <w:sz w:val="21"/>
                <w:szCs w:val="21"/>
              </w:rPr>
            </w:pPr>
            <w:r>
              <w:rPr>
                <w:rFonts w:hint="eastAsia" w:ascii="宋体" w:hAnsi="宋体"/>
                <w:szCs w:val="21"/>
              </w:rPr>
              <w:t>公司注册资金</w:t>
            </w:r>
            <w:r>
              <w:rPr>
                <w:rFonts w:ascii="宋体" w:hAnsi="宋体"/>
                <w:szCs w:val="21"/>
              </w:rPr>
              <w:t>6800</w:t>
            </w:r>
            <w:r>
              <w:rPr>
                <w:rFonts w:hint="eastAsia" w:ascii="宋体" w:hAnsi="宋体"/>
                <w:szCs w:val="21"/>
              </w:rPr>
              <w:t>万元，固定资产</w:t>
            </w:r>
            <w:r>
              <w:rPr>
                <w:rFonts w:ascii="宋体" w:hAnsi="宋体"/>
                <w:szCs w:val="21"/>
              </w:rPr>
              <w:t>17163</w:t>
            </w:r>
            <w:r>
              <w:rPr>
                <w:rFonts w:hint="eastAsia" w:ascii="宋体" w:hAnsi="宋体"/>
                <w:szCs w:val="21"/>
              </w:rPr>
              <w:t>万元。公司员工总数</w:t>
            </w:r>
            <w:r>
              <w:rPr>
                <w:rFonts w:ascii="宋体" w:hAnsi="宋体"/>
                <w:szCs w:val="21"/>
              </w:rPr>
              <w:t>320</w:t>
            </w:r>
            <w:r>
              <w:rPr>
                <w:rFonts w:hint="eastAsia" w:ascii="宋体" w:hAnsi="宋体"/>
                <w:szCs w:val="21"/>
              </w:rPr>
              <w:t>人，能源管理体系涉及1</w:t>
            </w:r>
            <w:r>
              <w:rPr>
                <w:rFonts w:ascii="宋体" w:hAnsi="宋体"/>
                <w:szCs w:val="21"/>
              </w:rPr>
              <w:t>20</w:t>
            </w:r>
            <w:r>
              <w:rPr>
                <w:rFonts w:hint="eastAsia" w:ascii="宋体" w:hAnsi="宋体"/>
                <w:szCs w:val="21"/>
              </w:rPr>
              <w:t>人，其中，管理人员</w:t>
            </w:r>
            <w:r>
              <w:rPr>
                <w:rFonts w:ascii="宋体" w:hAnsi="宋体"/>
                <w:szCs w:val="21"/>
              </w:rPr>
              <w:t>21</w:t>
            </w:r>
            <w:r>
              <w:rPr>
                <w:rFonts w:hint="eastAsia" w:ascii="宋体" w:hAnsi="宋体"/>
                <w:szCs w:val="21"/>
              </w:rPr>
              <w:t>人，操作人员</w:t>
            </w:r>
            <w:r>
              <w:rPr>
                <w:rFonts w:ascii="宋体" w:hAnsi="宋体"/>
                <w:szCs w:val="21"/>
              </w:rPr>
              <w:t>99</w:t>
            </w:r>
            <w:r>
              <w:rPr>
                <w:rFonts w:hint="eastAsia" w:ascii="宋体" w:hAnsi="宋体"/>
                <w:szCs w:val="21"/>
              </w:rPr>
              <w:t>人。</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rPr>
            </w:pPr>
            <w:r>
              <w:rPr>
                <w:rFonts w:hint="eastAsia" w:asciiTheme="minorEastAsia" w:hAnsiTheme="minorEastAsia" w:eastAsiaTheme="minorEastAsia"/>
                <w:szCs w:val="21"/>
              </w:rPr>
              <w:t>2．企业的内外部因素</w:t>
            </w:r>
          </w:p>
        </w:tc>
        <w:tc>
          <w:tcPr>
            <w:tcW w:w="956" w:type="dxa"/>
          </w:tcPr>
          <w:p>
            <w:pPr>
              <w:rPr>
                <w:rFonts w:asciiTheme="minorEastAsia" w:hAnsiTheme="minorEastAsia" w:eastAsiaTheme="minorEastAsia"/>
              </w:rPr>
            </w:pPr>
            <w:r>
              <w:rPr>
                <w:rFonts w:hint="eastAsia" w:asciiTheme="minorEastAsia" w:hAnsiTheme="minorEastAsia" w:eastAsiaTheme="minorEastAsia"/>
              </w:rPr>
              <w:t>4.1</w:t>
            </w:r>
          </w:p>
        </w:tc>
        <w:tc>
          <w:tcPr>
            <w:tcW w:w="9954" w:type="dxa"/>
          </w:tcPr>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企业建立有《组织环境与相关方要求控制程序》（</w:t>
            </w:r>
            <w:r>
              <w:rPr>
                <w:rFonts w:asciiTheme="minorEastAsia" w:hAnsiTheme="minorEastAsia" w:eastAsiaTheme="minorEastAsia"/>
                <w:szCs w:val="21"/>
              </w:rPr>
              <w:t>WHJX/NY CX-01-2021</w:t>
            </w:r>
            <w:r>
              <w:rPr>
                <w:rFonts w:hint="eastAsia" w:asciiTheme="minorEastAsia" w:hAnsiTheme="minorEastAsia" w:eastAsiaTheme="minorEastAsia"/>
                <w:szCs w:val="21"/>
              </w:rPr>
              <w:t xml:space="preserve">），确定与公司宗旨、战略方向相关并影响其实现能源管理体系预期结果的能力的外部和内部环境。从有关方面关注环境变化，包括： </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 xml:space="preserve">——外部环境：地理位置、现存污染、法律、技术、竞争、市场、文化、社会和经济环境等； </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——内部环境：公司的价值观、企业文化、知识、人员能力、产品、活动、服务、业绩表现等。</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提供202</w:t>
            </w:r>
            <w:r>
              <w:rPr>
                <w:rFonts w:asciiTheme="minorEastAsia" w:hAnsiTheme="minorEastAsia" w:eastAsiaTheme="minorEastAsia"/>
                <w:szCs w:val="21"/>
              </w:rPr>
              <w:t>1</w:t>
            </w:r>
            <w:r>
              <w:rPr>
                <w:rFonts w:hint="eastAsia" w:asciiTheme="minorEastAsia" w:hAnsiTheme="minorEastAsia" w:eastAsiaTheme="minorEastAsia"/>
                <w:szCs w:val="21"/>
              </w:rPr>
              <w:t>年</w:t>
            </w:r>
            <w:r>
              <w:rPr>
                <w:rFonts w:asciiTheme="minorEastAsia" w:hAnsiTheme="minorEastAsia" w:eastAsiaTheme="minorEastAsia"/>
                <w:szCs w:val="21"/>
              </w:rPr>
              <w:t>12</w:t>
            </w:r>
            <w:r>
              <w:rPr>
                <w:rFonts w:hint="eastAsia" w:asciiTheme="minorEastAsia" w:hAnsiTheme="minorEastAsia" w:eastAsiaTheme="minorEastAsia"/>
                <w:szCs w:val="21"/>
              </w:rPr>
              <w:t>月</w:t>
            </w:r>
            <w:r>
              <w:rPr>
                <w:rFonts w:asciiTheme="minorEastAsia" w:hAnsiTheme="minorEastAsia" w:eastAsiaTheme="minorEastAsia"/>
                <w:szCs w:val="21"/>
              </w:rPr>
              <w:t>1</w:t>
            </w:r>
            <w:r>
              <w:rPr>
                <w:rFonts w:hint="eastAsia" w:asciiTheme="minorEastAsia" w:hAnsiTheme="minorEastAsia" w:eastAsiaTheme="minorEastAsia"/>
                <w:szCs w:val="21"/>
              </w:rPr>
              <w:t>0日公司编制的《内外部环境事项识别评价表》（</w:t>
            </w:r>
            <w:r>
              <w:rPr>
                <w:rFonts w:asciiTheme="minorEastAsia" w:hAnsiTheme="minorEastAsia" w:eastAsiaTheme="minorEastAsia"/>
                <w:szCs w:val="21"/>
              </w:rPr>
              <w:t>JL(En)-4.1-01</w:t>
            </w:r>
            <w:r>
              <w:rPr>
                <w:rFonts w:hint="eastAsia" w:asciiTheme="minorEastAsia" w:hAnsiTheme="minorEastAsia" w:eastAsiaTheme="minorEastAsia"/>
                <w:szCs w:val="21"/>
              </w:rPr>
              <w:t>）如下：</w:t>
            </w:r>
          </w:p>
          <w:p>
            <w:pPr>
              <w:spacing w:before="156" w:beforeLines="50" w:after="156" w:afterLines="50"/>
              <w:jc w:val="center"/>
              <w:rPr>
                <w:rFonts w:asciiTheme="minorEastAsia" w:hAnsiTheme="minorEastAsia" w:eastAsiaTheme="minorEastAsia"/>
                <w:szCs w:val="21"/>
              </w:rPr>
            </w:pPr>
            <w:r>
              <w:drawing>
                <wp:inline distT="0" distB="0" distL="0" distR="0">
                  <wp:extent cx="4802505" cy="5360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805235" cy="5363460"/>
                          </a:xfrm>
                          <a:prstGeom prst="rect">
                            <a:avLst/>
                          </a:prstGeom>
                        </pic:spPr>
                      </pic:pic>
                    </a:graphicData>
                  </a:graphic>
                </wp:inline>
              </w:drawing>
            </w:r>
          </w:p>
          <w:p>
            <w:pPr>
              <w:spacing w:before="156" w:beforeLines="50" w:after="156" w:afterLines="50"/>
              <w:jc w:val="center"/>
              <w:rPr>
                <w:rFonts w:asciiTheme="minorEastAsia" w:hAnsiTheme="minorEastAsia" w:eastAsiaTheme="minorEastAsia"/>
                <w:szCs w:val="21"/>
              </w:rPr>
            </w:pPr>
            <w:r>
              <w:drawing>
                <wp:inline distT="0" distB="0" distL="0" distR="0">
                  <wp:extent cx="5520055" cy="396748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525574" cy="3971401"/>
                          </a:xfrm>
                          <a:prstGeom prst="rect">
                            <a:avLst/>
                          </a:prstGeom>
                        </pic:spPr>
                      </pic:pic>
                    </a:graphicData>
                  </a:graphic>
                </wp:inline>
              </w:drawing>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公司内部环境事项识别项目有：类别、影响环境、风险、机遇或可能的影响、影响程度、应对策划、责任部门等。公司从行业管理、淘汰设备、设备能效、外部监管、社会资金状况、市场容量、市场竞争、价格、能源资源占有情况等</w:t>
            </w:r>
            <w:r>
              <w:rPr>
                <w:rFonts w:asciiTheme="minorEastAsia" w:hAnsiTheme="minorEastAsia" w:eastAsiaTheme="minorEastAsia"/>
                <w:szCs w:val="21"/>
              </w:rPr>
              <w:t>9</w:t>
            </w:r>
            <w:r>
              <w:rPr>
                <w:rFonts w:hint="eastAsia" w:asciiTheme="minorEastAsia" w:hAnsiTheme="minorEastAsia" w:eastAsiaTheme="minorEastAsia"/>
                <w:szCs w:val="21"/>
              </w:rPr>
              <w:t>个方面识别外部环境影响；从方针、目标、义务、财务、人力、基础设施、组织架构、决策过程、产品质量、市场绩效与竞争能力、体系能力、客户评价、管理绩效、合规性等</w:t>
            </w:r>
            <w:r>
              <w:rPr>
                <w:rFonts w:asciiTheme="minorEastAsia" w:hAnsiTheme="minorEastAsia" w:eastAsiaTheme="minorEastAsia"/>
                <w:szCs w:val="21"/>
              </w:rPr>
              <w:t>14</w:t>
            </w:r>
            <w:r>
              <w:rPr>
                <w:rFonts w:hint="eastAsia" w:asciiTheme="minorEastAsia" w:hAnsiTheme="minorEastAsia" w:eastAsiaTheme="minorEastAsia"/>
                <w:szCs w:val="21"/>
              </w:rPr>
              <w:t>个方面识别内部环境影响。共确定了8个高影响程度事项，各事项均确定了应对措施与责任部门。</w:t>
            </w:r>
          </w:p>
          <w:p>
            <w:pPr>
              <w:pStyle w:val="5"/>
              <w:snapToGrid/>
              <w:spacing w:before="156" w:beforeLines="50" w:after="156" w:afterLines="50"/>
              <w:ind w:firstLine="211" w:firstLineChars="1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基本符合要求。</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rPr>
            </w:pPr>
            <w:r>
              <w:rPr>
                <w:rFonts w:hint="eastAsia" w:asciiTheme="minorEastAsia" w:hAnsiTheme="minorEastAsia" w:eastAsiaTheme="minorEastAsia"/>
                <w:szCs w:val="21"/>
              </w:rPr>
              <w:t>3．相关方的需求和期望</w:t>
            </w:r>
          </w:p>
        </w:tc>
        <w:tc>
          <w:tcPr>
            <w:tcW w:w="956" w:type="dxa"/>
          </w:tcPr>
          <w:p>
            <w:pPr>
              <w:rPr>
                <w:rFonts w:asciiTheme="minorEastAsia" w:hAnsiTheme="minorEastAsia" w:eastAsiaTheme="minorEastAsia"/>
              </w:rPr>
            </w:pPr>
            <w:r>
              <w:rPr>
                <w:rFonts w:hint="eastAsia" w:asciiTheme="minorEastAsia" w:hAnsiTheme="minorEastAsia" w:eastAsiaTheme="minorEastAsia"/>
              </w:rPr>
              <w:t>4.2</w:t>
            </w:r>
          </w:p>
        </w:tc>
        <w:tc>
          <w:tcPr>
            <w:tcW w:w="9954" w:type="dxa"/>
          </w:tcPr>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1．公司在《组织环境与相关方要求控制程序》（WHJX/NY CX-01</w:t>
            </w:r>
            <w:r>
              <w:rPr>
                <w:rFonts w:asciiTheme="minorEastAsia" w:hAnsiTheme="minorEastAsia" w:eastAsiaTheme="minorEastAsia"/>
                <w:szCs w:val="21"/>
              </w:rPr>
              <w:t>-2021</w:t>
            </w:r>
            <w:r>
              <w:rPr>
                <w:rFonts w:hint="eastAsia" w:asciiTheme="minorEastAsia" w:hAnsiTheme="minorEastAsia" w:eastAsiaTheme="minorEastAsia"/>
                <w:szCs w:val="21"/>
              </w:rPr>
              <w:t>）中识别的相关方包括：顾客、所有者、组织在的成员、供应商银行、工会、合伙人、竞争对手或社会团体或行业协会等。公司在每年的管理评审前，由相关部门负责人进行识别并评估其适用性，并作为管理评审的输入。</w:t>
            </w:r>
          </w:p>
          <w:p>
            <w:pPr>
              <w:tabs>
                <w:tab w:val="center" w:pos="4153"/>
                <w:tab w:val="right" w:pos="8306"/>
              </w:tabs>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2．提供了202</w:t>
            </w:r>
            <w:r>
              <w:rPr>
                <w:rFonts w:asciiTheme="minorEastAsia" w:hAnsiTheme="minorEastAsia" w:eastAsiaTheme="minorEastAsia"/>
                <w:szCs w:val="21"/>
              </w:rPr>
              <w:t>1</w:t>
            </w:r>
            <w:r>
              <w:rPr>
                <w:rFonts w:hint="eastAsia" w:asciiTheme="minorEastAsia" w:hAnsiTheme="minorEastAsia" w:eastAsiaTheme="minorEastAsia"/>
                <w:szCs w:val="21"/>
              </w:rPr>
              <w:t>年1</w:t>
            </w:r>
            <w:r>
              <w:rPr>
                <w:rFonts w:asciiTheme="minorEastAsia" w:hAnsiTheme="minorEastAsia" w:eastAsiaTheme="minorEastAsia"/>
                <w:szCs w:val="21"/>
              </w:rPr>
              <w:t>2</w:t>
            </w:r>
            <w:r>
              <w:rPr>
                <w:rFonts w:hint="eastAsia" w:asciiTheme="minorEastAsia" w:hAnsiTheme="minorEastAsia" w:eastAsiaTheme="minorEastAsia"/>
                <w:szCs w:val="21"/>
              </w:rPr>
              <w:t>月</w:t>
            </w:r>
            <w:r>
              <w:rPr>
                <w:rFonts w:asciiTheme="minorEastAsia" w:hAnsiTheme="minorEastAsia" w:eastAsiaTheme="minorEastAsia"/>
                <w:szCs w:val="21"/>
              </w:rPr>
              <w:t>1</w:t>
            </w:r>
            <w:r>
              <w:rPr>
                <w:rFonts w:hint="eastAsia" w:asciiTheme="minorEastAsia" w:hAnsiTheme="minorEastAsia" w:eastAsiaTheme="minorEastAsia"/>
                <w:szCs w:val="21"/>
              </w:rPr>
              <w:t>0日识别的《相关方、需求与期望一览表》（</w:t>
            </w:r>
            <w:r>
              <w:rPr>
                <w:rFonts w:asciiTheme="minorEastAsia" w:hAnsiTheme="minorEastAsia" w:eastAsiaTheme="minorEastAsia"/>
                <w:szCs w:val="21"/>
              </w:rPr>
              <w:t>QR410–02</w:t>
            </w:r>
            <w:r>
              <w:rPr>
                <w:rFonts w:hint="eastAsia" w:asciiTheme="minorEastAsia" w:hAnsiTheme="minorEastAsia" w:eastAsiaTheme="minorEastAsia"/>
                <w:szCs w:val="21"/>
              </w:rPr>
              <w:t>）：</w:t>
            </w:r>
          </w:p>
          <w:p>
            <w:pPr>
              <w:tabs>
                <w:tab w:val="center" w:pos="4153"/>
                <w:tab w:val="right" w:pos="8306"/>
              </w:tabs>
              <w:spacing w:before="156" w:beforeLines="50" w:after="156" w:afterLines="50"/>
              <w:ind w:firstLine="2" w:firstLineChars="1"/>
              <w:jc w:val="center"/>
              <w:rPr>
                <w:rFonts w:asciiTheme="minorEastAsia" w:hAnsiTheme="minorEastAsia" w:eastAsiaTheme="minorEastAsia"/>
                <w:szCs w:val="21"/>
              </w:rPr>
            </w:pPr>
            <w:r>
              <w:drawing>
                <wp:inline distT="0" distB="0" distL="0" distR="0">
                  <wp:extent cx="5674360" cy="38912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677544" cy="3893473"/>
                          </a:xfrm>
                          <a:prstGeom prst="rect">
                            <a:avLst/>
                          </a:prstGeom>
                        </pic:spPr>
                      </pic:pic>
                    </a:graphicData>
                  </a:graphic>
                </wp:inline>
              </w:drawing>
            </w:r>
          </w:p>
          <w:p>
            <w:pPr>
              <w:spacing w:before="156" w:beforeLines="50" w:after="156" w:afterLines="50"/>
              <w:ind w:firstLine="210" w:firstLineChars="100"/>
              <w:rPr>
                <w:rFonts w:asciiTheme="minorEastAsia" w:hAnsiTheme="minorEastAsia" w:eastAsiaTheme="minorEastAsia"/>
                <w:b/>
                <w:bCs/>
                <w:szCs w:val="21"/>
              </w:rPr>
            </w:pPr>
            <w:r>
              <w:rPr>
                <w:rFonts w:hint="eastAsia" w:asciiTheme="minorEastAsia" w:hAnsiTheme="minorEastAsia" w:eastAsiaTheme="minorEastAsia"/>
                <w:szCs w:val="21"/>
              </w:rPr>
              <w:t>公司从内部和外部共识别出1</w:t>
            </w:r>
            <w:r>
              <w:rPr>
                <w:rFonts w:asciiTheme="minorEastAsia" w:hAnsiTheme="minorEastAsia" w:eastAsiaTheme="minorEastAsia"/>
                <w:szCs w:val="21"/>
              </w:rPr>
              <w:t>1</w:t>
            </w:r>
            <w:r>
              <w:rPr>
                <w:rFonts w:hint="eastAsia" w:asciiTheme="minorEastAsia" w:hAnsiTheme="minorEastAsia" w:eastAsiaTheme="minorEastAsia"/>
                <w:szCs w:val="21"/>
              </w:rPr>
              <w:t>个相关方及相应的需求与期望，制定了应对措施。</w:t>
            </w:r>
            <w:r>
              <w:rPr>
                <w:rFonts w:hint="eastAsia" w:asciiTheme="minorEastAsia" w:hAnsiTheme="minorEastAsia" w:eastAsiaTheme="minorEastAsia"/>
                <w:b/>
                <w:bCs/>
                <w:szCs w:val="21"/>
              </w:rPr>
              <w:t>基本满足要求。</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rPr>
            </w:pPr>
            <w:r>
              <w:rPr>
                <w:rFonts w:hint="eastAsia" w:asciiTheme="minorEastAsia" w:hAnsiTheme="minorEastAsia" w:eastAsiaTheme="minorEastAsia"/>
                <w:szCs w:val="21"/>
              </w:rPr>
              <w:t>4．能源管理体系策划过程</w:t>
            </w:r>
          </w:p>
        </w:tc>
        <w:tc>
          <w:tcPr>
            <w:tcW w:w="956" w:type="dxa"/>
          </w:tcPr>
          <w:p>
            <w:pPr>
              <w:rPr>
                <w:rFonts w:asciiTheme="minorEastAsia" w:hAnsiTheme="minorEastAsia" w:eastAsiaTheme="minorEastAsia"/>
              </w:rPr>
            </w:pPr>
            <w:r>
              <w:rPr>
                <w:rFonts w:hint="eastAsia" w:asciiTheme="minorEastAsia" w:hAnsiTheme="minorEastAsia" w:eastAsiaTheme="minorEastAsia"/>
              </w:rPr>
              <w:t>4.3</w:t>
            </w:r>
          </w:p>
          <w:p>
            <w:pPr>
              <w:rPr>
                <w:rFonts w:asciiTheme="minorEastAsia" w:hAnsiTheme="minorEastAsia" w:eastAsiaTheme="minorEastAsia"/>
              </w:rPr>
            </w:pPr>
            <w:r>
              <w:rPr>
                <w:rFonts w:hint="eastAsia" w:asciiTheme="minorEastAsia" w:hAnsiTheme="minorEastAsia" w:eastAsiaTheme="minorEastAsia"/>
              </w:rPr>
              <w:t>4.4</w:t>
            </w:r>
          </w:p>
        </w:tc>
        <w:tc>
          <w:tcPr>
            <w:tcW w:w="9954" w:type="dxa"/>
          </w:tcPr>
          <w:p>
            <w:pPr>
              <w:autoSpaceDN w:val="0"/>
              <w:spacing w:before="156" w:beforeLines="50"/>
              <w:ind w:firstLine="211" w:firstLineChars="100"/>
              <w:rPr>
                <w:rFonts w:asciiTheme="minorEastAsia" w:hAnsiTheme="minorEastAsia" w:eastAsiaTheme="minorEastAsia"/>
                <w:szCs w:val="21"/>
              </w:rPr>
            </w:pPr>
            <w:r>
              <w:rPr>
                <w:rFonts w:hint="eastAsia" w:asciiTheme="minorEastAsia" w:hAnsiTheme="minorEastAsia" w:eastAsiaTheme="minorEastAsia"/>
                <w:b/>
                <w:bCs/>
                <w:szCs w:val="21"/>
              </w:rPr>
              <w:t>该企业的能源管理体系范围</w:t>
            </w:r>
            <w:r>
              <w:rPr>
                <w:rFonts w:hint="eastAsia" w:asciiTheme="minorEastAsia" w:hAnsiTheme="minorEastAsia" w:eastAsiaTheme="minorEastAsia"/>
                <w:szCs w:val="21"/>
              </w:rPr>
              <w:t>：汽车零部件的制造所涉及的能源管理活动。</w:t>
            </w:r>
          </w:p>
          <w:p>
            <w:pPr>
              <w:autoSpaceDN w:val="0"/>
              <w:ind w:firstLine="211" w:firstLineChars="100"/>
              <w:rPr>
                <w:rFonts w:asciiTheme="minorEastAsia" w:hAnsiTheme="minorEastAsia" w:eastAsiaTheme="minorEastAsia"/>
                <w:szCs w:val="21"/>
              </w:rPr>
            </w:pPr>
            <w:r>
              <w:rPr>
                <w:rFonts w:hint="eastAsia" w:asciiTheme="minorEastAsia" w:hAnsiTheme="minorEastAsia" w:eastAsiaTheme="minorEastAsia"/>
                <w:b/>
                <w:bCs/>
                <w:szCs w:val="21"/>
              </w:rPr>
              <w:t>涉及场所</w:t>
            </w:r>
            <w:r>
              <w:rPr>
                <w:rFonts w:hint="eastAsia" w:asciiTheme="minorEastAsia" w:hAnsiTheme="minorEastAsia" w:eastAsiaTheme="minorEastAsia"/>
                <w:szCs w:val="21"/>
              </w:rPr>
              <w:t xml:space="preserve">：无锡市运河西路2688号。 </w:t>
            </w:r>
          </w:p>
          <w:p>
            <w:pPr>
              <w:autoSpaceDN w:val="0"/>
              <w:ind w:firstLine="211" w:firstLineChars="100"/>
              <w:rPr>
                <w:rFonts w:asciiTheme="minorEastAsia" w:hAnsiTheme="minorEastAsia" w:eastAsiaTheme="minorEastAsia"/>
                <w:b/>
                <w:bCs/>
                <w:szCs w:val="21"/>
              </w:rPr>
            </w:pPr>
            <w:r>
              <w:rPr>
                <w:rFonts w:hint="eastAsia" w:asciiTheme="minorEastAsia" w:hAnsiTheme="minorEastAsia" w:eastAsiaTheme="minorEastAsia"/>
                <w:b/>
                <w:bCs/>
                <w:szCs w:val="21"/>
              </w:rPr>
              <w:t>本次审核的范围</w:t>
            </w:r>
            <w:r>
              <w:rPr>
                <w:rFonts w:hint="eastAsia" w:asciiTheme="minorEastAsia" w:hAnsiTheme="minorEastAsia" w:eastAsiaTheme="minorEastAsia"/>
                <w:szCs w:val="21"/>
              </w:rPr>
              <w:t>：汽车零部件的制造所涉及的能源管理活动。</w:t>
            </w:r>
            <w:r>
              <w:rPr>
                <w:rFonts w:hint="eastAsia" w:asciiTheme="minorEastAsia" w:hAnsiTheme="minorEastAsia" w:eastAsiaTheme="minorEastAsia"/>
                <w:b/>
                <w:bCs/>
                <w:szCs w:val="21"/>
              </w:rPr>
              <w:t>符合要求。</w:t>
            </w:r>
          </w:p>
          <w:p>
            <w:pPr>
              <w:autoSpaceDN w:val="0"/>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按照GB/T</w:t>
            </w:r>
            <w:r>
              <w:rPr>
                <w:rFonts w:asciiTheme="minorEastAsia" w:hAnsiTheme="minorEastAsia" w:eastAsiaTheme="minorEastAsia"/>
                <w:szCs w:val="21"/>
              </w:rPr>
              <w:t xml:space="preserve"> </w:t>
            </w:r>
            <w:r>
              <w:rPr>
                <w:rFonts w:hint="eastAsia" w:asciiTheme="minorEastAsia" w:hAnsiTheme="minorEastAsia" w:eastAsiaTheme="minorEastAsia"/>
                <w:szCs w:val="21"/>
              </w:rPr>
              <w:t>23331-2020/ISO50001:2018及RB</w:t>
            </w:r>
            <w:r>
              <w:rPr>
                <w:rFonts w:asciiTheme="minorEastAsia" w:hAnsiTheme="minorEastAsia" w:eastAsiaTheme="minorEastAsia"/>
                <w:szCs w:val="21"/>
              </w:rPr>
              <w:t>/</w:t>
            </w:r>
            <w:r>
              <w:rPr>
                <w:rFonts w:hint="eastAsia" w:asciiTheme="minorEastAsia" w:hAnsiTheme="minorEastAsia" w:eastAsiaTheme="minorEastAsia"/>
                <w:szCs w:val="21"/>
              </w:rPr>
              <w:t>T 1</w:t>
            </w:r>
            <w:r>
              <w:rPr>
                <w:rFonts w:asciiTheme="minorEastAsia" w:hAnsiTheme="minorEastAsia" w:eastAsiaTheme="minorEastAsia"/>
                <w:szCs w:val="21"/>
              </w:rPr>
              <w:t>19</w:t>
            </w:r>
            <w:r>
              <w:rPr>
                <w:rFonts w:hint="eastAsia" w:asciiTheme="minorEastAsia" w:hAnsiTheme="minorEastAsia" w:eastAsiaTheme="minorEastAsia"/>
                <w:szCs w:val="21"/>
              </w:rPr>
              <w:t>-201</w:t>
            </w:r>
            <w:r>
              <w:rPr>
                <w:rFonts w:asciiTheme="minorEastAsia" w:hAnsiTheme="minorEastAsia" w:eastAsiaTheme="minorEastAsia"/>
                <w:szCs w:val="21"/>
              </w:rPr>
              <w:t>5</w:t>
            </w:r>
            <w:r>
              <w:rPr>
                <w:rFonts w:hint="eastAsia" w:asciiTheme="minorEastAsia" w:hAnsiTheme="minorEastAsia" w:eastAsiaTheme="minorEastAsia"/>
                <w:szCs w:val="21"/>
              </w:rPr>
              <w:t>《能源管理体系  机械制造企业认证要求》等标准的要求建立的能源管理体系，已形成能源管理手册，并实施和保持，持续改进体系的其有效性。通过运行管理体系达到能源管理体系所需的过程融入到企业的生产过程，制定所需的准则和方法并进行有效控制，明确职责权限，识别风险并进行监视测量确保达到预期的绩效并持续改进的目的。</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rPr>
            </w:pPr>
            <w:r>
              <w:rPr>
                <w:rFonts w:hint="eastAsia" w:asciiTheme="minorEastAsia" w:hAnsiTheme="minorEastAsia" w:eastAsiaTheme="minorEastAsia"/>
                <w:szCs w:val="21"/>
              </w:rPr>
              <w:t>5．管理承诺</w:t>
            </w:r>
          </w:p>
        </w:tc>
        <w:tc>
          <w:tcPr>
            <w:tcW w:w="956" w:type="dxa"/>
          </w:tcPr>
          <w:p>
            <w:pPr>
              <w:rPr>
                <w:rFonts w:asciiTheme="minorEastAsia" w:hAnsiTheme="minorEastAsia" w:eastAsiaTheme="minorEastAsia"/>
              </w:rPr>
            </w:pPr>
            <w:r>
              <w:rPr>
                <w:rFonts w:hint="eastAsia" w:asciiTheme="minorEastAsia" w:hAnsiTheme="minorEastAsia" w:eastAsiaTheme="minorEastAsia"/>
              </w:rPr>
              <w:t>5.1</w:t>
            </w:r>
          </w:p>
        </w:tc>
        <w:tc>
          <w:tcPr>
            <w:tcW w:w="9954" w:type="dxa"/>
          </w:tcPr>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公司能源管理手册中明确了公司领导层的承诺和要求，包括：确保建立能源管理体系范围和边界；确保能源方针、目标和能源目标建立和符合公司的战略方向；确保将能源管理体系需求集成到组织的业务流程中；确保行动计划得到批准和执行；确保所需的资源可用；宣传有效的能源管理和符合环境管理体系要求的重要性；确保能源管理体系达到预期结果；促进能源性能和环境管理体系的持续改进；确保组建能源管理团队；指导和支持人员对环境管理体系的有效性和能源性能的改善做出贡献；支持其他相关管理角色，以显示其在职责范围内的领导能力；确保能源绩效参数适当地代表能源性能等</w:t>
            </w:r>
            <w:r>
              <w:rPr>
                <w:rFonts w:asciiTheme="minorEastAsia" w:hAnsiTheme="minorEastAsia" w:eastAsiaTheme="minorEastAsia"/>
                <w:szCs w:val="21"/>
              </w:rPr>
              <w:t>。</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szCs w:val="21"/>
              </w:rPr>
            </w:pPr>
            <w:r>
              <w:rPr>
                <w:rFonts w:hint="eastAsia" w:asciiTheme="minorEastAsia" w:hAnsiTheme="minorEastAsia" w:eastAsiaTheme="minorEastAsia"/>
                <w:szCs w:val="21"/>
              </w:rPr>
              <w:t>6．能源方针</w:t>
            </w:r>
          </w:p>
        </w:tc>
        <w:tc>
          <w:tcPr>
            <w:tcW w:w="956" w:type="dxa"/>
          </w:tcPr>
          <w:p>
            <w:pPr>
              <w:rPr>
                <w:rFonts w:asciiTheme="minorEastAsia" w:hAnsiTheme="minorEastAsia" w:eastAsiaTheme="minorEastAsia"/>
              </w:rPr>
            </w:pPr>
            <w:r>
              <w:rPr>
                <w:rFonts w:hint="eastAsia" w:asciiTheme="minorEastAsia" w:hAnsiTheme="minorEastAsia" w:eastAsiaTheme="minorEastAsia"/>
              </w:rPr>
              <w:t>5.2</w:t>
            </w:r>
          </w:p>
        </w:tc>
        <w:tc>
          <w:tcPr>
            <w:tcW w:w="9954" w:type="dxa"/>
          </w:tcPr>
          <w:p>
            <w:pPr>
              <w:pStyle w:val="19"/>
              <w:spacing w:before="156" w:beforeLines="50" w:after="156" w:afterLines="50" w:line="240" w:lineRule="auto"/>
              <w:ind w:firstLine="210" w:firstLineChars="100"/>
              <w:jc w:val="both"/>
              <w:rPr>
                <w:rFonts w:cs="Times New Roman" w:asciiTheme="minorEastAsia" w:hAnsiTheme="minorEastAsia" w:eastAsiaTheme="minorEastAsia"/>
                <w:b w:val="0"/>
                <w:color w:val="auto"/>
              </w:rPr>
            </w:pPr>
            <w:r>
              <w:rPr>
                <w:rFonts w:hint="eastAsia" w:cs="Times New Roman" w:asciiTheme="minorEastAsia" w:hAnsiTheme="minorEastAsia" w:eastAsiaTheme="minorEastAsia"/>
                <w:b w:val="0"/>
                <w:color w:val="auto"/>
              </w:rPr>
              <w:t>公司制定了能源方针：</w:t>
            </w:r>
            <w:r>
              <w:rPr>
                <w:rFonts w:hint="eastAsia" w:asciiTheme="minorEastAsia" w:hAnsiTheme="minorEastAsia" w:eastAsiaTheme="minorEastAsia"/>
                <w:b/>
                <w:bCs/>
                <w:color w:val="000000"/>
                <w:szCs w:val="18"/>
              </w:rPr>
              <w:t>遵守法规  清洁生产  创新改造  提高能效</w:t>
            </w:r>
            <w:r>
              <w:rPr>
                <w:rFonts w:hint="eastAsia" w:cs="Times New Roman" w:asciiTheme="minorEastAsia" w:hAnsiTheme="minorEastAsia" w:eastAsiaTheme="minorEastAsia"/>
                <w:b w:val="0"/>
                <w:color w:val="auto"/>
              </w:rPr>
              <w:t>。</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 xml:space="preserve">公司管理体系方针内涵体现在以下几个方面：一是遵守能源方面的法律、法规及其他要求，积极推行清洁生产，从源头削减能源用量，促进循环经济发展。二是采用节能新技术、新工艺，不断创新改造，持续改进能源绩效，以降低能源消耗，提高能源利用效率。三是合理用能，建立并持续改进能源管理体系，坚持以人为本，履行社会责任，实现可持续发展。四是支持高效产品和服务的采购，支持积极改进能源绩效的设计。五是为积极制定能源目标、指标提供方向和框架。 </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szCs w:val="21"/>
              </w:rPr>
            </w:pPr>
            <w:r>
              <w:rPr>
                <w:rFonts w:hint="eastAsia" w:asciiTheme="minorEastAsia" w:hAnsiTheme="minorEastAsia" w:eastAsiaTheme="minorEastAsia"/>
                <w:szCs w:val="21"/>
              </w:rPr>
              <w:t>7．职责分配及权限</w:t>
            </w:r>
          </w:p>
        </w:tc>
        <w:tc>
          <w:tcPr>
            <w:tcW w:w="956" w:type="dxa"/>
          </w:tcPr>
          <w:p>
            <w:pPr>
              <w:rPr>
                <w:rFonts w:asciiTheme="minorEastAsia" w:hAnsiTheme="minorEastAsia" w:eastAsiaTheme="minorEastAsia"/>
              </w:rPr>
            </w:pPr>
            <w:r>
              <w:rPr>
                <w:rFonts w:hint="eastAsia" w:asciiTheme="minorEastAsia" w:hAnsiTheme="minorEastAsia" w:eastAsiaTheme="minorEastAsia"/>
              </w:rPr>
              <w:t>5.3</w:t>
            </w:r>
          </w:p>
        </w:tc>
        <w:tc>
          <w:tcPr>
            <w:tcW w:w="9954" w:type="dxa"/>
          </w:tcPr>
          <w:p>
            <w:pPr>
              <w:spacing w:before="156" w:before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能源管理手册和相关文件中明确了各部门、有关人员岗位的职责和权限。</w:t>
            </w:r>
          </w:p>
          <w:p>
            <w:pPr>
              <w:spacing w:line="360" w:lineRule="auto"/>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公司的组织机构：领导层、总经办、生产部、技术部、质保部、财务部。</w:t>
            </w:r>
          </w:p>
          <w:p>
            <w:pPr>
              <w:pStyle w:val="3"/>
              <w:spacing w:after="156" w:afterLines="50"/>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相关部门的职责、权限在能源管理手册中有明确要求。</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p>
            <w:pPr>
              <w:jc w:val="center"/>
              <w:rPr>
                <w:rFonts w:hint="eastAsia" w:asciiTheme="minorEastAsia" w:hAnsiTheme="minorEastAsia" w:eastAsiaTheme="minorEastAsia"/>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szCs w:val="21"/>
              </w:rPr>
            </w:pPr>
            <w:r>
              <w:rPr>
                <w:rFonts w:hint="eastAsia" w:asciiTheme="minorEastAsia" w:hAnsiTheme="minorEastAsia" w:eastAsiaTheme="minorEastAsia"/>
                <w:szCs w:val="21"/>
              </w:rPr>
              <w:t>8．风险和机遇的策划</w:t>
            </w:r>
          </w:p>
        </w:tc>
        <w:tc>
          <w:tcPr>
            <w:tcW w:w="956" w:type="dxa"/>
          </w:tcPr>
          <w:p>
            <w:pPr>
              <w:rPr>
                <w:rFonts w:asciiTheme="minorEastAsia" w:hAnsiTheme="minorEastAsia" w:eastAsiaTheme="minorEastAsia"/>
              </w:rPr>
            </w:pPr>
            <w:r>
              <w:rPr>
                <w:rFonts w:hint="eastAsia" w:asciiTheme="minorEastAsia" w:hAnsiTheme="minorEastAsia" w:eastAsiaTheme="minorEastAsia"/>
              </w:rPr>
              <w:t>6.1</w:t>
            </w:r>
          </w:p>
        </w:tc>
        <w:tc>
          <w:tcPr>
            <w:tcW w:w="9954" w:type="dxa"/>
          </w:tcPr>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公司建立有《风险和机遇控制程序》（</w:t>
            </w:r>
            <w:r>
              <w:rPr>
                <w:rFonts w:asciiTheme="minorEastAsia" w:hAnsiTheme="minorEastAsia" w:eastAsiaTheme="minorEastAsia"/>
                <w:szCs w:val="21"/>
              </w:rPr>
              <w:t>WHJX/NY CX-02-2021</w:t>
            </w:r>
            <w:r>
              <w:rPr>
                <w:rFonts w:hint="eastAsia" w:asciiTheme="minorEastAsia" w:hAnsiTheme="minorEastAsia" w:eastAsiaTheme="minorEastAsia"/>
                <w:szCs w:val="21"/>
              </w:rPr>
              <w:t>），识别与对公司目标和战略方向有影响的风险和机遇并确定应对措施。公司从生产过程、设备运行、相关方、设计失效、过程失效等方面识别不满足法律法规和其他要求导致的风险及危害，确定并实施有效的应对措施。</w:t>
            </w:r>
          </w:p>
          <w:p>
            <w:pPr>
              <w:tabs>
                <w:tab w:val="center" w:pos="4153"/>
                <w:tab w:val="right" w:pos="8306"/>
              </w:tabs>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提供有《公司能源风险和机遇管控清单》（2</w:t>
            </w:r>
            <w:r>
              <w:rPr>
                <w:rFonts w:asciiTheme="minorEastAsia" w:hAnsiTheme="minorEastAsia" w:eastAsiaTheme="minorEastAsia"/>
                <w:szCs w:val="21"/>
              </w:rPr>
              <w:t>021-12-10</w:t>
            </w:r>
            <w:r>
              <w:rPr>
                <w:rFonts w:hint="eastAsia" w:asciiTheme="minorEastAsia" w:hAnsiTheme="minorEastAsia" w:eastAsiaTheme="minorEastAsia"/>
                <w:szCs w:val="21"/>
              </w:rPr>
              <w:t>更新）。</w:t>
            </w:r>
          </w:p>
          <w:p>
            <w:pPr>
              <w:tabs>
                <w:tab w:val="center" w:pos="4153"/>
                <w:tab w:val="right" w:pos="8306"/>
              </w:tabs>
              <w:spacing w:before="156" w:beforeLines="50" w:after="156" w:afterLines="50"/>
              <w:jc w:val="center"/>
              <w:rPr>
                <w:rFonts w:asciiTheme="minorEastAsia" w:hAnsiTheme="minorEastAsia" w:eastAsiaTheme="minorEastAsia"/>
                <w:szCs w:val="21"/>
              </w:rPr>
            </w:pPr>
            <w:r>
              <w:drawing>
                <wp:inline distT="0" distB="0" distL="0" distR="0">
                  <wp:extent cx="6183630" cy="19050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6183630" cy="1905000"/>
                          </a:xfrm>
                          <a:prstGeom prst="rect">
                            <a:avLst/>
                          </a:prstGeom>
                        </pic:spPr>
                      </pic:pic>
                    </a:graphicData>
                  </a:graphic>
                </wp:inline>
              </w:drawing>
            </w:r>
          </w:p>
          <w:p>
            <w:pPr>
              <w:tabs>
                <w:tab w:val="center" w:pos="4153"/>
                <w:tab w:val="right" w:pos="8306"/>
              </w:tabs>
              <w:spacing w:before="156" w:beforeLines="50" w:after="156" w:afterLines="50"/>
              <w:jc w:val="center"/>
              <w:rPr>
                <w:rFonts w:asciiTheme="minorEastAsia" w:hAnsiTheme="minorEastAsia" w:eastAsiaTheme="minorEastAsia"/>
                <w:szCs w:val="21"/>
              </w:rPr>
            </w:pPr>
            <w:r>
              <w:drawing>
                <wp:inline distT="0" distB="0" distL="0" distR="0">
                  <wp:extent cx="6183630" cy="1861185"/>
                  <wp:effectExtent l="0" t="0" r="762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6183630" cy="1861185"/>
                          </a:xfrm>
                          <a:prstGeom prst="rect">
                            <a:avLst/>
                          </a:prstGeom>
                        </pic:spPr>
                      </pic:pic>
                    </a:graphicData>
                  </a:graphic>
                </wp:inline>
              </w:drawing>
            </w:r>
          </w:p>
          <w:p>
            <w:pPr>
              <w:tabs>
                <w:tab w:val="center" w:pos="4153"/>
                <w:tab w:val="right" w:pos="8306"/>
              </w:tabs>
              <w:spacing w:before="156" w:beforeLines="50" w:after="156" w:afterLines="50"/>
              <w:jc w:val="center"/>
              <w:rPr>
                <w:rFonts w:asciiTheme="minorEastAsia" w:hAnsiTheme="minorEastAsia" w:eastAsiaTheme="minorEastAsia"/>
                <w:szCs w:val="21"/>
              </w:rPr>
            </w:pPr>
            <w:r>
              <w:drawing>
                <wp:inline distT="0" distB="0" distL="0" distR="0">
                  <wp:extent cx="6183630" cy="2360930"/>
                  <wp:effectExtent l="0" t="0" r="762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6189324" cy="2363713"/>
                          </a:xfrm>
                          <a:prstGeom prst="rect">
                            <a:avLst/>
                          </a:prstGeom>
                        </pic:spPr>
                      </pic:pic>
                    </a:graphicData>
                  </a:graphic>
                </wp:inline>
              </w:drawing>
            </w:r>
          </w:p>
          <w:p>
            <w:pPr>
              <w:pStyle w:val="5"/>
              <w:snapToGrid/>
              <w:spacing w:before="156" w:beforeLines="50" w:after="156" w:afterLines="50"/>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公司针对各能源过程、业务流程和活动，识别和评价出35项风险和机遇及风险影响，确定了风险应对策略，制定了相应的控制措施（制度），明确责任部门，确保各项风险可控。</w:t>
            </w:r>
          </w:p>
          <w:p>
            <w:pPr>
              <w:pStyle w:val="5"/>
              <w:snapToGrid/>
              <w:spacing w:before="156" w:beforeLines="50" w:after="156" w:afterLines="50"/>
              <w:ind w:firstLine="211" w:firstLineChars="1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基本符合要求。</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szCs w:val="21"/>
              </w:rPr>
            </w:pPr>
            <w:r>
              <w:rPr>
                <w:rFonts w:hint="eastAsia" w:asciiTheme="minorEastAsia" w:hAnsiTheme="minorEastAsia" w:eastAsiaTheme="minorEastAsia"/>
                <w:szCs w:val="21"/>
              </w:rPr>
              <w:t>9．公司的能源目标指标</w:t>
            </w:r>
          </w:p>
        </w:tc>
        <w:tc>
          <w:tcPr>
            <w:tcW w:w="956" w:type="dxa"/>
          </w:tcPr>
          <w:p>
            <w:pPr>
              <w:rPr>
                <w:rFonts w:asciiTheme="minorEastAsia" w:hAnsiTheme="minorEastAsia" w:eastAsiaTheme="minorEastAsia"/>
              </w:rPr>
            </w:pPr>
            <w:r>
              <w:rPr>
                <w:rFonts w:hint="eastAsia" w:asciiTheme="minorEastAsia" w:hAnsiTheme="minorEastAsia" w:eastAsiaTheme="minorEastAsia"/>
              </w:rPr>
              <w:t>6.2</w:t>
            </w:r>
          </w:p>
        </w:tc>
        <w:tc>
          <w:tcPr>
            <w:tcW w:w="9954" w:type="dxa"/>
          </w:tcPr>
          <w:p>
            <w:pPr>
              <w:spacing w:before="156" w:beforeLines="50" w:after="156" w:afterLines="50"/>
              <w:ind w:firstLine="210" w:firstLineChars="100"/>
              <w:rPr>
                <w:rFonts w:hint="eastAsia" w:asciiTheme="minorEastAsia" w:hAnsiTheme="minorEastAsia" w:eastAsiaTheme="minorEastAsia"/>
                <w:szCs w:val="21"/>
              </w:rPr>
            </w:pPr>
            <w:r>
              <w:rPr>
                <w:rFonts w:hint="eastAsia" w:asciiTheme="minorEastAsia" w:hAnsiTheme="minorEastAsia" w:eastAsiaTheme="minorEastAsia"/>
                <w:szCs w:val="21"/>
              </w:rPr>
              <w:t>公司提供202</w:t>
            </w:r>
            <w:r>
              <w:rPr>
                <w:rFonts w:asciiTheme="minorEastAsia" w:hAnsiTheme="minorEastAsia" w:eastAsiaTheme="minorEastAsia"/>
                <w:szCs w:val="21"/>
              </w:rPr>
              <w:t>0-2022</w:t>
            </w:r>
            <w:r>
              <w:rPr>
                <w:rFonts w:hint="eastAsia" w:asciiTheme="minorEastAsia" w:hAnsiTheme="minorEastAsia" w:eastAsiaTheme="minorEastAsia"/>
                <w:szCs w:val="21"/>
              </w:rPr>
              <w:t>年能源目标指标、分解任务及完成情况一览表：</w:t>
            </w:r>
          </w:p>
          <w:p>
            <w:pPr>
              <w:spacing w:before="156" w:beforeLines="50" w:after="156" w:afterLines="50"/>
              <w:ind w:firstLine="210" w:firstLineChars="100"/>
              <w:rPr>
                <w:rFonts w:asciiTheme="minorEastAsia" w:hAnsiTheme="minorEastAsia" w:eastAsiaTheme="minorEastAsia"/>
                <w:szCs w:val="21"/>
              </w:rPr>
            </w:pPr>
            <w:bookmarkStart w:id="3" w:name="_Hlk107129347"/>
            <w:r>
              <w:rPr>
                <w:rFonts w:hint="eastAsia" w:asciiTheme="minorEastAsia" w:hAnsiTheme="minorEastAsia" w:eastAsiaTheme="minorEastAsia"/>
                <w:szCs w:val="21"/>
              </w:rPr>
              <w:t>抽查2</w:t>
            </w:r>
            <w:r>
              <w:rPr>
                <w:rFonts w:asciiTheme="minorEastAsia" w:hAnsiTheme="minorEastAsia" w:eastAsiaTheme="minorEastAsia"/>
                <w:szCs w:val="21"/>
              </w:rPr>
              <w:t>021</w:t>
            </w:r>
            <w:r>
              <w:rPr>
                <w:rFonts w:hint="eastAsia" w:asciiTheme="minorEastAsia" w:hAnsiTheme="minorEastAsia" w:eastAsiaTheme="minorEastAsia"/>
                <w:szCs w:val="21"/>
              </w:rPr>
              <w:t>年度公司级能源目标值与完成情况：</w:t>
            </w:r>
            <w:r>
              <w:rPr>
                <w:rFonts w:asciiTheme="minorEastAsia" w:hAnsiTheme="minorEastAsia" w:eastAsiaTheme="minorEastAsia"/>
                <w:szCs w:val="21"/>
              </w:rPr>
              <w:t xml:space="preserve"> </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——综合能耗指标</w:t>
            </w:r>
            <w:r>
              <w:rPr>
                <w:rFonts w:asciiTheme="minorEastAsia" w:hAnsiTheme="minorEastAsia" w:eastAsiaTheme="minorEastAsia"/>
                <w:szCs w:val="21"/>
              </w:rPr>
              <w:t xml:space="preserve">1150 </w:t>
            </w:r>
            <w:r>
              <w:rPr>
                <w:rFonts w:hint="eastAsia" w:asciiTheme="minorEastAsia" w:hAnsiTheme="minorEastAsia" w:eastAsiaTheme="minorEastAsia"/>
                <w:szCs w:val="21"/>
              </w:rPr>
              <w:t>tce，实际完成</w:t>
            </w:r>
            <w:r>
              <w:rPr>
                <w:rFonts w:asciiTheme="minorEastAsia" w:hAnsiTheme="minorEastAsia" w:eastAsiaTheme="minorEastAsia"/>
                <w:szCs w:val="21"/>
              </w:rPr>
              <w:t xml:space="preserve">932.29 </w:t>
            </w:r>
            <w:r>
              <w:rPr>
                <w:rFonts w:hint="eastAsia" w:asciiTheme="minorEastAsia" w:hAnsiTheme="minorEastAsia" w:eastAsiaTheme="minorEastAsia"/>
                <w:szCs w:val="21"/>
              </w:rPr>
              <w:t>tce；——完成</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——单位产品综合能耗指标</w:t>
            </w:r>
            <w:r>
              <w:rPr>
                <w:rFonts w:asciiTheme="minorEastAsia" w:hAnsiTheme="minorEastAsia" w:eastAsiaTheme="minorEastAsia"/>
                <w:szCs w:val="21"/>
              </w:rPr>
              <w:t>0.25 t</w:t>
            </w:r>
            <w:r>
              <w:rPr>
                <w:rFonts w:hint="eastAsia" w:asciiTheme="minorEastAsia" w:hAnsiTheme="minorEastAsia" w:eastAsiaTheme="minorEastAsia"/>
                <w:szCs w:val="21"/>
              </w:rPr>
              <w:t>ce/万台，实际完成</w:t>
            </w:r>
            <w:r>
              <w:rPr>
                <w:rFonts w:asciiTheme="minorEastAsia" w:hAnsiTheme="minorEastAsia" w:eastAsiaTheme="minorEastAsia"/>
                <w:szCs w:val="21"/>
              </w:rPr>
              <w:t>0.1849 t</w:t>
            </w:r>
            <w:r>
              <w:rPr>
                <w:rFonts w:hint="eastAsia" w:asciiTheme="minorEastAsia" w:hAnsiTheme="minorEastAsia" w:eastAsiaTheme="minorEastAsia"/>
                <w:szCs w:val="21"/>
              </w:rPr>
              <w:t>ce/万台。——完成</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——单位产品综合能耗指标</w:t>
            </w:r>
            <w:r>
              <w:rPr>
                <w:rFonts w:asciiTheme="minorEastAsia" w:hAnsiTheme="minorEastAsia" w:eastAsiaTheme="minorEastAsia"/>
                <w:szCs w:val="21"/>
              </w:rPr>
              <w:t>15.00 t</w:t>
            </w:r>
            <w:r>
              <w:rPr>
                <w:rFonts w:hint="eastAsia" w:asciiTheme="minorEastAsia" w:hAnsiTheme="minorEastAsia" w:eastAsiaTheme="minorEastAsia"/>
                <w:szCs w:val="21"/>
              </w:rPr>
              <w:t>ce/万台，实际完成</w:t>
            </w:r>
            <w:r>
              <w:rPr>
                <w:rFonts w:asciiTheme="minorEastAsia" w:hAnsiTheme="minorEastAsia" w:eastAsiaTheme="minorEastAsia"/>
                <w:szCs w:val="21"/>
              </w:rPr>
              <w:t>11.2069 kg</w:t>
            </w:r>
            <w:r>
              <w:rPr>
                <w:rFonts w:hint="eastAsia" w:asciiTheme="minorEastAsia" w:hAnsiTheme="minorEastAsia" w:eastAsiaTheme="minorEastAsia"/>
                <w:szCs w:val="21"/>
              </w:rPr>
              <w:t>ce/万元。——完成</w:t>
            </w:r>
          </w:p>
          <w:p>
            <w:pPr>
              <w:spacing w:before="156" w:beforeLines="50" w:after="156" w:afterLines="50"/>
              <w:ind w:firstLine="210" w:firstLineChars="100"/>
              <w:rPr>
                <w:rFonts w:hint="eastAsia" w:asciiTheme="minorEastAsia" w:hAnsiTheme="minorEastAsia" w:eastAsiaTheme="minorEastAsia"/>
                <w:szCs w:val="21"/>
              </w:rPr>
            </w:pPr>
            <w:bookmarkStart w:id="4" w:name="_Hlk107133222"/>
            <w:bookmarkStart w:id="5" w:name="_Hlk107385182"/>
            <w:r>
              <w:rPr>
                <w:rFonts w:hint="eastAsia" w:asciiTheme="minorEastAsia" w:hAnsiTheme="minorEastAsia" w:eastAsiaTheme="minorEastAsia"/>
                <w:color w:val="FF0000"/>
                <w:szCs w:val="21"/>
              </w:rPr>
              <w:t>查见公司2022年1-5月的实际综合能耗954.4510 tce</w:t>
            </w:r>
            <w:r>
              <w:rPr>
                <w:rFonts w:hint="eastAsia" w:asciiTheme="minorEastAsia" w:hAnsiTheme="minorEastAsia" w:eastAsiaTheme="minorEastAsia"/>
                <w:color w:val="FF0000"/>
                <w:szCs w:val="21"/>
                <w:lang w:eastAsia="zh-CN"/>
              </w:rPr>
              <w:t>，</w:t>
            </w:r>
            <w:r>
              <w:rPr>
                <w:rFonts w:hint="eastAsia" w:asciiTheme="minorEastAsia" w:hAnsiTheme="minorEastAsia" w:eastAsiaTheme="minorEastAsia"/>
                <w:color w:val="FF0000"/>
                <w:szCs w:val="21"/>
                <w:lang w:val="en-US" w:eastAsia="zh-CN"/>
              </w:rPr>
              <w:t>已</w:t>
            </w:r>
            <w:r>
              <w:rPr>
                <w:rFonts w:hint="eastAsia" w:asciiTheme="minorEastAsia" w:hAnsiTheme="minorEastAsia" w:eastAsiaTheme="minorEastAsia"/>
                <w:color w:val="FF0000"/>
                <w:szCs w:val="21"/>
              </w:rPr>
              <w:t>超出了202</w:t>
            </w:r>
            <w:r>
              <w:rPr>
                <w:rFonts w:hint="eastAsia" w:asciiTheme="minorEastAsia" w:hAnsiTheme="minorEastAsia" w:eastAsiaTheme="minorEastAsia"/>
                <w:color w:val="FF0000"/>
                <w:szCs w:val="21"/>
                <w:lang w:val="en-US" w:eastAsia="zh-CN"/>
              </w:rPr>
              <w:t>2</w:t>
            </w:r>
            <w:r>
              <w:rPr>
                <w:rFonts w:hint="eastAsia" w:asciiTheme="minorEastAsia" w:hAnsiTheme="minorEastAsia" w:eastAsiaTheme="minorEastAsia"/>
                <w:color w:val="FF0000"/>
                <w:szCs w:val="21"/>
              </w:rPr>
              <w:t>年的</w:t>
            </w:r>
            <w:r>
              <w:rPr>
                <w:rFonts w:hint="eastAsia" w:asciiTheme="minorEastAsia" w:hAnsiTheme="minorEastAsia" w:eastAsiaTheme="minorEastAsia"/>
                <w:color w:val="FF0000"/>
                <w:szCs w:val="21"/>
                <w:lang w:val="en-US" w:eastAsia="zh-CN"/>
              </w:rPr>
              <w:t>目标</w:t>
            </w:r>
            <w:r>
              <w:rPr>
                <w:rFonts w:hint="eastAsia" w:asciiTheme="minorEastAsia" w:hAnsiTheme="minorEastAsia" w:eastAsiaTheme="minorEastAsia"/>
                <w:color w:val="FF0000"/>
                <w:szCs w:val="21"/>
              </w:rPr>
              <w:t>值93</w:t>
            </w:r>
            <w:r>
              <w:rPr>
                <w:rFonts w:hint="eastAsia" w:asciiTheme="minorEastAsia" w:hAnsiTheme="minorEastAsia" w:eastAsiaTheme="minorEastAsia"/>
                <w:color w:val="FF0000"/>
                <w:szCs w:val="21"/>
                <w:lang w:val="en-US" w:eastAsia="zh-CN"/>
              </w:rPr>
              <w:t>2</w:t>
            </w:r>
            <w:r>
              <w:rPr>
                <w:rFonts w:hint="eastAsia" w:asciiTheme="minorEastAsia" w:hAnsiTheme="minorEastAsia" w:eastAsiaTheme="minorEastAsia"/>
                <w:color w:val="FF0000"/>
                <w:szCs w:val="21"/>
              </w:rPr>
              <w:t xml:space="preserve"> tce，未提供原因</w:t>
            </w:r>
            <w:r>
              <w:rPr>
                <w:rFonts w:hint="eastAsia" w:asciiTheme="minorEastAsia" w:hAnsiTheme="minorEastAsia" w:eastAsiaTheme="minorEastAsia"/>
                <w:color w:val="FF0000"/>
                <w:szCs w:val="21"/>
                <w:lang w:val="en-US" w:eastAsia="zh-CN"/>
              </w:rPr>
              <w:t>分析及制定相应措施的证据</w:t>
            </w:r>
            <w:r>
              <w:rPr>
                <w:rFonts w:hint="eastAsia" w:asciiTheme="minorEastAsia" w:hAnsiTheme="minorEastAsia" w:eastAsiaTheme="minorEastAsia"/>
                <w:color w:val="FF0000"/>
                <w:szCs w:val="21"/>
              </w:rPr>
              <w:t>。</w:t>
            </w:r>
            <w:bookmarkEnd w:id="3"/>
            <w:r>
              <w:rPr>
                <w:rFonts w:hint="eastAsia" w:asciiTheme="minorEastAsia" w:hAnsiTheme="minorEastAsia" w:eastAsiaTheme="minorEastAsia"/>
                <w:color w:val="FF0000"/>
                <w:szCs w:val="21"/>
                <w:highlight w:val="yellow"/>
              </w:rPr>
              <w:t>——不符合项</w:t>
            </w:r>
          </w:p>
          <w:p>
            <w:pPr>
              <w:spacing w:before="156" w:beforeLines="50" w:after="156" w:afterLines="50"/>
              <w:ind w:firstLine="210" w:firstLineChars="100"/>
              <w:rPr>
                <w:rFonts w:hint="eastAsia" w:asciiTheme="minorEastAsia" w:hAnsiTheme="minorEastAsia" w:eastAsiaTheme="minorEastAsia"/>
                <w:szCs w:val="21"/>
              </w:rPr>
            </w:pPr>
            <w:r>
              <w:rPr>
                <w:rFonts w:hint="eastAsia" w:asciiTheme="minorEastAsia" w:hAnsiTheme="minorEastAsia" w:eastAsiaTheme="minorEastAsia"/>
                <w:szCs w:val="21"/>
              </w:rPr>
              <w:t>公司需要根据实际情况来策划、设定和调整能源目标指标</w:t>
            </w:r>
            <w:r>
              <w:rPr>
                <w:rFonts w:hint="eastAsia" w:asciiTheme="minorEastAsia" w:hAnsiTheme="minorEastAsia" w:eastAsiaTheme="minorEastAsia"/>
                <w:color w:val="FF0000"/>
                <w:szCs w:val="21"/>
              </w:rPr>
              <w:t>。</w:t>
            </w:r>
            <w:bookmarkEnd w:id="4"/>
            <w:bookmarkEnd w:id="5"/>
          </w:p>
          <w:p>
            <w:pPr>
              <w:spacing w:before="156" w:beforeLines="50" w:after="156" w:afterLines="50"/>
              <w:jc w:val="center"/>
              <w:rPr>
                <w:rFonts w:asciiTheme="minorEastAsia" w:hAnsiTheme="minorEastAsia" w:eastAsiaTheme="minorEastAsia"/>
                <w:szCs w:val="21"/>
              </w:rPr>
            </w:pPr>
            <w:r>
              <w:drawing>
                <wp:inline distT="0" distB="0" distL="0" distR="0">
                  <wp:extent cx="3371215" cy="33108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3388074" cy="3327540"/>
                          </a:xfrm>
                          <a:prstGeom prst="rect">
                            <a:avLst/>
                          </a:prstGeom>
                        </pic:spPr>
                      </pic:pic>
                    </a:graphicData>
                  </a:graphic>
                </wp:inline>
              </w:drawing>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both"/>
              <w:rPr>
                <w:rFonts w:asciiTheme="minorEastAsia" w:hAnsiTheme="minorEastAsia" w:eastAsiaTheme="minorEastAsia"/>
                <w:b/>
                <w:bCs/>
                <w:color w:val="FF0000"/>
                <w:sz w:val="24"/>
                <w:szCs w:val="24"/>
              </w:rPr>
            </w:pPr>
            <w:r>
              <w:rPr>
                <w:rFonts w:hint="eastAsia" w:asciiTheme="minorEastAsia" w:hAnsiTheme="minorEastAsia" w:eastAsiaTheme="minorEastAsia"/>
                <w:b/>
                <w:bCs/>
                <w:color w:val="FF0000"/>
                <w:sz w:val="24"/>
                <w:szCs w:val="24"/>
              </w:rPr>
              <w:t>N</w:t>
            </w:r>
          </w:p>
          <w:p>
            <w:pPr>
              <w:rPr>
                <w:rFonts w:asciiTheme="minorEastAsia" w:hAnsiTheme="minorEastAsia" w:eastAsiaTheme="minorEastAsia"/>
                <w:b/>
                <w:bCs/>
                <w:sz w:val="24"/>
                <w:szCs w:val="24"/>
              </w:rPr>
            </w:pPr>
          </w:p>
          <w:p>
            <w:pPr>
              <w:rPr>
                <w:rFonts w:asciiTheme="minorEastAsia" w:hAnsiTheme="minorEastAsia" w:eastAsiaTheme="minorEastAsia"/>
                <w:b/>
                <w:bCs/>
                <w:sz w:val="24"/>
                <w:szCs w:val="24"/>
              </w:rPr>
            </w:pPr>
          </w:p>
          <w:p>
            <w:pPr>
              <w:rPr>
                <w:rFonts w:asciiTheme="minorEastAsia" w:hAnsiTheme="minorEastAsia" w:eastAsiaTheme="minorEastAsia"/>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w:t>
            </w:r>
            <w:r>
              <w:rPr>
                <w:rFonts w:hint="eastAsia" w:asciiTheme="minorEastAsia" w:hAnsiTheme="minorEastAsia" w:eastAsiaTheme="minorEastAsia"/>
                <w:szCs w:val="21"/>
              </w:rPr>
              <w:t>．资源提供过程</w:t>
            </w:r>
          </w:p>
        </w:tc>
        <w:tc>
          <w:tcPr>
            <w:tcW w:w="956" w:type="dxa"/>
          </w:tcPr>
          <w:p>
            <w:pPr>
              <w:rPr>
                <w:rFonts w:asciiTheme="minorEastAsia" w:hAnsiTheme="minorEastAsia" w:eastAsiaTheme="minorEastAsia"/>
              </w:rPr>
            </w:pPr>
            <w:r>
              <w:rPr>
                <w:rFonts w:hint="eastAsia" w:asciiTheme="minorEastAsia" w:hAnsiTheme="minorEastAsia" w:eastAsiaTheme="minorEastAsia"/>
              </w:rPr>
              <w:t>7.1</w:t>
            </w:r>
          </w:p>
        </w:tc>
        <w:tc>
          <w:tcPr>
            <w:tcW w:w="9954" w:type="dxa"/>
          </w:tcPr>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公司注册资金6800万元，固定资产17163万元。公司能源管理体系涉及120人，其中，管理人员21人，操作人员99人。</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公司汽车零部件的制造有：1）焊接生产线一条：4台焊接机器人；2）热成型生产线3条：包括加热炉3条、冲压机3台；3）切割生产线一条：包括激光切割机12台。</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公司的基础资源包括：人力资源、基础设施、生产设备、生产技术以及生产管理、工作与工作环境、办公环境、监视与测量资源等，公司对人员、主要耗能设备设施和工作环境等资源条件规定了相应的要求，以达到满足顾客及相关方要求的目的，可以满足能源体系标准的要求。</w:t>
            </w:r>
          </w:p>
        </w:tc>
        <w:tc>
          <w:tcPr>
            <w:tcW w:w="1578" w:type="dxa"/>
          </w:tcPr>
          <w:p>
            <w:pPr>
              <w:jc w:val="center"/>
              <w:rPr>
                <w:rFonts w:asciiTheme="minorEastAsia" w:hAnsiTheme="minorEastAsia" w:eastAsiaTheme="minorEastAsia"/>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rPr>
            </w:pPr>
            <w:r>
              <w:rPr>
                <w:rFonts w:hint="eastAsia" w:asciiTheme="minorEastAsia" w:hAnsiTheme="minorEastAsia" w:eastAsiaTheme="minorEastAsia"/>
                <w:szCs w:val="21"/>
              </w:rPr>
              <w:t>1</w:t>
            </w:r>
            <w:r>
              <w:rPr>
                <w:rFonts w:asciiTheme="minorEastAsia" w:hAnsiTheme="minorEastAsia" w:eastAsiaTheme="minorEastAsia"/>
                <w:szCs w:val="21"/>
              </w:rPr>
              <w:t>1</w:t>
            </w:r>
            <w:r>
              <w:rPr>
                <w:rFonts w:hint="eastAsia" w:asciiTheme="minorEastAsia" w:hAnsiTheme="minorEastAsia" w:eastAsiaTheme="minorEastAsia"/>
                <w:szCs w:val="21"/>
              </w:rPr>
              <w:t>．内外部沟通</w:t>
            </w:r>
          </w:p>
        </w:tc>
        <w:tc>
          <w:tcPr>
            <w:tcW w:w="956" w:type="dxa"/>
          </w:tcPr>
          <w:p>
            <w:pPr>
              <w:rPr>
                <w:rFonts w:asciiTheme="minorEastAsia" w:hAnsiTheme="minorEastAsia" w:eastAsiaTheme="minorEastAsia"/>
              </w:rPr>
            </w:pPr>
            <w:r>
              <w:rPr>
                <w:rFonts w:hint="eastAsia" w:asciiTheme="minorEastAsia" w:hAnsiTheme="minorEastAsia" w:eastAsiaTheme="minorEastAsia"/>
              </w:rPr>
              <w:t>7.4</w:t>
            </w:r>
          </w:p>
        </w:tc>
        <w:tc>
          <w:tcPr>
            <w:tcW w:w="9954" w:type="dxa"/>
          </w:tcPr>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公司建立了《信息沟通控制程序》（</w:t>
            </w:r>
            <w:r>
              <w:rPr>
                <w:rFonts w:asciiTheme="minorEastAsia" w:hAnsiTheme="minorEastAsia" w:eastAsiaTheme="minorEastAsia"/>
                <w:szCs w:val="21"/>
              </w:rPr>
              <w:t>WHJX/NY CX-08-2021</w:t>
            </w:r>
            <w:r>
              <w:rPr>
                <w:rFonts w:hint="eastAsia" w:asciiTheme="minorEastAsia" w:hAnsiTheme="minorEastAsia" w:eastAsiaTheme="minorEastAsia"/>
                <w:szCs w:val="21"/>
              </w:rPr>
              <w:t xml:space="preserve">），生产部负责管理体系负责信息交流工作的全面管理工作，包括信息交流的内容、时机、对象和方式，并考虑合规义务和信息的真实性、一致性。 </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内部信息交流的内容包括：（1）正常信息，如：方针、目标、指标、监测检查记录、内部审核与管理评审报告以及体系正常运行时的其它记录等；（2）不符合信息（含潜在的），如管理体系内审的不符合报告、纠正和预防措施处理单等；（3）其它内部信息。</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 xml:space="preserve">外部信息交流的内容包括：（1）节能行政主管部门、节能监察机构及能源监测机构监督、检查或监测的结果及反馈的信息；（2）政策、法律法规、标准类信息，如节能法律法规、产业政策、节能标准等；（3）相关方的信息及投诉等，相关方指合同方、供应方等；（4）其它外部信息。生产部负责节能行政主管部门、节能监察机构及能源监测机构监督、检查或监测的结果及反馈信息的收集，并及时将结果传递给管理者代表，当监督、检查或监测结果出现不符合情况时，按照相应的程序处理。 </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生产部负责节能行政主管部门、节能监察机构及能源监测机构监督、检查或监测的结果及反馈信息的收集，并及时将结果传递给管理者代表，当监督、检查或监测结果出现不符合情况时，按照相应程序处理。</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rPr>
            </w:pPr>
            <w:r>
              <w:rPr>
                <w:rFonts w:hint="eastAsia" w:asciiTheme="minorEastAsia" w:hAnsiTheme="minorEastAsia" w:eastAsiaTheme="minorEastAsia"/>
                <w:szCs w:val="21"/>
              </w:rPr>
              <w:t>1</w:t>
            </w:r>
            <w:r>
              <w:rPr>
                <w:rFonts w:asciiTheme="minorEastAsia" w:hAnsiTheme="minorEastAsia" w:eastAsiaTheme="minorEastAsia"/>
                <w:szCs w:val="21"/>
              </w:rPr>
              <w:t>2</w:t>
            </w:r>
            <w:r>
              <w:rPr>
                <w:rFonts w:hint="eastAsia" w:asciiTheme="minorEastAsia" w:hAnsiTheme="minorEastAsia" w:eastAsiaTheme="minorEastAsia"/>
                <w:szCs w:val="21"/>
              </w:rPr>
              <w:t>．管理评审过程</w:t>
            </w:r>
          </w:p>
        </w:tc>
        <w:tc>
          <w:tcPr>
            <w:tcW w:w="956" w:type="dxa"/>
          </w:tcPr>
          <w:p>
            <w:pPr>
              <w:rPr>
                <w:rFonts w:asciiTheme="minorEastAsia" w:hAnsiTheme="minorEastAsia" w:eastAsiaTheme="minorEastAsia"/>
              </w:rPr>
            </w:pPr>
            <w:r>
              <w:rPr>
                <w:rFonts w:hint="eastAsia" w:asciiTheme="minorEastAsia" w:hAnsiTheme="minorEastAsia" w:eastAsiaTheme="minorEastAsia"/>
              </w:rPr>
              <w:t>9.3</w:t>
            </w:r>
          </w:p>
        </w:tc>
        <w:tc>
          <w:tcPr>
            <w:tcW w:w="9954" w:type="dxa"/>
          </w:tcPr>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公司建立了《管理评审程序》（WHJX/NY CX-21</w:t>
            </w:r>
            <w:r>
              <w:rPr>
                <w:rFonts w:asciiTheme="minorEastAsia" w:hAnsiTheme="minorEastAsia" w:eastAsiaTheme="minorEastAsia"/>
                <w:szCs w:val="21"/>
              </w:rPr>
              <w:t>-2021</w:t>
            </w:r>
            <w:r>
              <w:rPr>
                <w:rFonts w:hint="eastAsia" w:asciiTheme="minorEastAsia" w:hAnsiTheme="minorEastAsia" w:eastAsiaTheme="minorEastAsia"/>
                <w:szCs w:val="21"/>
              </w:rPr>
              <w:t xml:space="preserve">），管理评审由总经理主持，公司领导、各部室主要领导以及管理者代表参加。管理评审每年至少进行一次（两次间隔不得超过12个月），以管理评审会议的方式进行。管理评审由管理者代表召集，编制“能源管理体系年度运行情况综合报告”，管理部编制“管理评审计划”和“管理评审报告”，管理评审所需输入资料由管理部组织各有关部门提供，汇总后提交管理层。 </w:t>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管理评审的输入资料包括：（1）能源管理体系审核结果（内审和外审），评价能源管理体系是否满足有关要求，包括组织机构、人员、资源等配置是否适当、合理、充分，由办公室提供资料；（2）能源管理体系目标、指标和能源管理绩效实现程度；（3）公司能源的监测和监控结果、分析数据及法律法规符合性；（4）公司内外部环境的变化，如有关的法律法规、规范、标准的变化，新技术、新工艺、新设备使用等；（5）纠正和预防措施的有效性及实施验证的结果，由办公室提供分析数据；（6）能源方针；（7）持续改进的建议等。</w:t>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管理评审的输出应形成管理评审报告，评审输出包括：（1）能源管理体系运行控制等管理工作的改进，包括对能源管理方针、目标、指标、组织机构和能源管理实施的过程控制等方面的改进。（2）能源方针。（3）能源绩效参数、能源基准。（4）提出对现有的能源管理体系管理工作的改进措施。（5）改进融入业务过程的机会。（6）资源分配。（7）能力、意识和沟通的改进等。</w:t>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查公司年度管理评审实施情况：</w:t>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2022</w:t>
            </w:r>
            <w:r>
              <w:rPr>
                <w:rFonts w:hint="eastAsia" w:asciiTheme="minorEastAsia" w:hAnsiTheme="minorEastAsia" w:eastAsiaTheme="minorEastAsia"/>
                <w:szCs w:val="21"/>
                <w:lang w:val="zh-CN"/>
              </w:rPr>
              <w:t>年</w:t>
            </w:r>
            <w:r>
              <w:rPr>
                <w:rFonts w:asciiTheme="minorEastAsia" w:hAnsiTheme="minorEastAsia" w:eastAsiaTheme="minorEastAsia"/>
                <w:szCs w:val="21"/>
              </w:rPr>
              <w:t>2</w:t>
            </w:r>
            <w:r>
              <w:rPr>
                <w:rFonts w:hint="eastAsia" w:asciiTheme="minorEastAsia" w:hAnsiTheme="minorEastAsia" w:eastAsiaTheme="minorEastAsia"/>
                <w:szCs w:val="21"/>
                <w:lang w:val="zh-CN"/>
              </w:rPr>
              <w:t>月</w:t>
            </w:r>
            <w:r>
              <w:rPr>
                <w:rFonts w:asciiTheme="minorEastAsia" w:hAnsiTheme="minorEastAsia" w:eastAsiaTheme="minorEastAsia"/>
                <w:szCs w:val="21"/>
              </w:rPr>
              <w:t>12</w:t>
            </w:r>
            <w:r>
              <w:rPr>
                <w:rFonts w:hint="eastAsia" w:asciiTheme="minorEastAsia" w:hAnsiTheme="minorEastAsia" w:eastAsiaTheme="minorEastAsia"/>
                <w:szCs w:val="21"/>
                <w:lang w:val="zh-CN"/>
              </w:rPr>
              <w:t>日</w:t>
            </w:r>
            <w:r>
              <w:rPr>
                <w:rFonts w:hint="eastAsia" w:asciiTheme="minorEastAsia" w:hAnsiTheme="minorEastAsia" w:eastAsiaTheme="minorEastAsia"/>
                <w:szCs w:val="21"/>
              </w:rPr>
              <w:t>由管理部发布了“管理评审计划”及需要评审内容，确定了评审时间为2022年</w:t>
            </w:r>
            <w:r>
              <w:rPr>
                <w:rFonts w:asciiTheme="minorEastAsia" w:hAnsiTheme="minorEastAsia" w:eastAsiaTheme="minorEastAsia"/>
                <w:szCs w:val="21"/>
              </w:rPr>
              <w:t>2</w:t>
            </w:r>
            <w:r>
              <w:rPr>
                <w:rFonts w:hint="eastAsia" w:asciiTheme="minorEastAsia" w:hAnsiTheme="minorEastAsia" w:eastAsiaTheme="minorEastAsia"/>
                <w:szCs w:val="21"/>
              </w:rPr>
              <w:t>月</w:t>
            </w:r>
            <w:r>
              <w:rPr>
                <w:rFonts w:asciiTheme="minorEastAsia" w:hAnsiTheme="minorEastAsia" w:eastAsiaTheme="minorEastAsia"/>
                <w:szCs w:val="21"/>
              </w:rPr>
              <w:t>15</w:t>
            </w:r>
            <w:r>
              <w:rPr>
                <w:rFonts w:hint="eastAsia" w:asciiTheme="minorEastAsia" w:hAnsiTheme="minorEastAsia" w:eastAsiaTheme="minorEastAsia"/>
                <w:szCs w:val="21"/>
              </w:rPr>
              <w:t>日，管理者代表以及总经办、生产部、技术部、质保部、财务部等部门根据评审内容结合职能分工编写评审输入材料等。</w:t>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提供有管理评审会议签到表：</w:t>
            </w:r>
          </w:p>
          <w:p>
            <w:pPr>
              <w:spacing w:before="156" w:beforeLines="50" w:after="156" w:afterLines="50"/>
              <w:ind w:firstLine="210" w:firstLineChars="100"/>
              <w:jc w:val="center"/>
              <w:rPr>
                <w:rFonts w:asciiTheme="minorEastAsia" w:hAnsiTheme="minorEastAsia" w:eastAsiaTheme="minorEastAsia"/>
                <w:color w:val="0000FF"/>
                <w:szCs w:val="21"/>
              </w:rPr>
            </w:pPr>
            <w:r>
              <w:drawing>
                <wp:inline distT="0" distB="0" distL="0" distR="0">
                  <wp:extent cx="1772920" cy="20726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1789923" cy="2092897"/>
                          </a:xfrm>
                          <a:prstGeom prst="rect">
                            <a:avLst/>
                          </a:prstGeom>
                        </pic:spPr>
                      </pic:pic>
                    </a:graphicData>
                  </a:graphic>
                </wp:inline>
              </w:drawing>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提供了管理者代表以及总经办、生产部与技术部、质保部、财务部等部门共</w:t>
            </w:r>
            <w:r>
              <w:rPr>
                <w:rFonts w:asciiTheme="minorEastAsia" w:hAnsiTheme="minorEastAsia" w:eastAsiaTheme="minorEastAsia"/>
                <w:szCs w:val="21"/>
              </w:rPr>
              <w:t>5</w:t>
            </w:r>
            <w:r>
              <w:rPr>
                <w:rFonts w:hint="eastAsia" w:asciiTheme="minorEastAsia" w:hAnsiTheme="minorEastAsia" w:eastAsiaTheme="minorEastAsia"/>
                <w:szCs w:val="21"/>
              </w:rPr>
              <w:t>份管理评审运行总结和《管理评审报告》。</w:t>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评审结论：公司建立和实施的能源管理体系基本符合ISO50001：2018、RB/T107-2013及相关法律法规及公司能源管理体系文件的特点，适合公司能源管理的实际情况。提出两项改进要求“1、加强新版标准的学习；2、持续推进《能源使用评价表》中识别的能源绩效改进机会。”</w:t>
            </w:r>
          </w:p>
          <w:p>
            <w:pPr>
              <w:spacing w:before="156" w:beforeLines="50" w:after="156" w:afterLines="50"/>
              <w:ind w:firstLine="210" w:firstLineChars="100"/>
              <w:jc w:val="left"/>
              <w:rPr>
                <w:rFonts w:asciiTheme="minorEastAsia" w:hAnsiTheme="minorEastAsia" w:eastAsiaTheme="minorEastAsia"/>
                <w:szCs w:val="21"/>
              </w:rPr>
            </w:pPr>
            <w:r>
              <w:rPr>
                <w:rFonts w:hint="eastAsia" w:cs="Times New Roman" w:asciiTheme="minorEastAsia" w:hAnsiTheme="minorEastAsia" w:eastAsiaTheme="minorEastAsia"/>
                <w:szCs w:val="21"/>
              </w:rPr>
              <w:t>评审结论中提及的</w:t>
            </w:r>
            <w:bookmarkStart w:id="6" w:name="_Hlk107129657"/>
            <w:r>
              <w:rPr>
                <w:rFonts w:hint="eastAsia" w:cs="Times New Roman" w:asciiTheme="minorEastAsia" w:hAnsiTheme="minorEastAsia" w:eastAsiaTheme="minorEastAsia"/>
                <w:szCs w:val="21"/>
              </w:rPr>
              <w:t>“RB/T 107-2013”为公共建筑管理组织认证要求，不适用该企业，公司应符合RB/T 119-2015《能源管理体系 机械制造企业认证要求》，公司依据的认证行业标准有误——已与公司沟通。</w:t>
            </w:r>
            <w:bookmarkEnd w:id="6"/>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color w:val="FF0000"/>
                <w:sz w:val="24"/>
                <w:szCs w:val="24"/>
              </w:rPr>
            </w:pPr>
          </w:p>
          <w:p>
            <w:pPr>
              <w:jc w:val="center"/>
              <w:rPr>
                <w:rFonts w:asciiTheme="minorEastAsia" w:hAnsiTheme="minorEastAsia" w:eastAsiaTheme="minorEastAsia"/>
                <w:b/>
                <w:bCs/>
                <w:color w:val="FF0000"/>
                <w:sz w:val="24"/>
                <w:szCs w:val="24"/>
              </w:rPr>
            </w:pPr>
          </w:p>
          <w:p>
            <w:pPr>
              <w:jc w:val="center"/>
              <w:rPr>
                <w:rFonts w:asciiTheme="minorEastAsia" w:hAnsiTheme="minorEastAsia" w:eastAsiaTheme="minorEastAsia"/>
                <w:b/>
                <w:bCs/>
                <w:color w:val="FF0000"/>
                <w:sz w:val="24"/>
                <w:szCs w:val="24"/>
              </w:rPr>
            </w:pPr>
          </w:p>
          <w:p>
            <w:pPr>
              <w:jc w:val="center"/>
              <w:rPr>
                <w:rFonts w:asciiTheme="minorEastAsia" w:hAnsiTheme="minorEastAsia" w:eastAsiaTheme="minorEastAsia"/>
                <w:b/>
                <w:bCs/>
                <w:color w:val="FF0000"/>
                <w:sz w:val="24"/>
                <w:szCs w:val="24"/>
              </w:rPr>
            </w:pPr>
          </w:p>
          <w:p>
            <w:pPr>
              <w:jc w:val="center"/>
              <w:rPr>
                <w:rFonts w:asciiTheme="minorEastAsia" w:hAnsiTheme="minorEastAsia" w:eastAsiaTheme="minorEastAsia"/>
                <w:b/>
                <w:bCs/>
                <w:color w:val="FF0000"/>
                <w:sz w:val="24"/>
                <w:szCs w:val="24"/>
              </w:rPr>
            </w:pPr>
          </w:p>
          <w:p>
            <w:pPr>
              <w:jc w:val="both"/>
              <w:rPr>
                <w:rFonts w:asciiTheme="minorEastAsia" w:hAnsiTheme="minorEastAsia" w:eastAsiaTheme="minorEastAsia"/>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3.</w:t>
            </w:r>
            <w:r>
              <w:rPr>
                <w:rFonts w:hint="eastAsia" w:asciiTheme="minorEastAsia" w:hAnsiTheme="minorEastAsia" w:eastAsiaTheme="minorEastAsia"/>
                <w:szCs w:val="21"/>
              </w:rPr>
              <w:t>监视和测量策划和持续改进</w:t>
            </w:r>
          </w:p>
        </w:tc>
        <w:tc>
          <w:tcPr>
            <w:tcW w:w="956" w:type="dxa"/>
          </w:tcPr>
          <w:p>
            <w:pPr>
              <w:rPr>
                <w:rFonts w:asciiTheme="minorEastAsia" w:hAnsiTheme="minorEastAsia" w:eastAsiaTheme="minorEastAsia"/>
              </w:rPr>
            </w:pPr>
            <w:r>
              <w:rPr>
                <w:rFonts w:hint="eastAsia" w:asciiTheme="minorEastAsia" w:hAnsiTheme="minorEastAsia" w:eastAsiaTheme="minorEastAsia"/>
              </w:rPr>
              <w:t>9.1.1/</w:t>
            </w:r>
          </w:p>
          <w:p>
            <w:pPr>
              <w:rPr>
                <w:rFonts w:asciiTheme="minorEastAsia" w:hAnsiTheme="minorEastAsia" w:eastAsiaTheme="minorEastAsia"/>
              </w:rPr>
            </w:pPr>
            <w:r>
              <w:rPr>
                <w:rFonts w:hint="eastAsia" w:asciiTheme="minorEastAsia" w:hAnsiTheme="minorEastAsia" w:eastAsiaTheme="minorEastAsia"/>
              </w:rPr>
              <w:t>10.2</w:t>
            </w:r>
          </w:p>
        </w:tc>
        <w:tc>
          <w:tcPr>
            <w:tcW w:w="9954" w:type="dxa"/>
          </w:tcPr>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公司建立了《监视和测量控制程序》（</w:t>
            </w:r>
            <w:r>
              <w:rPr>
                <w:rFonts w:asciiTheme="minorEastAsia" w:hAnsiTheme="minorEastAsia" w:eastAsiaTheme="minorEastAsia"/>
                <w:szCs w:val="21"/>
              </w:rPr>
              <w:t>WHJX/NY CX-18-2021</w:t>
            </w:r>
            <w:r>
              <w:rPr>
                <w:rFonts w:hint="eastAsia" w:asciiTheme="minorEastAsia" w:hAnsiTheme="minorEastAsia" w:eastAsiaTheme="minorEastAsia"/>
                <w:szCs w:val="21"/>
              </w:rPr>
              <w:t>），策划并实施以下方面所需的监视和测量的内容：（1）有关法律法规的遵循情况；（2）体系运行的覆盖情况；（3）用能系统、过程和环节是否在规定状态下运行；（4）目标、指标的实现情况和能源管理方案的进展情况；（5）考核制度的落实情况；（6）能源计量、统计制度的执行情况；（7）设施设备的运行、维护和鉴定情况。</w:t>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确定监视和测量的方式：（1）各部门应依据相应的国家、省市及行业的监视、测量要求定期进行监测。（2）生产部定期组织各部门抽查体系的运行情况，对发现的问题提出意见，传至责任部门，由责任部门制定整改措施，生产部将运行情况形成抽查报告并上报管理者代表。（3）生产部对各部门自查报告和抽查报告中整改措施的落实情况进行跟踪验证。</w:t>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公司建立了《不符合及纠正措施控制程序》（</w:t>
            </w:r>
            <w:r>
              <w:rPr>
                <w:rFonts w:asciiTheme="minorEastAsia" w:hAnsiTheme="minorEastAsia" w:eastAsiaTheme="minorEastAsia"/>
                <w:szCs w:val="21"/>
              </w:rPr>
              <w:t>WHJX/NY CX-22-2021</w:t>
            </w:r>
            <w:r>
              <w:rPr>
                <w:rFonts w:hint="eastAsia" w:asciiTheme="minorEastAsia" w:hAnsiTheme="minorEastAsia" w:eastAsiaTheme="minorEastAsia"/>
                <w:szCs w:val="21"/>
              </w:rPr>
              <w:t>），明确了：（</w:t>
            </w:r>
            <w:r>
              <w:rPr>
                <w:rFonts w:asciiTheme="minorEastAsia" w:hAnsiTheme="minorEastAsia" w:eastAsiaTheme="minorEastAsia"/>
                <w:szCs w:val="21"/>
              </w:rPr>
              <w:t>1</w:t>
            </w:r>
            <w:r>
              <w:rPr>
                <w:rFonts w:hint="eastAsia" w:asciiTheme="minorEastAsia" w:hAnsiTheme="minorEastAsia" w:eastAsiaTheme="minorEastAsia"/>
                <w:szCs w:val="21"/>
              </w:rPr>
              <w:t>）生产部根据日常活动相关数据和信息的分析、评价，识别并提出服务和管理方面持续改进项目；（2）各部门根据生产和试验能力、检测能力及质量管理能力的实际与需求对比分析，识别并提出持续改进项目；（3）总经理根据公司实际发展需要，确定并提出持续改进项目。</w:t>
            </w:r>
          </w:p>
          <w:p>
            <w:pPr>
              <w:spacing w:before="156" w:beforeLines="50" w:after="156" w:afterLines="50"/>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公司通过日常检查、内审、管理评审等过程的控制实现持续改进。</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4</w:t>
            </w:r>
            <w:r>
              <w:rPr>
                <w:rFonts w:hint="eastAsia" w:asciiTheme="minorEastAsia" w:hAnsiTheme="minorEastAsia" w:eastAsiaTheme="minorEastAsia"/>
                <w:szCs w:val="21"/>
              </w:rPr>
              <w:t>．对一阶段问题整改情况的确认</w:t>
            </w:r>
          </w:p>
        </w:tc>
        <w:tc>
          <w:tcPr>
            <w:tcW w:w="956" w:type="dxa"/>
          </w:tcPr>
          <w:p>
            <w:pPr>
              <w:rPr>
                <w:rFonts w:asciiTheme="minorEastAsia" w:hAnsiTheme="minorEastAsia" w:eastAsiaTheme="minorEastAsia"/>
              </w:rPr>
            </w:pPr>
          </w:p>
        </w:tc>
        <w:tc>
          <w:tcPr>
            <w:tcW w:w="9954" w:type="dxa"/>
          </w:tcPr>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一阶段问题：提供的法律法规清单中设备热效率计算通则已作废，企业节能量计算方法未更新。</w:t>
            </w:r>
          </w:p>
          <w:p>
            <w:pPr>
              <w:spacing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在二阶段审核前上述问题均进行了沟通与整改。</w:t>
            </w:r>
            <w:r>
              <w:rPr>
                <w:rFonts w:hint="eastAsia" w:asciiTheme="minorEastAsia" w:hAnsiTheme="minorEastAsia" w:eastAsiaTheme="minorEastAsia"/>
                <w:b/>
                <w:bCs/>
                <w:szCs w:val="21"/>
              </w:rPr>
              <w:t>基本符</w:t>
            </w:r>
            <w:r>
              <w:rPr>
                <w:rFonts w:hint="eastAsia" w:asciiTheme="minorEastAsia" w:hAnsiTheme="minorEastAsia" w:eastAsiaTheme="minorEastAsia"/>
                <w:b/>
                <w:szCs w:val="21"/>
              </w:rPr>
              <w:t>合要求。</w:t>
            </w:r>
          </w:p>
        </w:tc>
        <w:tc>
          <w:tcPr>
            <w:tcW w:w="1578" w:type="dxa"/>
          </w:tcPr>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Y</w:t>
            </w:r>
          </w:p>
        </w:tc>
      </w:tr>
    </w:tbl>
    <w:p>
      <w:pPr>
        <w:pStyle w:val="5"/>
      </w:pPr>
      <w:r>
        <w:rPr>
          <w:rFonts w:hint="eastAsia" w:ascii="宋体" w:hAnsi="宋体"/>
        </w:rPr>
        <w:t>说明：不符合标注N</w:t>
      </w:r>
      <w:r>
        <w:br w:type="page"/>
      </w:r>
    </w:p>
    <w:p>
      <w:pPr>
        <w:spacing w:line="480" w:lineRule="exact"/>
        <w:jc w:val="center"/>
        <w:outlineLvl w:val="0"/>
        <w:rPr>
          <w:rFonts w:ascii="隶书" w:hAnsi="宋体" w:eastAsia="隶书"/>
          <w:bCs/>
          <w:sz w:val="36"/>
          <w:szCs w:val="36"/>
        </w:rPr>
      </w:pPr>
      <w:r>
        <w:rPr>
          <w:rFonts w:hint="eastAsia" w:ascii="隶书" w:hAnsi="宋体" w:eastAsia="隶书"/>
          <w:bCs/>
          <w:sz w:val="36"/>
          <w:szCs w:val="36"/>
        </w:rPr>
        <w:t>管理体系审核记录表</w:t>
      </w:r>
    </w:p>
    <w:tbl>
      <w:tblPr>
        <w:tblStyle w:val="1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956"/>
        <w:gridCol w:w="1032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vAlign w:val="center"/>
          </w:tcPr>
          <w:p>
            <w:pPr>
              <w:spacing w:before="12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过程与活动、</w:t>
            </w:r>
          </w:p>
          <w:p>
            <w:pPr>
              <w:jc w:val="center"/>
              <w:rPr>
                <w:rFonts w:asciiTheme="minorEastAsia" w:hAnsiTheme="minorEastAsia" w:eastAsiaTheme="minorEastAsia"/>
                <w:color w:val="000000" w:themeColor="text1"/>
                <w:szCs w:val="22"/>
                <w14:textFill>
                  <w14:solidFill>
                    <w14:schemeClr w14:val="tx1"/>
                  </w14:solidFill>
                </w14:textFill>
              </w:rPr>
            </w:pPr>
            <w:r>
              <w:rPr>
                <w:rFonts w:hint="eastAsia" w:asciiTheme="minorEastAsia" w:hAnsiTheme="minorEastAsia" w:eastAsiaTheme="minorEastAsia"/>
                <w:b/>
                <w:bCs/>
                <w:sz w:val="24"/>
                <w:szCs w:val="24"/>
              </w:rPr>
              <w:t>抽样计划</w:t>
            </w:r>
          </w:p>
        </w:tc>
        <w:tc>
          <w:tcPr>
            <w:tcW w:w="956" w:type="dxa"/>
            <w:vMerge w:val="restart"/>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涉及</w:t>
            </w:r>
          </w:p>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
                <w:bCs/>
                <w:szCs w:val="21"/>
              </w:rPr>
              <w:t>条款</w:t>
            </w:r>
          </w:p>
        </w:tc>
        <w:tc>
          <w:tcPr>
            <w:tcW w:w="10324" w:type="dxa"/>
            <w:vAlign w:val="center"/>
          </w:tcPr>
          <w:p>
            <w:pPr>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受审核部门：总经办 </w:t>
            </w:r>
            <w:r>
              <w:rPr>
                <w:rFonts w:asciiTheme="minorEastAsia" w:hAnsiTheme="minorEastAsia" w:eastAsia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olor w:val="000000" w:themeColor="text1"/>
                <w:sz w:val="24"/>
                <w:szCs w:val="24"/>
                <w14:textFill>
                  <w14:solidFill>
                    <w14:schemeClr w14:val="tx1"/>
                  </w14:solidFill>
                </w14:textFill>
              </w:rPr>
              <w:t xml:space="preserve">  主管领导：骆杨    陪同人员：郭嵘</w:t>
            </w:r>
          </w:p>
        </w:tc>
        <w:tc>
          <w:tcPr>
            <w:tcW w:w="1208" w:type="dxa"/>
            <w:vMerge w:val="restart"/>
            <w:vAlign w:val="center"/>
          </w:tcPr>
          <w:p>
            <w:pPr>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continue"/>
            <w:vAlign w:val="center"/>
          </w:tcPr>
          <w:p>
            <w:pPr>
              <w:jc w:val="center"/>
              <w:rPr>
                <w:rFonts w:asciiTheme="minorEastAsia" w:hAnsiTheme="minorEastAsia" w:eastAsiaTheme="minorEastAsia"/>
                <w:color w:val="000000" w:themeColor="text1"/>
                <w:szCs w:val="22"/>
                <w14:textFill>
                  <w14:solidFill>
                    <w14:schemeClr w14:val="tx1"/>
                  </w14:solidFill>
                </w14:textFill>
              </w:rPr>
            </w:pPr>
          </w:p>
        </w:tc>
        <w:tc>
          <w:tcPr>
            <w:tcW w:w="956" w:type="dxa"/>
            <w:vMerge w:val="continue"/>
            <w:vAlign w:val="center"/>
          </w:tcPr>
          <w:p>
            <w:pPr>
              <w:jc w:val="center"/>
              <w:rPr>
                <w:rFonts w:asciiTheme="minorEastAsia" w:hAnsiTheme="minorEastAsia" w:eastAsiaTheme="minorEastAsia"/>
                <w:color w:val="000000" w:themeColor="text1"/>
                <w:szCs w:val="21"/>
                <w14:textFill>
                  <w14:solidFill>
                    <w14:schemeClr w14:val="tx1"/>
                  </w14:solidFill>
                </w14:textFill>
              </w:rPr>
            </w:pPr>
          </w:p>
        </w:tc>
        <w:tc>
          <w:tcPr>
            <w:tcW w:w="10324" w:type="dxa"/>
            <w:vAlign w:val="center"/>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审核员：宋翠琳（远程审核工具采用微信、腾讯会议、电话、文件传输等）</w:t>
            </w:r>
          </w:p>
          <w:p>
            <w:pPr>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审核时间：</w:t>
            </w:r>
            <w:r>
              <w:rPr>
                <w:rFonts w:asciiTheme="minorEastAsia" w:hAnsiTheme="minorEastAsia" w:eastAsiaTheme="minorEastAsia"/>
                <w:sz w:val="24"/>
                <w:szCs w:val="24"/>
              </w:rPr>
              <w:t>2022年6月28日13:00-17:00</w:t>
            </w:r>
            <w:r>
              <w:rPr>
                <w:rFonts w:hint="eastAsia" w:asciiTheme="minorEastAsia" w:hAnsiTheme="minorEastAsia" w:eastAsiaTheme="minorEastAsia"/>
                <w:sz w:val="24"/>
                <w:szCs w:val="24"/>
              </w:rPr>
              <w:t>；</w:t>
            </w:r>
            <w:r>
              <w:rPr>
                <w:rFonts w:asciiTheme="minorEastAsia" w:hAnsiTheme="minorEastAsia" w:eastAsiaTheme="minorEastAsia"/>
                <w:sz w:val="24"/>
                <w:szCs w:val="24"/>
              </w:rPr>
              <w:t>29日8:00-12:00</w:t>
            </w:r>
          </w:p>
        </w:tc>
        <w:tc>
          <w:tcPr>
            <w:tcW w:w="1208" w:type="dxa"/>
            <w:vMerge w:val="continue"/>
          </w:tcPr>
          <w:p>
            <w:pPr>
              <w:jc w:val="center"/>
              <w:rPr>
                <w:rFonts w:asciiTheme="minorEastAsia" w:hAnsiTheme="minorEastAsia" w:eastAsiaTheme="minorEastAsia"/>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continue"/>
            <w:vAlign w:val="center"/>
          </w:tcPr>
          <w:p>
            <w:pPr>
              <w:rPr>
                <w:rFonts w:asciiTheme="minorEastAsia" w:hAnsiTheme="minorEastAsia" w:eastAsiaTheme="minorEastAsia"/>
                <w:color w:val="000000" w:themeColor="text1"/>
                <w:szCs w:val="22"/>
                <w14:textFill>
                  <w14:solidFill>
                    <w14:schemeClr w14:val="tx1"/>
                  </w14:solidFill>
                </w14:textFill>
              </w:rPr>
            </w:pPr>
          </w:p>
        </w:tc>
        <w:tc>
          <w:tcPr>
            <w:tcW w:w="956" w:type="dxa"/>
            <w:vMerge w:val="continue"/>
            <w:vAlign w:val="center"/>
          </w:tcPr>
          <w:p>
            <w:pPr>
              <w:rPr>
                <w:rFonts w:asciiTheme="minorEastAsia" w:hAnsiTheme="minorEastAsia" w:eastAsiaTheme="minorEastAsia"/>
                <w:color w:val="000000" w:themeColor="text1"/>
                <w:szCs w:val="21"/>
                <w14:textFill>
                  <w14:solidFill>
                    <w14:schemeClr w14:val="tx1"/>
                  </w14:solidFill>
                </w14:textFill>
              </w:rPr>
            </w:pPr>
          </w:p>
        </w:tc>
        <w:tc>
          <w:tcPr>
            <w:tcW w:w="10324" w:type="dxa"/>
            <w:vAlign w:val="center"/>
          </w:tcPr>
          <w:p>
            <w:pPr>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审核条款：EnMS:5.3/6.2/7.2/7.3/7.4/7.5/</w:t>
            </w:r>
            <w:r>
              <w:rPr>
                <w:rFonts w:asciiTheme="minorEastAsia" w:hAnsiTheme="minorEastAsia" w:eastAsiaTheme="minorEastAsia"/>
                <w:color w:val="000000" w:themeColor="text1"/>
                <w:sz w:val="24"/>
                <w:szCs w:val="24"/>
                <w14:textFill>
                  <w14:solidFill>
                    <w14:schemeClr w14:val="tx1"/>
                  </w14:solidFill>
                </w14:textFill>
              </w:rPr>
              <w:t>8.1/8.3/4.2/9.1.2/</w:t>
            </w:r>
            <w:r>
              <w:rPr>
                <w:rFonts w:hint="eastAsia" w:asciiTheme="minorEastAsia" w:hAnsiTheme="minorEastAsia" w:eastAsiaTheme="minorEastAsia"/>
                <w:color w:val="000000" w:themeColor="text1"/>
                <w:sz w:val="24"/>
                <w:szCs w:val="24"/>
                <w14:textFill>
                  <w14:solidFill>
                    <w14:schemeClr w14:val="tx1"/>
                  </w14:solidFill>
                </w14:textFill>
              </w:rPr>
              <w:t>9.2/10.1</w:t>
            </w:r>
          </w:p>
        </w:tc>
        <w:tc>
          <w:tcPr>
            <w:tcW w:w="1208" w:type="dxa"/>
            <w:vMerge w:val="continue"/>
          </w:tcPr>
          <w:p>
            <w:pPr>
              <w:jc w:val="center"/>
              <w:rPr>
                <w:rFonts w:asciiTheme="minorEastAsia" w:hAnsiTheme="minorEastAsia" w:eastAsiaTheme="minorEastAsia"/>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．岗位、职责和权限</w:t>
            </w:r>
          </w:p>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2．目标、能源指标及其实现的策划的适宜性，履行职责和目标方案实现情况；</w:t>
            </w:r>
          </w:p>
        </w:tc>
        <w:tc>
          <w:tcPr>
            <w:tcW w:w="956" w:type="dxa"/>
          </w:tcPr>
          <w:p>
            <w:pP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5.3</w:t>
            </w:r>
          </w:p>
          <w:p>
            <w:pP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6.2</w:t>
            </w:r>
          </w:p>
          <w:p>
            <w:pPr>
              <w:pStyle w:val="7"/>
              <w:ind w:left="840" w:hanging="420"/>
              <w:rPr>
                <w:rFonts w:asciiTheme="minorEastAsia" w:hAnsiTheme="minorEastAsia" w:eastAsiaTheme="minorEastAsia"/>
                <w:color w:val="000000" w:themeColor="text1"/>
                <w:szCs w:val="21"/>
                <w14:textFill>
                  <w14:solidFill>
                    <w14:schemeClr w14:val="tx1"/>
                  </w14:solidFill>
                </w14:textFill>
              </w:rPr>
            </w:pPr>
          </w:p>
        </w:tc>
        <w:tc>
          <w:tcPr>
            <w:tcW w:w="10324" w:type="dxa"/>
          </w:tcPr>
          <w:p>
            <w:pPr>
              <w:spacing w:before="156" w:beforeLines="50" w:after="156" w:afterLines="50"/>
              <w:ind w:firstLine="210" w:firstLineChars="1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、总经办机构设置</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 xml:space="preserve"> 部门领导：骆杨；部门共</w:t>
            </w:r>
            <w:r>
              <w:rPr>
                <w:rFonts w:asciiTheme="minorEastAsia" w:hAnsiTheme="minorEastAsia" w:eastAsiaTheme="minorEastAsia"/>
                <w:szCs w:val="21"/>
              </w:rPr>
              <w:t>12</w:t>
            </w:r>
            <w:r>
              <w:rPr>
                <w:rFonts w:hint="eastAsia" w:asciiTheme="minorEastAsia" w:hAnsiTheme="minorEastAsia" w:eastAsiaTheme="minorEastAsia"/>
                <w:szCs w:val="21"/>
              </w:rPr>
              <w:t>人。岗位设置：经理岗位1人；文员岗位1人；后勤岗位1人；人事岗位1人；采购岗位3人；销售岗位3人；售后岗位2人。</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部门领导说明本部门的</w:t>
            </w:r>
            <w:r>
              <w:rPr>
                <w:rFonts w:hint="eastAsia" w:asciiTheme="minorEastAsia" w:hAnsiTheme="minorEastAsia" w:eastAsiaTheme="minorEastAsia"/>
                <w:b/>
                <w:bCs/>
                <w:szCs w:val="21"/>
              </w:rPr>
              <w:t>综合管理职责是</w:t>
            </w:r>
            <w:r>
              <w:rPr>
                <w:rFonts w:hint="eastAsia" w:asciiTheme="minorEastAsia" w:hAnsiTheme="minorEastAsia" w:eastAsiaTheme="minorEastAsia"/>
                <w:szCs w:val="21"/>
              </w:rPr>
              <w:t>：</w:t>
            </w:r>
          </w:p>
          <w:p>
            <w:pPr>
              <w:pStyle w:val="26"/>
              <w:numPr>
                <w:ilvl w:val="0"/>
                <w:numId w:val="2"/>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负责能源方面人力资源的配置、劳动关系、薪酬、考勤的管理和监督；</w:t>
            </w:r>
          </w:p>
          <w:p>
            <w:pPr>
              <w:pStyle w:val="26"/>
              <w:numPr>
                <w:ilvl w:val="0"/>
                <w:numId w:val="2"/>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公司节能教育学习，编制不同岗位的年度培训计划、方案并公司实施，建立并保存培训档案及培训记录，做好培训总结；</w:t>
            </w:r>
          </w:p>
          <w:p>
            <w:pPr>
              <w:pStyle w:val="26"/>
              <w:numPr>
                <w:ilvl w:val="0"/>
                <w:numId w:val="2"/>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汇总和制订年度员工能源管理技能培训计划，并公司实施；</w:t>
            </w:r>
          </w:p>
          <w:p>
            <w:pPr>
              <w:pStyle w:val="26"/>
              <w:numPr>
                <w:ilvl w:val="0"/>
                <w:numId w:val="2"/>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负责对公司食堂、厕所及其他公共服务设施区域的节能管理，并制定相应的管理办法。</w:t>
            </w:r>
          </w:p>
          <w:p>
            <w:pPr>
              <w:spacing w:before="156" w:beforeLines="50" w:after="156" w:afterLines="50"/>
              <w:ind w:left="210"/>
              <w:rPr>
                <w:rFonts w:asciiTheme="minorEastAsia" w:hAnsiTheme="minorEastAsia" w:eastAsiaTheme="minorEastAsia"/>
                <w:szCs w:val="21"/>
              </w:rPr>
            </w:pPr>
            <w:r>
              <w:rPr>
                <w:rFonts w:hint="eastAsia" w:asciiTheme="minorEastAsia" w:hAnsiTheme="minorEastAsia" w:eastAsiaTheme="minorEastAsia"/>
                <w:szCs w:val="21"/>
              </w:rPr>
              <w:t>本部门的</w:t>
            </w:r>
            <w:r>
              <w:rPr>
                <w:rFonts w:hint="eastAsia" w:asciiTheme="minorEastAsia" w:hAnsiTheme="minorEastAsia" w:eastAsiaTheme="minorEastAsia"/>
                <w:b/>
                <w:bCs/>
                <w:szCs w:val="21"/>
              </w:rPr>
              <w:t>销售管理职责是</w:t>
            </w:r>
            <w:r>
              <w:rPr>
                <w:rFonts w:hint="eastAsia" w:asciiTheme="minorEastAsia" w:hAnsiTheme="minorEastAsia" w:eastAsiaTheme="minorEastAsia"/>
                <w:szCs w:val="21"/>
              </w:rPr>
              <w:t>：</w:t>
            </w:r>
          </w:p>
          <w:p>
            <w:pPr>
              <w:pStyle w:val="26"/>
              <w:numPr>
                <w:ilvl w:val="0"/>
                <w:numId w:val="3"/>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制订年度国内销售计划，落实年度销售目标； </w:t>
            </w:r>
          </w:p>
          <w:p>
            <w:pPr>
              <w:pStyle w:val="26"/>
              <w:numPr>
                <w:ilvl w:val="0"/>
                <w:numId w:val="3"/>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提供产品样本、宣传企业和产品、接待客户、做好售前服务； </w:t>
            </w:r>
          </w:p>
          <w:p>
            <w:pPr>
              <w:pStyle w:val="26"/>
              <w:numPr>
                <w:ilvl w:val="0"/>
                <w:numId w:val="3"/>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组织合同评审、对内销合同的质量负责； </w:t>
            </w:r>
          </w:p>
          <w:p>
            <w:pPr>
              <w:pStyle w:val="26"/>
              <w:numPr>
                <w:ilvl w:val="0"/>
                <w:numId w:val="3"/>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负责内销项目的报价、制作投标文件； </w:t>
            </w:r>
          </w:p>
          <w:p>
            <w:pPr>
              <w:pStyle w:val="26"/>
              <w:numPr>
                <w:ilvl w:val="0"/>
                <w:numId w:val="3"/>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销售合同（含改造合同）处理，按合同履行要求提出投产建议， 并控制交货期进度，提出发货指令； </w:t>
            </w:r>
          </w:p>
          <w:p>
            <w:pPr>
              <w:pStyle w:val="26"/>
              <w:numPr>
                <w:ilvl w:val="0"/>
                <w:numId w:val="3"/>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定期对内销合同的统计及来访客户的统计；建立客户档案，反馈用户信息，管理客户资料； </w:t>
            </w:r>
          </w:p>
          <w:p>
            <w:pPr>
              <w:pStyle w:val="26"/>
              <w:numPr>
                <w:ilvl w:val="0"/>
                <w:numId w:val="3"/>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按合同回收货款、并做好应收款管理工作；制定与调整产品内销价格； </w:t>
            </w:r>
          </w:p>
          <w:p>
            <w:pPr>
              <w:pStyle w:val="26"/>
              <w:numPr>
                <w:ilvl w:val="0"/>
                <w:numId w:val="3"/>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实施对国内销售网点（代理商）业务支持指导和管理； </w:t>
            </w:r>
          </w:p>
          <w:p>
            <w:pPr>
              <w:pStyle w:val="26"/>
              <w:numPr>
                <w:ilvl w:val="0"/>
                <w:numId w:val="3"/>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做好能源预算等。</w:t>
            </w:r>
          </w:p>
          <w:p>
            <w:pPr>
              <w:spacing w:before="156" w:beforeLines="50" w:after="156" w:afterLines="50"/>
              <w:ind w:firstLine="210" w:firstLineChars="100"/>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、部门提供有《目标、指标的制定控制程序》（</w:t>
            </w:r>
            <w:r>
              <w:rPr>
                <w:rFonts w:asciiTheme="minorEastAsia" w:hAnsiTheme="minorEastAsia" w:eastAsiaTheme="minorEastAsia"/>
                <w:szCs w:val="21"/>
              </w:rPr>
              <w:t>WHJX/NY CX-03-2021</w:t>
            </w:r>
            <w:r>
              <w:rPr>
                <w:rFonts w:hint="eastAsia" w:asciiTheme="minorEastAsia" w:hAnsiTheme="minorEastAsia" w:eastAsiaTheme="minorEastAsia"/>
                <w:szCs w:val="21"/>
              </w:rPr>
              <w:t>），2</w:t>
            </w:r>
            <w:r>
              <w:rPr>
                <w:rFonts w:asciiTheme="minorEastAsia" w:hAnsiTheme="minorEastAsia" w:eastAsiaTheme="minorEastAsia"/>
                <w:szCs w:val="21"/>
              </w:rPr>
              <w:t>021-6-10</w:t>
            </w:r>
            <w:r>
              <w:rPr>
                <w:rFonts w:hint="eastAsia" w:asciiTheme="minorEastAsia" w:hAnsiTheme="minorEastAsia" w:eastAsiaTheme="minorEastAsia"/>
                <w:szCs w:val="21"/>
              </w:rPr>
              <w:t>编审批并发布，</w:t>
            </w:r>
            <w:r>
              <w:rPr>
                <w:rFonts w:hint="eastAsia" w:asciiTheme="minorEastAsia" w:hAnsiTheme="minorEastAsia" w:eastAsiaTheme="minorEastAsia"/>
                <w:b/>
                <w:bCs/>
                <w:szCs w:val="21"/>
              </w:rPr>
              <w:t>符合标准要求。</w:t>
            </w:r>
          </w:p>
          <w:p>
            <w:pPr>
              <w:spacing w:before="156" w:beforeLines="50" w:after="156" w:afterLines="50"/>
              <w:ind w:firstLine="210" w:firstLineChars="100"/>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、提供公司近三年的《公司能源目标指标及完成情况一览表》，其中总经办的能源管理目标是：1）员工培训覆盖率1</w:t>
            </w:r>
            <w:r>
              <w:rPr>
                <w:rFonts w:asciiTheme="minorEastAsia" w:hAnsiTheme="minorEastAsia" w:eastAsiaTheme="minorEastAsia"/>
                <w:szCs w:val="21"/>
              </w:rPr>
              <w:t>00%</w:t>
            </w:r>
            <w:r>
              <w:rPr>
                <w:rFonts w:hint="eastAsia" w:asciiTheme="minorEastAsia" w:hAnsiTheme="minorEastAsia" w:eastAsiaTheme="minorEastAsia"/>
                <w:szCs w:val="21"/>
              </w:rPr>
              <w:t>；2）能源采购符合节能降耗规定；</w:t>
            </w:r>
            <w:r>
              <w:rPr>
                <w:rFonts w:asciiTheme="minorEastAsia" w:hAnsiTheme="minorEastAsia" w:eastAsiaTheme="minorEastAsia"/>
                <w:szCs w:val="21"/>
              </w:rPr>
              <w:t>3</w:t>
            </w:r>
            <w:r>
              <w:rPr>
                <w:rFonts w:hint="eastAsia" w:asciiTheme="minorEastAsia" w:hAnsiTheme="minorEastAsia" w:eastAsiaTheme="minorEastAsia"/>
                <w:szCs w:val="21"/>
              </w:rPr>
              <w:t>）节约办公用电。</w:t>
            </w:r>
          </w:p>
          <w:p>
            <w:pPr>
              <w:spacing w:before="156" w:beforeLines="50" w:after="156" w:afterLines="50"/>
              <w:jc w:val="center"/>
              <w:rPr>
                <w:rFonts w:asciiTheme="minorEastAsia" w:hAnsiTheme="minorEastAsia" w:eastAsiaTheme="minorEastAsia"/>
                <w:szCs w:val="21"/>
              </w:rPr>
            </w:pPr>
            <w:r>
              <w:drawing>
                <wp:inline distT="0" distB="0" distL="0" distR="0">
                  <wp:extent cx="5226050" cy="23958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39085" cy="2401853"/>
                          </a:xfrm>
                          <a:prstGeom prst="rect">
                            <a:avLst/>
                          </a:prstGeom>
                        </pic:spPr>
                      </pic:pic>
                    </a:graphicData>
                  </a:graphic>
                </wp:inline>
              </w:drawing>
            </w:r>
          </w:p>
          <w:p>
            <w:pPr>
              <w:spacing w:before="156" w:beforeLines="50" w:after="156" w:afterLines="50"/>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抽查2</w:t>
            </w:r>
            <w:r>
              <w:rPr>
                <w:rFonts w:asciiTheme="minorEastAsia" w:hAnsiTheme="minorEastAsia" w:eastAsiaTheme="minorEastAsia"/>
                <w:szCs w:val="21"/>
              </w:rPr>
              <w:t>021</w:t>
            </w:r>
            <w:r>
              <w:rPr>
                <w:rFonts w:hint="eastAsia" w:asciiTheme="minorEastAsia" w:hAnsiTheme="minorEastAsia" w:eastAsiaTheme="minorEastAsia"/>
                <w:szCs w:val="21"/>
              </w:rPr>
              <w:t>年、2</w:t>
            </w:r>
            <w:r>
              <w:rPr>
                <w:rFonts w:asciiTheme="minorEastAsia" w:hAnsiTheme="minorEastAsia" w:eastAsiaTheme="minorEastAsia"/>
                <w:szCs w:val="21"/>
              </w:rPr>
              <w:t>022</w:t>
            </w:r>
            <w:r>
              <w:rPr>
                <w:rFonts w:hint="eastAsia" w:asciiTheme="minorEastAsia" w:hAnsiTheme="minorEastAsia" w:eastAsiaTheme="minorEastAsia"/>
                <w:szCs w:val="21"/>
              </w:rPr>
              <w:t>年1～</w:t>
            </w:r>
            <w:r>
              <w:rPr>
                <w:rFonts w:asciiTheme="minorEastAsia" w:hAnsiTheme="minorEastAsia" w:eastAsiaTheme="minorEastAsia"/>
                <w:szCs w:val="21"/>
              </w:rPr>
              <w:t>5</w:t>
            </w:r>
            <w:r>
              <w:rPr>
                <w:rFonts w:hint="eastAsia" w:asciiTheme="minorEastAsia" w:hAnsiTheme="minorEastAsia" w:eastAsiaTheme="minorEastAsia"/>
                <w:szCs w:val="21"/>
              </w:rPr>
              <w:t>月统计记录，总经办的目标和能源指标全部完成。</w:t>
            </w:r>
          </w:p>
        </w:tc>
        <w:tc>
          <w:tcPr>
            <w:tcW w:w="1208" w:type="dxa"/>
          </w:tcPr>
          <w:p>
            <w:pPr>
              <w:jc w:val="center"/>
              <w:rPr>
                <w:rFonts w:asciiTheme="minorEastAsia" w:hAnsiTheme="minorEastAsia" w:eastAsiaTheme="minorEastAsia"/>
                <w:b/>
                <w:bCs/>
                <w:color w:val="000000" w:themeColor="text1"/>
                <w:sz w:val="24"/>
                <w:szCs w:val="24"/>
                <w14:textFill>
                  <w14:solidFill>
                    <w14:schemeClr w14:val="tx1"/>
                  </w14:solidFill>
                </w14:textFill>
              </w:rPr>
            </w:pPr>
          </w:p>
          <w:p>
            <w:pPr>
              <w:pStyle w:val="7"/>
              <w:ind w:left="0" w:leftChars="0" w:firstLine="0" w:firstLineChars="0"/>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tabs>
                <w:tab w:val="left" w:pos="312"/>
              </w:tabs>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3．员工的能力、意识及培训策划与实施效果；</w:t>
            </w:r>
          </w:p>
          <w:p>
            <w:pPr>
              <w:tabs>
                <w:tab w:val="left" w:pos="312"/>
              </w:tabs>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w:t>
            </w:r>
            <w:r>
              <w:rPr>
                <w:rFonts w:hint="eastAsia" w:asciiTheme="minorEastAsia" w:hAnsiTheme="minorEastAsia" w:eastAsiaTheme="minorEastAsia"/>
                <w:color w:val="000000" w:themeColor="text1"/>
                <w14:textFill>
                  <w14:solidFill>
                    <w14:schemeClr w14:val="tx1"/>
                  </w14:solidFill>
                </w14:textFill>
              </w:rPr>
              <w:t>．信息交流；</w:t>
            </w:r>
            <w:r>
              <w:rPr>
                <w:rFonts w:asciiTheme="minorEastAsia" w:hAnsiTheme="minorEastAsia" w:eastAsiaTheme="minorEastAsia"/>
                <w:color w:val="000000" w:themeColor="text1"/>
                <w14:textFill>
                  <w14:solidFill>
                    <w14:schemeClr w14:val="tx1"/>
                  </w14:solidFill>
                </w14:textFill>
              </w:rPr>
              <w:t xml:space="preserve"> </w:t>
            </w:r>
          </w:p>
        </w:tc>
        <w:tc>
          <w:tcPr>
            <w:tcW w:w="956" w:type="dxa"/>
          </w:tcPr>
          <w:p>
            <w:pP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7.2</w:t>
            </w:r>
          </w:p>
          <w:p>
            <w:pP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7.3</w:t>
            </w:r>
          </w:p>
          <w:p>
            <w:pPr>
              <w:pStyle w:val="7"/>
              <w:ind w:left="0" w:leftChars="0" w:firstLine="0"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7.4</w:t>
            </w:r>
          </w:p>
        </w:tc>
        <w:tc>
          <w:tcPr>
            <w:tcW w:w="10324" w:type="dxa"/>
          </w:tcPr>
          <w:p>
            <w:pPr>
              <w:spacing w:before="156" w:beforeLines="50"/>
              <w:ind w:left="42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1、查阅文件</w:t>
            </w:r>
          </w:p>
          <w:p>
            <w:pPr>
              <w:ind w:firstLine="210" w:firstLineChars="100"/>
              <w:rPr>
                <w:rFonts w:ascii="宋体" w:hAnsi="宋体"/>
                <w:b/>
                <w:bCs/>
                <w:szCs w:val="21"/>
              </w:rPr>
            </w:pPr>
            <w:r>
              <w:rPr>
                <w:rFonts w:hint="eastAsia" w:asciiTheme="minorEastAsia" w:hAnsiTheme="minorEastAsia" w:eastAsiaTheme="minorEastAsia"/>
                <w:color w:val="000000" w:themeColor="text1"/>
                <w:szCs w:val="21"/>
                <w14:textFill>
                  <w14:solidFill>
                    <w14:schemeClr w14:val="tx1"/>
                  </w14:solidFill>
                </w14:textFill>
              </w:rPr>
              <w:t>公司建立有《能力、意识和培训控制程序》（</w:t>
            </w:r>
            <w:r>
              <w:rPr>
                <w:rFonts w:asciiTheme="minorEastAsia" w:hAnsiTheme="minorEastAsia" w:eastAsiaTheme="minorEastAsia"/>
                <w:color w:val="000000" w:themeColor="text1"/>
                <w:szCs w:val="21"/>
                <w14:textFill>
                  <w14:solidFill>
                    <w14:schemeClr w14:val="tx1"/>
                  </w14:solidFill>
                </w14:textFill>
              </w:rPr>
              <w:t>WHJX/NY CX-07-2021</w:t>
            </w:r>
            <w:r>
              <w:rPr>
                <w:rFonts w:hint="eastAsia" w:asciiTheme="minorEastAsia" w:hAnsiTheme="minorEastAsia" w:eastAsiaTheme="minorEastAsia"/>
                <w:color w:val="000000" w:themeColor="text1"/>
                <w:szCs w:val="21"/>
                <w14:textFill>
                  <w14:solidFill>
                    <w14:schemeClr w14:val="tx1"/>
                  </w14:solidFill>
                </w14:textFill>
              </w:rPr>
              <w:t>）和《信息沟通控制程序》（</w:t>
            </w:r>
            <w:r>
              <w:rPr>
                <w:rFonts w:asciiTheme="minorEastAsia" w:hAnsiTheme="minorEastAsia" w:eastAsiaTheme="minorEastAsia"/>
                <w:color w:val="000000" w:themeColor="text1"/>
                <w:szCs w:val="21"/>
                <w14:textFill>
                  <w14:solidFill>
                    <w14:schemeClr w14:val="tx1"/>
                  </w14:solidFill>
                </w14:textFill>
              </w:rPr>
              <w:t>WHJX/NY CX-08-2021</w:t>
            </w:r>
            <w:r>
              <w:rPr>
                <w:rFonts w:hint="eastAsia" w:asciiTheme="minorEastAsia" w:hAnsiTheme="minorEastAsia" w:eastAsiaTheme="minorEastAsia"/>
                <w:color w:val="000000" w:themeColor="text1"/>
                <w:szCs w:val="21"/>
                <w14:textFill>
                  <w14:solidFill>
                    <w14:schemeClr w14:val="tx1"/>
                  </w14:solidFill>
                </w14:textFill>
              </w:rPr>
              <w:t>），2021-10-1编审批并发布，确保了其适宜性和充分性。并且在《能源管理手册》7.2、7.3、7.4条款中内容规定了管理部应组织确定与能源绩效和能源管理体系具有影响的人员必备的基本能力要求</w:t>
            </w:r>
            <w:r>
              <w:rPr>
                <w:rFonts w:hint="eastAsia" w:ascii="宋体" w:hAnsi="宋体"/>
                <w:b/>
                <w:bCs/>
                <w:szCs w:val="21"/>
              </w:rPr>
              <w:t>。</w:t>
            </w:r>
          </w:p>
          <w:p>
            <w:pPr>
              <w:spacing w:before="156" w:beforeLines="50"/>
              <w:ind w:firstLine="420"/>
              <w:rPr>
                <w:rFonts w:ascii="宋体" w:hAnsi="宋体"/>
                <w:b/>
                <w:bCs/>
                <w:szCs w:val="21"/>
              </w:rPr>
            </w:pPr>
            <w:r>
              <w:rPr>
                <w:rFonts w:hint="eastAsia" w:ascii="宋体" w:hAnsi="宋体"/>
                <w:b/>
                <w:bCs/>
                <w:szCs w:val="21"/>
              </w:rPr>
              <w:t>2、查阅能力、意识和沟通情况</w:t>
            </w:r>
          </w:p>
          <w:p>
            <w:pPr>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在《能源管理手册》7.2、7.3、7.4条款中内容规定了管理部应组织确定与能源绩效和能源管理体系具有影响的人员必备的基本能力要求。</w:t>
            </w:r>
          </w:p>
          <w:p>
            <w:pPr>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1）手册在能力、培训方面的规定：</w:t>
            </w:r>
          </w:p>
          <w:p>
            <w:pPr>
              <w:ind w:left="420" w:left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 xml:space="preserve">7.2  </w:t>
            </w:r>
            <w:r>
              <w:rPr>
                <w:rFonts w:hint="eastAsia" w:ascii="宋体" w:hAnsi="宋体"/>
                <w:color w:val="000000" w:themeColor="text1"/>
                <w:szCs w:val="21"/>
                <w14:textFill>
                  <w14:solidFill>
                    <w14:schemeClr w14:val="tx1"/>
                  </w14:solidFill>
                </w14:textFill>
              </w:rPr>
              <w:t>能力</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a)确定在其控制下从事影响其能源性能和环境管理系统的工作的人的必要能力；</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b)根据适当的教育、培训、技能或经验，确保这些人能够胜任工作；</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c)在适用的情况下，采取行动获得必要的能力，并评估所采取行动的有效性；</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d)保持适当的记录信息作为证据的能力。”</w:t>
            </w:r>
          </w:p>
          <w:p>
            <w:pPr>
              <w:ind w:firstLine="42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）手册在意识方面的规定：</w:t>
            </w:r>
          </w:p>
          <w:p>
            <w:pPr>
              <w:ind w:left="420" w:left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“7.3意识</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在公司控制下从事工作的人员应知道:</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a)能源方针；</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b)他们的贡献运用的有效性,包括实现目标和能源目标,和提高能效的好处；</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c)其活动或行为对能源表现的影响；</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d)不符合能源管理体系要求的含义。”</w:t>
            </w:r>
          </w:p>
          <w:p>
            <w:pPr>
              <w:ind w:firstLine="42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）手册在沟通方面的规定：</w:t>
            </w:r>
          </w:p>
          <w:p>
            <w:pPr>
              <w:ind w:left="420" w:left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“7.4沟通</w:t>
            </w:r>
          </w:p>
          <w:p>
            <w:pPr>
              <w:ind w:left="420" w:left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公司制定《信息沟通控制程序》，确定与能源管理体系相关的内部和外部通信，包括：</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a)它将传达什么信息；</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b)何时沟通；</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c)与谁交流；</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d)如何沟通；</w:t>
            </w:r>
          </w:p>
          <w:p>
            <w:pPr>
              <w:ind w:left="420" w:leftChars="2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e)谁沟通。</w:t>
            </w:r>
          </w:p>
          <w:p>
            <w:pPr>
              <w:ind w:left="420" w:left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在建立其沟通过程时，公司应确保所传达的信息与能源管理体系内所产生的信息一致且可靠。</w:t>
            </w:r>
          </w:p>
          <w:p>
            <w:pPr>
              <w:ind w:left="420" w:left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公司建立并实施一个过程，通过该过程，任何在组织控制下从事工作的人可以对能源管理体系和能源绩效提出评论或建议。公司应考虑保留建议改进的文件化信息。”</w:t>
            </w:r>
          </w:p>
          <w:p>
            <w:pPr>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与相关人员沟通公司近期的能力、意识、沟通情况，</w:t>
            </w:r>
            <w:r>
              <w:rPr>
                <w:rFonts w:hint="eastAsia" w:ascii="宋体" w:hAnsi="宋体"/>
                <w:b/>
                <w:bCs/>
                <w:color w:val="000000" w:themeColor="text1"/>
                <w:szCs w:val="21"/>
                <w14:textFill>
                  <w14:solidFill>
                    <w14:schemeClr w14:val="tx1"/>
                  </w14:solidFill>
                </w14:textFill>
              </w:rPr>
              <w:t>没有发生与体系标准向背离的情况和问题</w:t>
            </w:r>
            <w:r>
              <w:rPr>
                <w:rFonts w:hint="eastAsia" w:ascii="宋体" w:hAnsi="宋体"/>
                <w:color w:val="000000" w:themeColor="text1"/>
                <w:szCs w:val="21"/>
                <w14:textFill>
                  <w14:solidFill>
                    <w14:schemeClr w14:val="tx1"/>
                  </w14:solidFill>
                </w14:textFill>
              </w:rPr>
              <w:t>。</w:t>
            </w:r>
          </w:p>
          <w:p>
            <w:pPr>
              <w:spacing w:before="156" w:beforeLines="50"/>
              <w:ind w:firstLine="422" w:firstLineChars="20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3、查培训情况</w:t>
            </w:r>
          </w:p>
          <w:p>
            <w:pPr>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1）公司提供2</w:t>
            </w:r>
            <w:r>
              <w:rPr>
                <w:rFonts w:ascii="宋体" w:hAnsi="宋体"/>
                <w:color w:val="000000" w:themeColor="text1"/>
                <w:szCs w:val="21"/>
                <w14:textFill>
                  <w14:solidFill>
                    <w14:schemeClr w14:val="tx1"/>
                  </w14:solidFill>
                </w14:textFill>
              </w:rPr>
              <w:t>022-2022</w:t>
            </w:r>
            <w:r>
              <w:rPr>
                <w:rFonts w:hint="eastAsia" w:ascii="宋体" w:hAnsi="宋体"/>
                <w:color w:val="000000" w:themeColor="text1"/>
                <w:szCs w:val="21"/>
                <w14:textFill>
                  <w14:solidFill>
                    <w14:schemeClr w14:val="tx1"/>
                  </w14:solidFill>
                </w14:textFill>
              </w:rPr>
              <w:t>年度针对能源体系的培训计划，2</w:t>
            </w:r>
            <w:r>
              <w:rPr>
                <w:rFonts w:ascii="宋体" w:hAnsi="宋体"/>
                <w:color w:val="000000" w:themeColor="text1"/>
                <w:szCs w:val="21"/>
                <w14:textFill>
                  <w14:solidFill>
                    <w14:schemeClr w14:val="tx1"/>
                  </w14:solidFill>
                </w14:textFill>
              </w:rPr>
              <w:t>021-6-10</w:t>
            </w:r>
            <w:r>
              <w:rPr>
                <w:rFonts w:hint="eastAsia" w:ascii="宋体" w:hAnsi="宋体"/>
                <w:color w:val="000000" w:themeColor="text1"/>
                <w:szCs w:val="21"/>
                <w14:textFill>
                  <w14:solidFill>
                    <w14:schemeClr w14:val="tx1"/>
                  </w14:solidFill>
                </w14:textFill>
              </w:rPr>
              <w:t>编审批。</w:t>
            </w:r>
          </w:p>
          <w:p>
            <w:pPr>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021</w:t>
            </w:r>
            <w:r>
              <w:rPr>
                <w:rFonts w:hint="eastAsia" w:ascii="宋体" w:hAnsi="宋体"/>
                <w:color w:val="000000" w:themeColor="text1"/>
                <w:szCs w:val="21"/>
                <w14:textFill>
                  <w14:solidFill>
                    <w14:schemeClr w14:val="tx1"/>
                  </w14:solidFill>
                </w14:textFill>
              </w:rPr>
              <w:t>年计划培训</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项，2</w:t>
            </w:r>
            <w:r>
              <w:rPr>
                <w:rFonts w:ascii="宋体" w:hAnsi="宋体"/>
                <w:color w:val="000000" w:themeColor="text1"/>
                <w:szCs w:val="21"/>
                <w14:textFill>
                  <w14:solidFill>
                    <w14:schemeClr w14:val="tx1"/>
                  </w14:solidFill>
                </w14:textFill>
              </w:rPr>
              <w:t>022</w:t>
            </w:r>
            <w:r>
              <w:rPr>
                <w:rFonts w:hint="eastAsia" w:ascii="宋体" w:hAnsi="宋体"/>
                <w:color w:val="000000" w:themeColor="text1"/>
                <w:szCs w:val="21"/>
                <w14:textFill>
                  <w14:solidFill>
                    <w14:schemeClr w14:val="tx1"/>
                  </w14:solidFill>
                </w14:textFill>
              </w:rPr>
              <w:t>年计划培训7项，计划有“序号、培训内容、培训对象、培训时间、培训课时、培训方式、主办单位、考试方法”项目。</w:t>
            </w:r>
          </w:p>
          <w:p>
            <w:pPr>
              <w:pStyle w:val="3"/>
              <w:jc w:val="center"/>
              <w:rPr>
                <w:rFonts w:ascii="宋体" w:hAnsi="宋体" w:eastAsia="宋体"/>
                <w:color w:val="000000" w:themeColor="text1"/>
                <w:sz w:val="21"/>
                <w:szCs w:val="21"/>
                <w14:textFill>
                  <w14:solidFill>
                    <w14:schemeClr w14:val="tx1"/>
                  </w14:solidFill>
                </w14:textFill>
              </w:rPr>
            </w:pPr>
            <w:r>
              <w:drawing>
                <wp:inline distT="0" distB="0" distL="0" distR="0">
                  <wp:extent cx="4191000" cy="39058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4204201" cy="3918618"/>
                          </a:xfrm>
                          <a:prstGeom prst="rect">
                            <a:avLst/>
                          </a:prstGeom>
                        </pic:spPr>
                      </pic:pic>
                    </a:graphicData>
                  </a:graphic>
                </wp:inline>
              </w:drawing>
            </w:r>
          </w:p>
          <w:p>
            <w:pPr>
              <w:spacing w:before="156" w:beforeLines="50" w:after="156" w:afterLines="50"/>
              <w:ind w:firstLine="630" w:firstLineChars="3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2）查阅该公司《能源培训记录表》，有“培训主题、培训文件、主讲人、培训类别、地点、应到和实到人数、考核办法、参加人员名单、培训简况及有效性意见”。</w:t>
            </w:r>
          </w:p>
          <w:p>
            <w:pPr>
              <w:spacing w:before="156" w:beforeLines="50" w:after="156" w:afterLines="50"/>
              <w:ind w:firstLine="630" w:firstLineChars="3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抽查：（1）2</w:t>
            </w:r>
            <w:r>
              <w:rPr>
                <w:rFonts w:ascii="宋体" w:hAnsi="宋体"/>
                <w:color w:val="000000" w:themeColor="text1"/>
                <w:szCs w:val="21"/>
                <w14:textFill>
                  <w14:solidFill>
                    <w14:schemeClr w14:val="tx1"/>
                  </w14:solidFill>
                </w14:textFill>
              </w:rPr>
              <w:t>021.7.12</w:t>
            </w:r>
            <w:r>
              <w:rPr>
                <w:rFonts w:hint="eastAsia" w:ascii="宋体" w:hAnsi="宋体"/>
                <w:color w:val="000000" w:themeColor="text1"/>
                <w:szCs w:val="21"/>
                <w14:textFill>
                  <w14:solidFill>
                    <w14:schemeClr w14:val="tx1"/>
                  </w14:solidFill>
                </w14:textFill>
              </w:rPr>
              <w:t>培训记录，培训主题“能源管理体系标准理解”，共培训</w:t>
            </w: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人；（2）2</w:t>
            </w:r>
            <w:r>
              <w:rPr>
                <w:rFonts w:ascii="宋体" w:hAnsi="宋体"/>
                <w:color w:val="000000" w:themeColor="text1"/>
                <w:szCs w:val="21"/>
                <w14:textFill>
                  <w14:solidFill>
                    <w14:schemeClr w14:val="tx1"/>
                  </w14:solidFill>
                </w14:textFill>
              </w:rPr>
              <w:t>021.12.6</w:t>
            </w:r>
            <w:r>
              <w:rPr>
                <w:rFonts w:hint="eastAsia" w:ascii="宋体" w:hAnsi="宋体"/>
                <w:color w:val="000000" w:themeColor="text1"/>
                <w:szCs w:val="21"/>
                <w14:textFill>
                  <w14:solidFill>
                    <w14:schemeClr w14:val="tx1"/>
                  </w14:solidFill>
                </w14:textFill>
              </w:rPr>
              <w:t>培训记录，培训主题“能源管理体系内审员培训”，共培训</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人；（3）2</w:t>
            </w:r>
            <w:r>
              <w:rPr>
                <w:rFonts w:ascii="宋体" w:hAnsi="宋体"/>
                <w:color w:val="000000" w:themeColor="text1"/>
                <w:szCs w:val="21"/>
                <w14:textFill>
                  <w14:solidFill>
                    <w14:schemeClr w14:val="tx1"/>
                  </w14:solidFill>
                </w14:textFill>
              </w:rPr>
              <w:t>022.2.15</w:t>
            </w:r>
            <w:r>
              <w:rPr>
                <w:rFonts w:hint="eastAsia" w:ascii="宋体" w:hAnsi="宋体"/>
                <w:color w:val="000000" w:themeColor="text1"/>
                <w:szCs w:val="21"/>
                <w14:textFill>
                  <w14:solidFill>
                    <w14:schemeClr w14:val="tx1"/>
                  </w14:solidFill>
                </w14:textFill>
              </w:rPr>
              <w:t>培训记录，培训主题“能源评审和节能机会识别培训”，共培训</w:t>
            </w: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人。3次培训记录如下：</w:t>
            </w:r>
          </w:p>
          <w:p>
            <w:pPr>
              <w:jc w:val="center"/>
              <w:rPr>
                <w:rFonts w:ascii="宋体" w:hAnsi="宋体"/>
                <w:color w:val="000000" w:themeColor="text1"/>
                <w:szCs w:val="21"/>
                <w14:textFill>
                  <w14:solidFill>
                    <w14:schemeClr w14:val="tx1"/>
                  </w14:solidFill>
                </w14:textFill>
              </w:rPr>
            </w:pPr>
            <w:r>
              <w:drawing>
                <wp:inline distT="0" distB="0" distL="0" distR="0">
                  <wp:extent cx="1944370" cy="27520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1955296" cy="2767132"/>
                          </a:xfrm>
                          <a:prstGeom prst="rect">
                            <a:avLst/>
                          </a:prstGeom>
                        </pic:spPr>
                      </pic:pic>
                    </a:graphicData>
                  </a:graphic>
                </wp:inline>
              </w:drawing>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w:t>
            </w:r>
            <w:r>
              <w:drawing>
                <wp:inline distT="0" distB="0" distL="0" distR="0">
                  <wp:extent cx="1955800" cy="2827655"/>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1971156" cy="2850054"/>
                          </a:xfrm>
                          <a:prstGeom prst="rect">
                            <a:avLst/>
                          </a:prstGeom>
                        </pic:spPr>
                      </pic:pic>
                    </a:graphicData>
                  </a:graphic>
                </wp:inline>
              </w:drawing>
            </w:r>
            <w:r>
              <w:rPr>
                <w:rFonts w:ascii="宋体" w:hAnsi="宋体"/>
                <w:color w:val="000000" w:themeColor="text1"/>
                <w:szCs w:val="21"/>
                <w14:textFill>
                  <w14:solidFill>
                    <w14:schemeClr w14:val="tx1"/>
                  </w14:solidFill>
                </w14:textFill>
              </w:rPr>
              <w:t xml:space="preserve">  </w:t>
            </w:r>
            <w:r>
              <w:drawing>
                <wp:inline distT="0" distB="0" distL="0" distR="0">
                  <wp:extent cx="1944370" cy="26879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1948803" cy="2693636"/>
                          </a:xfrm>
                          <a:prstGeom prst="rect">
                            <a:avLst/>
                          </a:prstGeom>
                        </pic:spPr>
                      </pic:pic>
                    </a:graphicData>
                  </a:graphic>
                </wp:inline>
              </w:drawing>
            </w:r>
          </w:p>
          <w:p>
            <w:pPr>
              <w:jc w:val="center"/>
              <w:rPr>
                <w:rFonts w:ascii="宋体" w:hAnsi="宋体"/>
                <w:color w:val="000000" w:themeColor="text1"/>
                <w:szCs w:val="21"/>
                <w14:textFill>
                  <w14:solidFill>
                    <w14:schemeClr w14:val="tx1"/>
                  </w14:solidFill>
                </w14:textFill>
              </w:rPr>
            </w:pPr>
          </w:p>
          <w:p>
            <w:pPr>
              <w:ind w:firstLine="422" w:firstLineChars="20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培训过程基本符合标准要求与实际情况。</w:t>
            </w:r>
          </w:p>
          <w:p>
            <w:pPr>
              <w:spacing w:before="312" w:beforeLines="100"/>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4、查人员资质。</w:t>
            </w:r>
          </w:p>
          <w:p>
            <w:pPr>
              <w:spacing w:before="156" w:beforeLines="50"/>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提供《无锡万华特种设备作业人员证清单》，含有</w:t>
            </w:r>
            <w:r>
              <w:rPr>
                <w:rFonts w:ascii="宋体" w:hAnsi="宋体"/>
                <w:color w:val="000000" w:themeColor="text1"/>
                <w:szCs w:val="21"/>
                <w14:textFill>
                  <w14:solidFill>
                    <w14:schemeClr w14:val="tx1"/>
                  </w14:solidFill>
                </w14:textFill>
              </w:rPr>
              <w:t>21</w:t>
            </w:r>
            <w:r>
              <w:rPr>
                <w:rFonts w:hint="eastAsia" w:ascii="宋体" w:hAnsi="宋体"/>
                <w:color w:val="000000" w:themeColor="text1"/>
                <w:szCs w:val="21"/>
                <w14:textFill>
                  <w14:solidFill>
                    <w14:schemeClr w14:val="tx1"/>
                  </w14:solidFill>
                </w14:textFill>
              </w:rPr>
              <w:t>人次的</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种资格/资质证书。符合国家对特种作业人员的资格/资质要求，满足公司生产实际。</w:t>
            </w:r>
          </w:p>
          <w:p>
            <w:pPr>
              <w:pStyle w:val="3"/>
              <w:autoSpaceDE w:val="0"/>
              <w:autoSpaceDN w:val="0"/>
              <w:jc w:val="center"/>
              <w:rPr>
                <w:rFonts w:ascii="宋体" w:hAnsi="宋体" w:eastAsia="宋体"/>
                <w:color w:val="000000" w:themeColor="text1"/>
                <w:sz w:val="21"/>
                <w:szCs w:val="21"/>
                <w14:textFill>
                  <w14:solidFill>
                    <w14:schemeClr w14:val="tx1"/>
                  </w14:solidFill>
                </w14:textFill>
              </w:rPr>
            </w:pPr>
            <w:r>
              <w:drawing>
                <wp:inline distT="0" distB="0" distL="0" distR="0">
                  <wp:extent cx="6473825" cy="4055110"/>
                  <wp:effectExtent l="0" t="0" r="317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6487318" cy="4063880"/>
                          </a:xfrm>
                          <a:prstGeom prst="rect">
                            <a:avLst/>
                          </a:prstGeom>
                        </pic:spPr>
                      </pic:pic>
                    </a:graphicData>
                  </a:graphic>
                </wp:inline>
              </w:drawing>
            </w:r>
          </w:p>
          <w:p>
            <w:pPr>
              <w:pStyle w:val="3"/>
              <w:autoSpaceDE w:val="0"/>
              <w:autoSpaceDN w:val="0"/>
              <w:spacing w:before="156" w:beforeLines="50"/>
              <w:ind w:firstLine="210" w:firstLineChars="100"/>
              <w:jc w:val="left"/>
              <w:rPr>
                <w:rFonts w:ascii="宋体" w:hAnsi="宋体" w:eastAsia="宋体"/>
                <w:color w:val="000000" w:themeColor="text1"/>
                <w:sz w:val="21"/>
                <w:szCs w:val="21"/>
                <w14:textFill>
                  <w14:solidFill>
                    <w14:schemeClr w14:val="tx1"/>
                  </w14:solidFill>
                </w14:textFill>
              </w:rPr>
            </w:pPr>
          </w:p>
          <w:p>
            <w:pPr>
              <w:pStyle w:val="3"/>
              <w:autoSpaceDE w:val="0"/>
              <w:autoSpaceDN w:val="0"/>
              <w:spacing w:before="156" w:beforeLines="50"/>
              <w:ind w:firstLine="210" w:firstLineChars="100"/>
              <w:jc w:val="left"/>
              <w:rPr>
                <w:rFonts w:ascii="宋体" w:hAnsi="宋体" w:eastAsia="宋体"/>
                <w:color w:val="000000" w:themeColor="text1"/>
                <w:sz w:val="21"/>
                <w:szCs w:val="21"/>
                <w14:textFill>
                  <w14:solidFill>
                    <w14:schemeClr w14:val="tx1"/>
                  </w14:solidFill>
                </w14:textFill>
              </w:rPr>
            </w:pPr>
          </w:p>
          <w:p>
            <w:pPr>
              <w:pStyle w:val="3"/>
              <w:autoSpaceDE w:val="0"/>
              <w:autoSpaceDN w:val="0"/>
              <w:spacing w:before="156" w:beforeLines="50"/>
              <w:ind w:firstLine="210" w:firstLineChars="100"/>
              <w:jc w:val="left"/>
              <w:rPr>
                <w:rFonts w:ascii="宋体" w:hAnsi="宋体" w:eastAsia="宋体"/>
                <w:color w:val="000000" w:themeColor="text1"/>
                <w:sz w:val="21"/>
                <w:szCs w:val="21"/>
                <w14:textFill>
                  <w14:solidFill>
                    <w14:schemeClr w14:val="tx1"/>
                  </w14:solidFill>
                </w14:textFill>
              </w:rPr>
            </w:pPr>
          </w:p>
          <w:p>
            <w:pPr>
              <w:pStyle w:val="3"/>
              <w:autoSpaceDE w:val="0"/>
              <w:autoSpaceDN w:val="0"/>
              <w:spacing w:before="156" w:beforeLines="50"/>
              <w:ind w:firstLine="210" w:firstLineChars="100"/>
              <w:jc w:val="left"/>
              <w:rPr>
                <w:rFonts w:ascii="宋体" w:hAnsi="宋体" w:eastAsia="宋体"/>
                <w:color w:val="000000" w:themeColor="text1"/>
                <w:sz w:val="21"/>
                <w:szCs w:val="21"/>
                <w14:textFill>
                  <w14:solidFill>
                    <w14:schemeClr w14:val="tx1"/>
                  </w14:solidFill>
                </w14:textFill>
              </w:rPr>
            </w:pPr>
          </w:p>
          <w:p>
            <w:pPr>
              <w:pStyle w:val="3"/>
              <w:autoSpaceDE w:val="0"/>
              <w:autoSpaceDN w:val="0"/>
              <w:spacing w:before="156" w:beforeLines="50"/>
              <w:ind w:firstLine="210" w:firstLineChars="100"/>
              <w:jc w:val="left"/>
              <w:rPr>
                <w:rFonts w:ascii="宋体" w:hAnsi="宋体" w:eastAsia="宋体"/>
                <w:color w:val="000000" w:themeColor="text1"/>
                <w:sz w:val="21"/>
                <w:szCs w:val="21"/>
                <w14:textFill>
                  <w14:solidFill>
                    <w14:schemeClr w14:val="tx1"/>
                  </w14:solidFill>
                </w14:textFill>
              </w:rPr>
            </w:pPr>
          </w:p>
          <w:p>
            <w:pPr>
              <w:pStyle w:val="3"/>
              <w:autoSpaceDE w:val="0"/>
              <w:autoSpaceDN w:val="0"/>
              <w:spacing w:before="156" w:beforeLines="50"/>
              <w:ind w:firstLine="210" w:firstLineChars="100"/>
              <w:jc w:val="left"/>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抽查特种作业人员许可证：</w:t>
            </w:r>
          </w:p>
          <w:p>
            <w:pPr>
              <w:pStyle w:val="3"/>
              <w:autoSpaceDE w:val="0"/>
              <w:autoSpaceDN w:val="0"/>
              <w:spacing w:before="156" w:beforeLines="50"/>
              <w:ind w:firstLine="210" w:firstLineChars="100"/>
              <w:jc w:val="left"/>
              <w:rPr>
                <w:rFonts w:ascii="宋体" w:hAnsi="宋体" w:eastAsia="宋体"/>
                <w:sz w:val="21"/>
                <w:szCs w:val="21"/>
              </w:rPr>
            </w:pPr>
            <w:r>
              <w:rPr>
                <w:rFonts w:hint="eastAsia" w:ascii="宋体" w:hAnsi="宋体" w:eastAsia="宋体"/>
                <w:color w:val="000000" w:themeColor="text1"/>
                <w:sz w:val="21"/>
                <w:szCs w:val="21"/>
                <w14:textFill>
                  <w14:solidFill>
                    <w14:schemeClr w14:val="tx1"/>
                  </w14:solidFill>
                </w14:textFill>
              </w:rPr>
              <w:t>1）N1/N2叉车操作</w:t>
            </w:r>
            <w:r>
              <w:rPr>
                <w:rFonts w:hint="eastAsia" w:ascii="宋体" w:hAnsi="宋体" w:eastAsia="宋体"/>
                <w:sz w:val="21"/>
                <w:szCs w:val="21"/>
              </w:rPr>
              <w:t>共</w:t>
            </w:r>
            <w:r>
              <w:rPr>
                <w:rFonts w:ascii="宋体" w:hAnsi="宋体" w:eastAsia="宋体"/>
                <w:sz w:val="21"/>
                <w:szCs w:val="21"/>
              </w:rPr>
              <w:t>11</w:t>
            </w:r>
            <w:r>
              <w:rPr>
                <w:rFonts w:hint="eastAsia" w:ascii="宋体" w:hAnsi="宋体" w:eastAsia="宋体"/>
                <w:sz w:val="21"/>
                <w:szCs w:val="21"/>
              </w:rPr>
              <w:t>人，抽查</w:t>
            </w:r>
            <w:r>
              <w:rPr>
                <w:rFonts w:ascii="宋体" w:hAnsi="宋体" w:eastAsia="宋体"/>
                <w:sz w:val="21"/>
                <w:szCs w:val="21"/>
              </w:rPr>
              <w:t>3</w:t>
            </w:r>
            <w:r>
              <w:rPr>
                <w:rFonts w:hint="eastAsia" w:ascii="宋体" w:hAnsi="宋体" w:eastAsia="宋体"/>
                <w:sz w:val="21"/>
                <w:szCs w:val="21"/>
              </w:rPr>
              <w:t>人资格：</w:t>
            </w:r>
          </w:p>
          <w:p>
            <w:pPr>
              <w:pStyle w:val="3"/>
              <w:autoSpaceDE w:val="0"/>
              <w:autoSpaceDN w:val="0"/>
              <w:spacing w:before="156" w:beforeLines="50"/>
              <w:ind w:firstLine="240" w:firstLineChars="100"/>
              <w:jc w:val="left"/>
            </w:pPr>
            <w:r>
              <w:drawing>
                <wp:inline distT="0" distB="0" distL="0" distR="0">
                  <wp:extent cx="2912745" cy="2114550"/>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2925610" cy="2124165"/>
                          </a:xfrm>
                          <a:prstGeom prst="rect">
                            <a:avLst/>
                          </a:prstGeom>
                        </pic:spPr>
                      </pic:pic>
                    </a:graphicData>
                  </a:graphic>
                </wp:inline>
              </w:drawing>
            </w:r>
            <w:r>
              <w:t xml:space="preserve"> </w:t>
            </w:r>
            <w:r>
              <w:drawing>
                <wp:inline distT="0" distB="0" distL="0" distR="0">
                  <wp:extent cx="2965450" cy="2139315"/>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2974859" cy="2146384"/>
                          </a:xfrm>
                          <a:prstGeom prst="rect">
                            <a:avLst/>
                          </a:prstGeom>
                        </pic:spPr>
                      </pic:pic>
                    </a:graphicData>
                  </a:graphic>
                </wp:inline>
              </w:drawing>
            </w:r>
          </w:p>
          <w:p>
            <w:pPr>
              <w:pStyle w:val="3"/>
              <w:autoSpaceDE w:val="0"/>
              <w:autoSpaceDN w:val="0"/>
              <w:spacing w:before="156" w:beforeLines="50"/>
              <w:ind w:firstLine="240" w:firstLineChars="100"/>
              <w:jc w:val="left"/>
            </w:pPr>
            <w:r>
              <w:drawing>
                <wp:inline distT="0" distB="0" distL="0" distR="0">
                  <wp:extent cx="2846070" cy="209296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stretch>
                            <a:fillRect/>
                          </a:stretch>
                        </pic:blipFill>
                        <pic:spPr>
                          <a:xfrm>
                            <a:off x="0" y="0"/>
                            <a:ext cx="2860858" cy="2103756"/>
                          </a:xfrm>
                          <a:prstGeom prst="rect">
                            <a:avLst/>
                          </a:prstGeom>
                        </pic:spPr>
                      </pic:pic>
                    </a:graphicData>
                  </a:graphic>
                </wp:inline>
              </w:drawing>
            </w:r>
            <w:r>
              <w:rPr>
                <w:rFonts w:hint="eastAsia"/>
              </w:rPr>
              <w:t xml:space="preserve"> </w:t>
            </w:r>
            <w:r>
              <w:drawing>
                <wp:inline distT="0" distB="0" distL="0" distR="0">
                  <wp:extent cx="2879090" cy="204343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2884934" cy="2047538"/>
                          </a:xfrm>
                          <a:prstGeom prst="rect">
                            <a:avLst/>
                          </a:prstGeom>
                        </pic:spPr>
                      </pic:pic>
                    </a:graphicData>
                  </a:graphic>
                </wp:inline>
              </w:drawing>
            </w:r>
          </w:p>
          <w:p>
            <w:pPr>
              <w:pStyle w:val="3"/>
              <w:autoSpaceDE w:val="0"/>
              <w:autoSpaceDN w:val="0"/>
              <w:spacing w:before="156" w:beforeLines="50"/>
              <w:ind w:firstLine="240" w:firstLineChars="100"/>
              <w:jc w:val="left"/>
            </w:pPr>
            <w:r>
              <w:drawing>
                <wp:inline distT="0" distB="0" distL="0" distR="0">
                  <wp:extent cx="2893695" cy="2096135"/>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2914658" cy="2111021"/>
                          </a:xfrm>
                          <a:prstGeom prst="rect">
                            <a:avLst/>
                          </a:prstGeom>
                        </pic:spPr>
                      </pic:pic>
                    </a:graphicData>
                  </a:graphic>
                </wp:inline>
              </w:drawing>
            </w:r>
            <w:r>
              <w:t xml:space="preserve"> </w:t>
            </w:r>
            <w:r>
              <w:drawing>
                <wp:inline distT="0" distB="0" distL="0" distR="0">
                  <wp:extent cx="2893695" cy="2088515"/>
                  <wp:effectExtent l="0" t="0" r="1905"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2902590" cy="2094529"/>
                          </a:xfrm>
                          <a:prstGeom prst="rect">
                            <a:avLst/>
                          </a:prstGeom>
                        </pic:spPr>
                      </pic:pic>
                    </a:graphicData>
                  </a:graphic>
                </wp:inline>
              </w:drawing>
            </w:r>
          </w:p>
          <w:p>
            <w:pPr>
              <w:pStyle w:val="3"/>
              <w:autoSpaceDE w:val="0"/>
              <w:autoSpaceDN w:val="0"/>
              <w:spacing w:before="156" w:beforeLines="50"/>
              <w:ind w:firstLine="210" w:firstLineChars="100"/>
              <w:jc w:val="left"/>
              <w:rPr>
                <w:rFonts w:ascii="宋体" w:hAnsi="宋体" w:eastAsia="宋体"/>
                <w:sz w:val="21"/>
                <w:szCs w:val="21"/>
              </w:rPr>
            </w:pPr>
            <w:r>
              <w:rPr>
                <w:rFonts w:hint="eastAsia" w:ascii="宋体" w:hAnsi="宋体" w:eastAsia="宋体"/>
                <w:color w:val="000000" w:themeColor="text1"/>
                <w:sz w:val="21"/>
                <w:szCs w:val="21"/>
                <w14:textFill>
                  <w14:solidFill>
                    <w14:schemeClr w14:val="tx1"/>
                  </w14:solidFill>
                </w14:textFill>
              </w:rPr>
              <w:t>2）Q</w:t>
            </w:r>
            <w:r>
              <w:rPr>
                <w:rFonts w:ascii="宋体" w:hAnsi="宋体" w:eastAsia="宋体"/>
                <w:color w:val="000000" w:themeColor="text1"/>
                <w:sz w:val="21"/>
                <w:szCs w:val="21"/>
                <w14:textFill>
                  <w14:solidFill>
                    <w14:schemeClr w14:val="tx1"/>
                  </w14:solidFill>
                </w14:textFill>
              </w:rPr>
              <w:t>4</w:t>
            </w:r>
            <w:r>
              <w:rPr>
                <w:rFonts w:hint="eastAsia" w:ascii="宋体" w:hAnsi="宋体" w:eastAsia="宋体"/>
                <w:color w:val="000000" w:themeColor="text1"/>
                <w:sz w:val="21"/>
                <w:szCs w:val="21"/>
                <w14:textFill>
                  <w14:solidFill>
                    <w14:schemeClr w14:val="tx1"/>
                  </w14:solidFill>
                </w14:textFill>
              </w:rPr>
              <w:t>桥门式起重作业共6</w:t>
            </w:r>
            <w:r>
              <w:rPr>
                <w:rFonts w:hint="eastAsia" w:ascii="宋体" w:hAnsi="宋体" w:eastAsia="宋体"/>
                <w:sz w:val="21"/>
                <w:szCs w:val="21"/>
              </w:rPr>
              <w:t>人，抽查3人资格：</w:t>
            </w:r>
          </w:p>
          <w:p>
            <w:pPr>
              <w:pStyle w:val="3"/>
              <w:autoSpaceDE w:val="0"/>
              <w:autoSpaceDN w:val="0"/>
              <w:spacing w:before="156" w:beforeLines="50"/>
              <w:jc w:val="left"/>
            </w:pPr>
            <w:r>
              <w:drawing>
                <wp:inline distT="0" distB="0" distL="0" distR="0">
                  <wp:extent cx="2957830" cy="19951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2969801" cy="2003176"/>
                          </a:xfrm>
                          <a:prstGeom prst="rect">
                            <a:avLst/>
                          </a:prstGeom>
                        </pic:spPr>
                      </pic:pic>
                    </a:graphicData>
                  </a:graphic>
                </wp:inline>
              </w:drawing>
            </w:r>
            <w:r>
              <w:t xml:space="preserve"> </w:t>
            </w:r>
            <w:r>
              <w:drawing>
                <wp:inline distT="0" distB="0" distL="0" distR="0">
                  <wp:extent cx="3042285" cy="2106930"/>
                  <wp:effectExtent l="0" t="0" r="5715" b="762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7"/>
                          <a:stretch>
                            <a:fillRect/>
                          </a:stretch>
                        </pic:blipFill>
                        <pic:spPr>
                          <a:xfrm>
                            <a:off x="0" y="0"/>
                            <a:ext cx="3057531" cy="2117403"/>
                          </a:xfrm>
                          <a:prstGeom prst="rect">
                            <a:avLst/>
                          </a:prstGeom>
                        </pic:spPr>
                      </pic:pic>
                    </a:graphicData>
                  </a:graphic>
                </wp:inline>
              </w:drawing>
            </w:r>
          </w:p>
          <w:p>
            <w:pPr>
              <w:pStyle w:val="3"/>
              <w:autoSpaceDE w:val="0"/>
              <w:autoSpaceDN w:val="0"/>
              <w:spacing w:before="156" w:beforeLines="50"/>
              <w:jc w:val="left"/>
              <w:rPr>
                <w:rFonts w:ascii="宋体" w:hAnsi="宋体" w:eastAsia="宋体"/>
                <w:color w:val="000000" w:themeColor="text1"/>
                <w:sz w:val="21"/>
                <w:szCs w:val="21"/>
                <w14:textFill>
                  <w14:solidFill>
                    <w14:schemeClr w14:val="tx1"/>
                  </w14:solidFill>
                </w14:textFill>
              </w:rPr>
            </w:pPr>
            <w:r>
              <w:drawing>
                <wp:inline distT="0" distB="0" distL="0" distR="0">
                  <wp:extent cx="3442335" cy="2411095"/>
                  <wp:effectExtent l="0" t="0" r="5715" b="825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stretch>
                            <a:fillRect/>
                          </a:stretch>
                        </pic:blipFill>
                        <pic:spPr>
                          <a:xfrm>
                            <a:off x="0" y="0"/>
                            <a:ext cx="3454331" cy="2419534"/>
                          </a:xfrm>
                          <a:prstGeom prst="rect">
                            <a:avLst/>
                          </a:prstGeom>
                        </pic:spPr>
                      </pic:pic>
                    </a:graphicData>
                  </a:graphic>
                </wp:inline>
              </w:drawing>
            </w:r>
          </w:p>
          <w:p>
            <w:pPr>
              <w:pStyle w:val="3"/>
              <w:autoSpaceDE w:val="0"/>
              <w:autoSpaceDN w:val="0"/>
              <w:spacing w:before="156" w:beforeLines="50"/>
              <w:ind w:firstLine="210" w:firstLineChars="100"/>
              <w:jc w:val="left"/>
              <w:rPr>
                <w:rFonts w:ascii="宋体" w:hAnsi="宋体" w:eastAsia="宋体"/>
                <w:sz w:val="21"/>
                <w:szCs w:val="21"/>
              </w:rPr>
            </w:pPr>
            <w:r>
              <w:rPr>
                <w:rFonts w:hint="eastAsia" w:ascii="宋体" w:hAnsi="宋体" w:eastAsia="宋体"/>
                <w:sz w:val="21"/>
                <w:szCs w:val="21"/>
              </w:rPr>
              <w:t>3）低压、高压电工作业共4人，抽查2人资格：</w:t>
            </w:r>
          </w:p>
          <w:p>
            <w:pPr>
              <w:pStyle w:val="3"/>
              <w:autoSpaceDE w:val="0"/>
              <w:autoSpaceDN w:val="0"/>
              <w:spacing w:before="156" w:beforeLines="50"/>
              <w:ind w:firstLine="240" w:firstLineChars="100"/>
              <w:jc w:val="left"/>
              <w:rPr>
                <w:rFonts w:ascii="宋体" w:hAnsi="宋体" w:eastAsia="宋体"/>
                <w:color w:val="000000" w:themeColor="text1"/>
                <w:sz w:val="21"/>
                <w:szCs w:val="21"/>
                <w14:textFill>
                  <w14:solidFill>
                    <w14:schemeClr w14:val="tx1"/>
                  </w14:solidFill>
                </w14:textFill>
              </w:rPr>
            </w:pPr>
            <w:r>
              <w:drawing>
                <wp:inline distT="0" distB="0" distL="0" distR="0">
                  <wp:extent cx="2875915" cy="1867535"/>
                  <wp:effectExtent l="0" t="0" r="63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9"/>
                          <a:stretch>
                            <a:fillRect/>
                          </a:stretch>
                        </pic:blipFill>
                        <pic:spPr>
                          <a:xfrm>
                            <a:off x="0" y="0"/>
                            <a:ext cx="2881962" cy="1871125"/>
                          </a:xfrm>
                          <a:prstGeom prst="rect">
                            <a:avLst/>
                          </a:prstGeom>
                        </pic:spPr>
                      </pic:pic>
                    </a:graphicData>
                  </a:graphic>
                </wp:inline>
              </w:drawing>
            </w:r>
            <w:r>
              <w:t xml:space="preserve"> </w:t>
            </w:r>
            <w:r>
              <w:drawing>
                <wp:inline distT="0" distB="0" distL="0" distR="0">
                  <wp:extent cx="3025775" cy="1838960"/>
                  <wp:effectExtent l="0" t="0" r="3175" b="889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0"/>
                          <a:stretch>
                            <a:fillRect/>
                          </a:stretch>
                        </pic:blipFill>
                        <pic:spPr>
                          <a:xfrm>
                            <a:off x="0" y="0"/>
                            <a:ext cx="3031548" cy="1842209"/>
                          </a:xfrm>
                          <a:prstGeom prst="rect">
                            <a:avLst/>
                          </a:prstGeom>
                        </pic:spPr>
                      </pic:pic>
                    </a:graphicData>
                  </a:graphic>
                </wp:inline>
              </w:drawing>
            </w:r>
          </w:p>
          <w:p>
            <w:pPr>
              <w:spacing w:before="156" w:beforeLines="50" w:after="156" w:afterLines="50"/>
              <w:ind w:firstLine="211" w:firstLineChars="100"/>
              <w:rPr>
                <w:rFonts w:asciiTheme="minorEastAsia" w:hAnsiTheme="minorEastAsia" w:eastAsiaTheme="minorEastAsia"/>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上述作业资格证书均在有效期范围。</w:t>
            </w:r>
          </w:p>
        </w:tc>
        <w:tc>
          <w:tcPr>
            <w:tcW w:w="1208" w:type="dxa"/>
          </w:tcPr>
          <w:p>
            <w:pPr>
              <w:jc w:val="center"/>
              <w:rPr>
                <w:rFonts w:asciiTheme="minorEastAsia" w:hAnsiTheme="minorEastAsia" w:eastAsiaTheme="minorEastAsia"/>
                <w:b/>
                <w:bCs/>
                <w:color w:val="000000" w:themeColor="text1"/>
                <w:sz w:val="24"/>
                <w:szCs w:val="24"/>
                <w14:textFill>
                  <w14:solidFill>
                    <w14:schemeClr w14:val="tx1"/>
                  </w14:solidFill>
                </w14:textFill>
              </w:rPr>
            </w:pPr>
          </w:p>
          <w:p>
            <w:pPr>
              <w:pStyle w:val="7"/>
              <w:ind w:left="0" w:leftChars="0" w:firstLine="0" w:firstLineChars="0"/>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2"/>
                <w14:textFill>
                  <w14:solidFill>
                    <w14:schemeClr w14:val="tx1"/>
                  </w14:solidFill>
                </w14:textFill>
              </w:rPr>
              <w:t>5</w:t>
            </w:r>
            <w:r>
              <w:rPr>
                <w:rFonts w:hint="eastAsia" w:asciiTheme="minorEastAsia" w:hAnsiTheme="minorEastAsia" w:eastAsiaTheme="minorEastAsia"/>
                <w:color w:val="000000" w:themeColor="text1"/>
                <w:szCs w:val="22"/>
                <w14:textFill>
                  <w14:solidFill>
                    <w14:schemeClr w14:val="tx1"/>
                  </w14:solidFill>
                </w14:textFill>
              </w:rPr>
              <w:t>．文件化信息</w:t>
            </w:r>
          </w:p>
        </w:tc>
        <w:tc>
          <w:tcPr>
            <w:tcW w:w="956" w:type="dxa"/>
          </w:tcPr>
          <w:p>
            <w:pPr>
              <w:pStyle w:val="7"/>
              <w:ind w:left="0" w:leftChars="0" w:firstLine="0"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7.5</w:t>
            </w:r>
          </w:p>
        </w:tc>
        <w:tc>
          <w:tcPr>
            <w:tcW w:w="10324" w:type="dxa"/>
          </w:tcPr>
          <w:p>
            <w:pPr>
              <w:spacing w:before="156" w:beforeLines="50" w:after="156" w:afterLines="50"/>
              <w:ind w:firstLine="210" w:firstLineChars="100"/>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1、策划建立有《能源管理手册》（</w:t>
            </w:r>
            <w:r>
              <w:rPr>
                <w:rFonts w:asciiTheme="minorEastAsia" w:hAnsiTheme="minorEastAsia" w:eastAsiaTheme="minorEastAsia"/>
                <w:color w:val="000000" w:themeColor="text1"/>
                <w:szCs w:val="21"/>
                <w14:textFill>
                  <w14:solidFill>
                    <w14:schemeClr w14:val="tx1"/>
                  </w14:solidFill>
                </w14:textFill>
              </w:rPr>
              <w:t>WHJX/NY SC-01-2021</w:t>
            </w:r>
            <w:r>
              <w:rPr>
                <w:rFonts w:hint="eastAsia" w:asciiTheme="minorEastAsia" w:hAnsiTheme="minorEastAsia" w:eastAsiaTheme="minorEastAsia"/>
                <w:color w:val="000000" w:themeColor="text1"/>
                <w:szCs w:val="21"/>
                <w14:textFill>
                  <w14:solidFill>
                    <w14:schemeClr w14:val="tx1"/>
                  </w14:solidFill>
                </w14:textFill>
              </w:rPr>
              <w:t>）、《文件控制程序》（</w:t>
            </w:r>
            <w:r>
              <w:rPr>
                <w:rFonts w:asciiTheme="minorEastAsia" w:hAnsiTheme="minorEastAsia" w:eastAsiaTheme="minorEastAsia"/>
                <w:color w:val="000000" w:themeColor="text1"/>
                <w:szCs w:val="21"/>
                <w14:textFill>
                  <w14:solidFill>
                    <w14:schemeClr w14:val="tx1"/>
                  </w14:solidFill>
                </w14:textFill>
              </w:rPr>
              <w:t>WHJX/NY CX-09-2021</w:t>
            </w:r>
            <w:r>
              <w:rPr>
                <w:rFonts w:hint="eastAsia" w:asciiTheme="minorEastAsia" w:hAnsiTheme="minorEastAsia" w:eastAsiaTheme="minorEastAsia"/>
                <w:color w:val="000000" w:themeColor="text1"/>
                <w:szCs w:val="21"/>
                <w14:textFill>
                  <w14:solidFill>
                    <w14:schemeClr w14:val="tx1"/>
                  </w14:solidFill>
                </w14:textFill>
              </w:rPr>
              <w:t>）、《记录控制程序》（</w:t>
            </w:r>
            <w:r>
              <w:rPr>
                <w:rFonts w:asciiTheme="minorEastAsia" w:hAnsiTheme="minorEastAsia" w:eastAsiaTheme="minorEastAsia"/>
                <w:color w:val="000000" w:themeColor="text1"/>
                <w:szCs w:val="21"/>
                <w14:textFill>
                  <w14:solidFill>
                    <w14:schemeClr w14:val="tx1"/>
                  </w14:solidFill>
                </w14:textFill>
              </w:rPr>
              <w:t>WHJX/NY CX-10-2021</w:t>
            </w:r>
            <w:r>
              <w:rPr>
                <w:rFonts w:hint="eastAsia" w:asciiTheme="minorEastAsia" w:hAnsiTheme="minorEastAsia" w:eastAsiaTheme="minorEastAsia"/>
                <w:color w:val="000000" w:themeColor="text1"/>
                <w:szCs w:val="21"/>
                <w14:textFill>
                  <w14:solidFill>
                    <w14:schemeClr w14:val="tx1"/>
                  </w14:solidFill>
                </w14:textFill>
              </w:rPr>
              <w:t>）等2</w:t>
            </w:r>
            <w:r>
              <w:rPr>
                <w:rFonts w:asciiTheme="minorEastAsia" w:hAnsiTheme="minorEastAsia" w:eastAsiaTheme="minorEastAsia"/>
                <w:color w:val="000000" w:themeColor="text1"/>
                <w:szCs w:val="21"/>
                <w14:textFill>
                  <w14:solidFill>
                    <w14:schemeClr w14:val="tx1"/>
                  </w14:solidFill>
                </w14:textFill>
              </w:rPr>
              <w:t>3</w:t>
            </w:r>
            <w:r>
              <w:rPr>
                <w:rFonts w:hint="eastAsia" w:asciiTheme="minorEastAsia" w:hAnsiTheme="minorEastAsia" w:eastAsiaTheme="minorEastAsia"/>
                <w:color w:val="000000" w:themeColor="text1"/>
                <w:szCs w:val="21"/>
                <w14:textFill>
                  <w14:solidFill>
                    <w14:schemeClr w14:val="tx1"/>
                  </w14:solidFill>
                </w14:textFill>
              </w:rPr>
              <w:t>个程序文件，经审批后发布实施，</w:t>
            </w:r>
            <w:r>
              <w:rPr>
                <w:rFonts w:hint="eastAsia" w:asciiTheme="minorEastAsia" w:hAnsiTheme="minorEastAsia" w:eastAsiaTheme="minorEastAsia"/>
                <w:b/>
                <w:bCs/>
                <w:color w:val="000000" w:themeColor="text1"/>
                <w:szCs w:val="21"/>
                <w14:textFill>
                  <w14:solidFill>
                    <w14:schemeClr w14:val="tx1"/>
                  </w14:solidFill>
                </w14:textFill>
              </w:rPr>
              <w:t>符合标准要求。</w:t>
            </w:r>
          </w:p>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w:t>
            </w:r>
            <w:r>
              <w:rPr>
                <w:rFonts w:hint="eastAsia" w:asciiTheme="minorEastAsia" w:hAnsiTheme="minorEastAsia" w:eastAsiaTheme="minorEastAsia"/>
                <w:color w:val="000000" w:themeColor="text1"/>
                <w:szCs w:val="21"/>
                <w14:textFill>
                  <w14:solidFill>
                    <w14:schemeClr w14:val="tx1"/>
                  </w14:solidFill>
                </w14:textFill>
              </w:rPr>
              <w:t>、查阅《能源管理手册》，文件编号：</w:t>
            </w:r>
            <w:r>
              <w:rPr>
                <w:rFonts w:asciiTheme="minorEastAsia" w:hAnsiTheme="minorEastAsia" w:eastAsiaTheme="minorEastAsia"/>
                <w:color w:val="000000" w:themeColor="text1"/>
                <w:szCs w:val="21"/>
                <w14:textFill>
                  <w14:solidFill>
                    <w14:schemeClr w14:val="tx1"/>
                  </w14:solidFill>
                </w14:textFill>
              </w:rPr>
              <w:t>WHJX/NY SC-01-2021</w:t>
            </w:r>
            <w:r>
              <w:rPr>
                <w:rFonts w:hint="eastAsia" w:asciiTheme="minorEastAsia" w:hAnsiTheme="minorEastAsia" w:eastAsiaTheme="minorEastAsia"/>
                <w:color w:val="000000" w:themeColor="text1"/>
                <w:szCs w:val="21"/>
                <w14:textFill>
                  <w14:solidFill>
                    <w14:schemeClr w14:val="tx1"/>
                  </w14:solidFill>
                </w14:textFill>
              </w:rPr>
              <w:t>；版本状态：A/</w:t>
            </w:r>
            <w:r>
              <w:rPr>
                <w:rFonts w:asciiTheme="minorEastAsia" w:hAnsiTheme="minorEastAsia" w:eastAsiaTheme="minorEastAsia"/>
                <w:color w:val="000000" w:themeColor="text1"/>
                <w:szCs w:val="21"/>
                <w14:textFill>
                  <w14:solidFill>
                    <w14:schemeClr w14:val="tx1"/>
                  </w14:solidFill>
                </w14:textFill>
              </w:rPr>
              <w:t>0</w:t>
            </w:r>
            <w:r>
              <w:rPr>
                <w:rFonts w:hint="eastAsia" w:asciiTheme="minorEastAsia" w:hAnsiTheme="minorEastAsia" w:eastAsiaTheme="minorEastAsia"/>
                <w:color w:val="000000" w:themeColor="text1"/>
                <w:szCs w:val="21"/>
                <w14:textFill>
                  <w14:solidFill>
                    <w14:schemeClr w14:val="tx1"/>
                  </w14:solidFill>
                </w14:textFill>
              </w:rPr>
              <w:t>；审核：郭嵘；批准：魏仁；2021年</w:t>
            </w:r>
            <w:r>
              <w:rPr>
                <w:rFonts w:asciiTheme="minorEastAsia" w:hAnsiTheme="minorEastAsia" w:eastAsiaTheme="minorEastAsia"/>
                <w:color w:val="000000" w:themeColor="text1"/>
                <w:szCs w:val="21"/>
                <w14:textFill>
                  <w14:solidFill>
                    <w14:schemeClr w14:val="tx1"/>
                  </w14:solidFill>
                </w14:textFill>
              </w:rPr>
              <w:t>6</w:t>
            </w:r>
            <w:r>
              <w:rPr>
                <w:rFonts w:hint="eastAsia" w:asciiTheme="minorEastAsia" w:hAnsiTheme="minorEastAsia" w:eastAsiaTheme="minorEastAsia"/>
                <w:color w:val="000000" w:themeColor="text1"/>
                <w:szCs w:val="21"/>
                <w14:textFill>
                  <w14:solidFill>
                    <w14:schemeClr w14:val="tx1"/>
                  </w14:solidFill>
                </w14:textFill>
              </w:rPr>
              <w:t>月1</w:t>
            </w:r>
            <w:r>
              <w:rPr>
                <w:rFonts w:asciiTheme="minorEastAsia" w:hAnsiTheme="minorEastAsia" w:eastAsiaTheme="minorEastAsia"/>
                <w:color w:val="000000" w:themeColor="text1"/>
                <w:szCs w:val="21"/>
                <w14:textFill>
                  <w14:solidFill>
                    <w14:schemeClr w14:val="tx1"/>
                  </w14:solidFill>
                </w14:textFill>
              </w:rPr>
              <w:t>0</w:t>
            </w:r>
            <w:r>
              <w:rPr>
                <w:rFonts w:hint="eastAsia" w:asciiTheme="minorEastAsia" w:hAnsiTheme="minorEastAsia" w:eastAsiaTheme="minorEastAsia"/>
                <w:color w:val="000000" w:themeColor="text1"/>
                <w:szCs w:val="21"/>
                <w14:textFill>
                  <w14:solidFill>
                    <w14:schemeClr w14:val="tx1"/>
                  </w14:solidFill>
                </w14:textFill>
              </w:rPr>
              <w:t>日发布实施。</w:t>
            </w:r>
          </w:p>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3</w:t>
            </w:r>
            <w:r>
              <w:rPr>
                <w:rFonts w:hint="eastAsia" w:asciiTheme="minorEastAsia" w:hAnsiTheme="minorEastAsia" w:eastAsiaTheme="minorEastAsia"/>
                <w:color w:val="000000" w:themeColor="text1"/>
                <w:szCs w:val="21"/>
                <w14:textFill>
                  <w14:solidFill>
                    <w14:schemeClr w14:val="tx1"/>
                  </w14:solidFill>
                </w14:textFill>
              </w:rPr>
              <w:t>、查阅《能源管理体系程序文件》，共有2</w:t>
            </w:r>
            <w:r>
              <w:rPr>
                <w:rFonts w:asciiTheme="minorEastAsia" w:hAnsiTheme="minorEastAsia" w:eastAsiaTheme="minorEastAsia"/>
                <w:color w:val="000000" w:themeColor="text1"/>
                <w:szCs w:val="21"/>
                <w14:textFill>
                  <w14:solidFill>
                    <w14:schemeClr w14:val="tx1"/>
                  </w14:solidFill>
                </w14:textFill>
              </w:rPr>
              <w:t>3</w:t>
            </w:r>
            <w:r>
              <w:rPr>
                <w:rFonts w:hint="eastAsia" w:asciiTheme="minorEastAsia" w:hAnsiTheme="minorEastAsia" w:eastAsiaTheme="minorEastAsia"/>
                <w:color w:val="000000" w:themeColor="text1"/>
                <w:szCs w:val="21"/>
                <w14:textFill>
                  <w14:solidFill>
                    <w14:schemeClr w14:val="tx1"/>
                  </w14:solidFill>
                </w14:textFill>
              </w:rPr>
              <w:t>个，A/</w:t>
            </w:r>
            <w:r>
              <w:rPr>
                <w:rFonts w:asciiTheme="minorEastAsia" w:hAnsiTheme="minorEastAsia" w:eastAsiaTheme="minorEastAsia"/>
                <w:color w:val="000000" w:themeColor="text1"/>
                <w:szCs w:val="21"/>
                <w14:textFill>
                  <w14:solidFill>
                    <w14:schemeClr w14:val="tx1"/>
                  </w14:solidFill>
                </w14:textFill>
              </w:rPr>
              <w:t>0</w:t>
            </w:r>
            <w:r>
              <w:rPr>
                <w:rFonts w:hint="eastAsia" w:asciiTheme="minorEastAsia" w:hAnsiTheme="minorEastAsia" w:eastAsiaTheme="minorEastAsia"/>
                <w:color w:val="000000" w:themeColor="text1"/>
                <w:szCs w:val="21"/>
                <w14:textFill>
                  <w14:solidFill>
                    <w14:schemeClr w14:val="tx1"/>
                  </w14:solidFill>
                </w14:textFill>
              </w:rPr>
              <w:t>版；编制：编写组；审核：郭嵘；批准：魏仁；2021年</w:t>
            </w:r>
            <w:r>
              <w:rPr>
                <w:rFonts w:asciiTheme="minorEastAsia" w:hAnsiTheme="minorEastAsia" w:eastAsiaTheme="minorEastAsia"/>
                <w:color w:val="000000" w:themeColor="text1"/>
                <w:szCs w:val="21"/>
                <w14:textFill>
                  <w14:solidFill>
                    <w14:schemeClr w14:val="tx1"/>
                  </w14:solidFill>
                </w14:textFill>
              </w:rPr>
              <w:t>6</w:t>
            </w:r>
            <w:r>
              <w:rPr>
                <w:rFonts w:hint="eastAsia" w:asciiTheme="minorEastAsia" w:hAnsiTheme="minorEastAsia" w:eastAsiaTheme="minorEastAsia"/>
                <w:color w:val="000000" w:themeColor="text1"/>
                <w:szCs w:val="21"/>
                <w14:textFill>
                  <w14:solidFill>
                    <w14:schemeClr w14:val="tx1"/>
                  </w14:solidFill>
                </w14:textFill>
              </w:rPr>
              <w:t>月1</w:t>
            </w:r>
            <w:r>
              <w:rPr>
                <w:rFonts w:asciiTheme="minorEastAsia" w:hAnsiTheme="minorEastAsia" w:eastAsiaTheme="minorEastAsia"/>
                <w:color w:val="000000" w:themeColor="text1"/>
                <w:szCs w:val="21"/>
                <w14:textFill>
                  <w14:solidFill>
                    <w14:schemeClr w14:val="tx1"/>
                  </w14:solidFill>
                </w14:textFill>
              </w:rPr>
              <w:t>0</w:t>
            </w:r>
            <w:r>
              <w:rPr>
                <w:rFonts w:hint="eastAsia" w:asciiTheme="minorEastAsia" w:hAnsiTheme="minorEastAsia" w:eastAsiaTheme="minorEastAsia"/>
                <w:color w:val="000000" w:themeColor="text1"/>
                <w:szCs w:val="21"/>
                <w14:textFill>
                  <w14:solidFill>
                    <w14:schemeClr w14:val="tx1"/>
                  </w14:solidFill>
                </w14:textFill>
              </w:rPr>
              <w:t>日发布实施。</w:t>
            </w:r>
          </w:p>
          <w:p>
            <w:pPr>
              <w:spacing w:before="156" w:beforeLines="50" w:after="156" w:afterLines="5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4、查阅公司《受控文件清单》（</w:t>
            </w:r>
            <w:r>
              <w:rPr>
                <w:rFonts w:asciiTheme="minorEastAsia" w:hAnsiTheme="minorEastAsia" w:eastAsiaTheme="minorEastAsia"/>
                <w:szCs w:val="21"/>
              </w:rPr>
              <w:t>JYWYB-750-10-D02</w:t>
            </w:r>
            <w:r>
              <w:rPr>
                <w:rFonts w:hint="eastAsia" w:asciiTheme="minorEastAsia" w:hAnsiTheme="minorEastAsia" w:eastAsiaTheme="minorEastAsia"/>
                <w:szCs w:val="21"/>
              </w:rPr>
              <w:t>），三级文件包括有制度、职责、操作规程、预案等共</w:t>
            </w:r>
            <w:r>
              <w:rPr>
                <w:rFonts w:asciiTheme="minorEastAsia" w:hAnsiTheme="minorEastAsia" w:eastAsiaTheme="minorEastAsia"/>
                <w:szCs w:val="21"/>
              </w:rPr>
              <w:t>19</w:t>
            </w:r>
            <w:r>
              <w:rPr>
                <w:rFonts w:hint="eastAsia" w:asciiTheme="minorEastAsia" w:hAnsiTheme="minorEastAsia" w:eastAsiaTheme="minorEastAsia"/>
                <w:szCs w:val="21"/>
              </w:rPr>
              <w:t>个，清单中文件均有文件编号、发布日期、修改状态等。</w:t>
            </w:r>
          </w:p>
          <w:p>
            <w:pPr>
              <w:spacing w:before="156" w:beforeLines="50" w:after="156" w:afterLines="50"/>
              <w:rPr>
                <w:rFonts w:asciiTheme="minorEastAsia" w:hAnsiTheme="minorEastAsia" w:eastAsiaTheme="minorEastAsia"/>
                <w:szCs w:val="21"/>
              </w:rPr>
            </w:pPr>
            <w:r>
              <w:drawing>
                <wp:inline distT="0" distB="0" distL="0" distR="0">
                  <wp:extent cx="3943350" cy="354393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1"/>
                          <a:stretch>
                            <a:fillRect/>
                          </a:stretch>
                        </pic:blipFill>
                        <pic:spPr>
                          <a:xfrm>
                            <a:off x="0" y="0"/>
                            <a:ext cx="3952969" cy="3552658"/>
                          </a:xfrm>
                          <a:prstGeom prst="rect">
                            <a:avLst/>
                          </a:prstGeom>
                        </pic:spPr>
                      </pic:pic>
                    </a:graphicData>
                  </a:graphic>
                </wp:inline>
              </w:drawing>
            </w:r>
          </w:p>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5、查阅公司</w:t>
            </w:r>
            <w:bookmarkStart w:id="7" w:name="_Hlk107122192"/>
            <w:r>
              <w:rPr>
                <w:rFonts w:hint="eastAsia" w:asciiTheme="minorEastAsia" w:hAnsiTheme="minorEastAsia" w:eastAsiaTheme="minorEastAsia"/>
                <w:color w:val="000000" w:themeColor="text1"/>
                <w:szCs w:val="21"/>
                <w14:textFill>
                  <w14:solidFill>
                    <w14:schemeClr w14:val="tx1"/>
                  </w14:solidFill>
                </w14:textFill>
              </w:rPr>
              <w:t>《能源管理体系记录清单》（</w:t>
            </w:r>
            <w:r>
              <w:rPr>
                <w:rFonts w:asciiTheme="minorEastAsia" w:hAnsiTheme="minorEastAsia" w:eastAsiaTheme="minorEastAsia"/>
                <w:color w:val="000000" w:themeColor="text1"/>
                <w:szCs w:val="21"/>
                <w14:textFill>
                  <w14:solidFill>
                    <w14:schemeClr w14:val="tx1"/>
                  </w14:solidFill>
                </w14:textFill>
              </w:rPr>
              <w:t>WHJX/CX-13-R01</w:t>
            </w:r>
            <w:r>
              <w:rPr>
                <w:rFonts w:hint="eastAsia" w:asciiTheme="minorEastAsia" w:hAnsiTheme="minorEastAsia" w:eastAsiaTheme="minorEastAsia"/>
                <w:color w:val="000000" w:themeColor="text1"/>
                <w:szCs w:val="21"/>
                <w14:textFill>
                  <w14:solidFill>
                    <w14:schemeClr w14:val="tx1"/>
                  </w14:solidFill>
                </w14:textFill>
              </w:rPr>
              <w:t>）共列有</w:t>
            </w:r>
            <w:r>
              <w:rPr>
                <w:rFonts w:asciiTheme="minorEastAsia" w:hAnsiTheme="minorEastAsia" w:eastAsiaTheme="minorEastAsia"/>
                <w:color w:val="000000" w:themeColor="text1"/>
                <w:szCs w:val="21"/>
                <w14:textFill>
                  <w14:solidFill>
                    <w14:schemeClr w14:val="tx1"/>
                  </w14:solidFill>
                </w14:textFill>
              </w:rPr>
              <w:t>75</w:t>
            </w:r>
            <w:r>
              <w:rPr>
                <w:rFonts w:hint="eastAsia" w:asciiTheme="minorEastAsia" w:hAnsiTheme="minorEastAsia" w:eastAsiaTheme="minorEastAsia"/>
                <w:color w:val="000000" w:themeColor="text1"/>
                <w:szCs w:val="21"/>
                <w14:textFill>
                  <w14:solidFill>
                    <w14:schemeClr w14:val="tx1"/>
                  </w14:solidFill>
                </w14:textFill>
              </w:rPr>
              <w:t>种记录。清单规定了“记录编号、记录名称、保管部门、保存期限”等列项。编制人：郭嵘，审核：魏仁，审核日期：2</w:t>
            </w:r>
            <w:r>
              <w:rPr>
                <w:rFonts w:asciiTheme="minorEastAsia" w:hAnsiTheme="minorEastAsia" w:eastAsiaTheme="minorEastAsia"/>
                <w:color w:val="000000" w:themeColor="text1"/>
                <w:szCs w:val="21"/>
                <w14:textFill>
                  <w14:solidFill>
                    <w14:schemeClr w14:val="tx1"/>
                  </w14:solidFill>
                </w14:textFill>
              </w:rPr>
              <w:t>021-7-16</w:t>
            </w:r>
            <w:r>
              <w:rPr>
                <w:rFonts w:hint="eastAsia" w:asciiTheme="minorEastAsia" w:hAnsiTheme="minorEastAsia" w:eastAsiaTheme="minorEastAsia"/>
                <w:color w:val="000000" w:themeColor="text1"/>
                <w:szCs w:val="21"/>
                <w14:textFill>
                  <w14:solidFill>
                    <w14:schemeClr w14:val="tx1"/>
                  </w14:solidFill>
                </w14:textFill>
              </w:rPr>
              <w:t>。</w:t>
            </w:r>
            <w:bookmarkEnd w:id="7"/>
            <w:r>
              <w:rPr>
                <w:rFonts w:hint="eastAsia" w:asciiTheme="minorEastAsia" w:hAnsiTheme="minorEastAsia" w:eastAsiaTheme="minorEastAsia"/>
                <w:color w:val="000000" w:themeColor="text1"/>
                <w:szCs w:val="21"/>
                <w14:textFill>
                  <w14:solidFill>
                    <w14:schemeClr w14:val="tx1"/>
                  </w14:solidFill>
                </w14:textFill>
              </w:rPr>
              <w:t>部分记录清单如下：</w:t>
            </w:r>
          </w:p>
          <w:p>
            <w:pPr>
              <w:spacing w:before="156" w:beforeLines="50" w:after="156" w:afterLines="50"/>
              <w:rPr>
                <w:rFonts w:asciiTheme="minorEastAsia" w:hAnsiTheme="minorEastAsia" w:eastAsiaTheme="minorEastAsia"/>
                <w:color w:val="FF0000"/>
                <w:szCs w:val="21"/>
              </w:rPr>
            </w:pPr>
            <w:r>
              <w:drawing>
                <wp:inline distT="0" distB="0" distL="0" distR="0">
                  <wp:extent cx="3280410" cy="3863975"/>
                  <wp:effectExtent l="0" t="0" r="0" b="31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2"/>
                          <a:stretch>
                            <a:fillRect/>
                          </a:stretch>
                        </pic:blipFill>
                        <pic:spPr>
                          <a:xfrm>
                            <a:off x="0" y="0"/>
                            <a:ext cx="3285841" cy="3870466"/>
                          </a:xfrm>
                          <a:prstGeom prst="rect">
                            <a:avLst/>
                          </a:prstGeom>
                        </pic:spPr>
                      </pic:pic>
                    </a:graphicData>
                  </a:graphic>
                </wp:inline>
              </w:drawing>
            </w:r>
            <w:r>
              <w:t xml:space="preserve"> </w:t>
            </w:r>
            <w:r>
              <w:drawing>
                <wp:inline distT="0" distB="0" distL="0" distR="0">
                  <wp:extent cx="2901950" cy="1253490"/>
                  <wp:effectExtent l="0" t="0" r="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3"/>
                          <a:stretch>
                            <a:fillRect/>
                          </a:stretch>
                        </pic:blipFill>
                        <pic:spPr>
                          <a:xfrm>
                            <a:off x="0" y="0"/>
                            <a:ext cx="2909024" cy="1256510"/>
                          </a:xfrm>
                          <a:prstGeom prst="rect">
                            <a:avLst/>
                          </a:prstGeom>
                        </pic:spPr>
                      </pic:pic>
                    </a:graphicData>
                  </a:graphic>
                </wp:inline>
              </w:drawing>
            </w:r>
          </w:p>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6、查阅外来文件管理。</w:t>
            </w:r>
          </w:p>
          <w:p>
            <w:pPr>
              <w:spacing w:before="156" w:beforeLines="50" w:after="156" w:afterLines="50"/>
              <w:ind w:firstLine="210" w:firstLineChars="100"/>
              <w:rPr>
                <w:rFonts w:hint="eastAsia" w:cs="Times New Roman" w:asciiTheme="minorEastAsia" w:hAnsiTheme="minorEastAsia" w:eastAsiaTheme="minorEastAsia"/>
                <w:color w:val="000000" w:themeColor="text1"/>
                <w:szCs w:val="21"/>
                <w14:textFill>
                  <w14:solidFill>
                    <w14:schemeClr w14:val="tx1"/>
                  </w14:solidFill>
                </w14:textFill>
              </w:rPr>
            </w:pPr>
            <w:bookmarkStart w:id="8" w:name="_Hlk107122241"/>
            <w:r>
              <w:rPr>
                <w:rFonts w:hint="eastAsia" w:cs="Times New Roman" w:asciiTheme="minorEastAsia" w:hAnsiTheme="minorEastAsia" w:eastAsiaTheme="minorEastAsia"/>
                <w:color w:val="000000" w:themeColor="text1"/>
                <w:szCs w:val="21"/>
                <w14:textFill>
                  <w14:solidFill>
                    <w14:schemeClr w14:val="tx1"/>
                  </w14:solidFill>
                </w14:textFill>
              </w:rPr>
              <w:t>公司未能按程序文件要求提供《外来文件登记表》。——已</w:t>
            </w:r>
            <w:r>
              <w:rPr>
                <w:rFonts w:hint="eastAsia" w:cs="Times New Roman" w:asciiTheme="minorEastAsia" w:hAnsiTheme="minorEastAsia" w:eastAsiaTheme="minorEastAsia"/>
                <w:color w:val="000000" w:themeColor="text1"/>
                <w:szCs w:val="21"/>
                <w:lang w:val="en-US" w:eastAsia="zh-CN"/>
                <w14:textFill>
                  <w14:solidFill>
                    <w14:schemeClr w14:val="tx1"/>
                  </w14:solidFill>
                </w14:textFill>
              </w:rPr>
              <w:t>与</w:t>
            </w:r>
            <w:r>
              <w:rPr>
                <w:rFonts w:hint="eastAsia" w:cs="Times New Roman" w:asciiTheme="minorEastAsia" w:hAnsiTheme="minorEastAsia" w:eastAsiaTheme="minorEastAsia"/>
                <w:color w:val="000000" w:themeColor="text1"/>
                <w:szCs w:val="21"/>
                <w14:textFill>
                  <w14:solidFill>
                    <w14:schemeClr w14:val="tx1"/>
                  </w14:solidFill>
                </w14:textFill>
              </w:rPr>
              <w:t>企业沟通</w:t>
            </w:r>
          </w:p>
          <w:p>
            <w:pPr>
              <w:pStyle w:val="7"/>
              <w:spacing w:before="156" w:beforeLines="50" w:after="156" w:afterLines="50"/>
              <w:ind w:left="398" w:leftChars="95" w:hanging="199" w:hangingChars="95"/>
              <w:rPr>
                <w:rFonts w:asciiTheme="minorEastAsia" w:hAnsiTheme="minorEastAsia" w:eastAsiaTheme="minorEastAsia"/>
                <w:szCs w:val="21"/>
              </w:rPr>
            </w:pPr>
            <w:r>
              <w:rPr>
                <w:rFonts w:hint="eastAsia" w:asciiTheme="minorEastAsia" w:hAnsiTheme="minorEastAsia" w:eastAsiaTheme="minorEastAsia"/>
                <w:szCs w:val="21"/>
              </w:rPr>
              <w:t>7</w:t>
            </w:r>
            <w:bookmarkStart w:id="9" w:name="_Hlk107123175"/>
            <w:r>
              <w:rPr>
                <w:rFonts w:hint="eastAsia" w:asciiTheme="minorEastAsia" w:hAnsiTheme="minorEastAsia" w:eastAsiaTheme="minorEastAsia"/>
                <w:szCs w:val="21"/>
              </w:rPr>
              <w:t>、查阅相应的《文件发放、回收记录》，抽查2</w:t>
            </w:r>
            <w:r>
              <w:rPr>
                <w:rFonts w:asciiTheme="minorEastAsia" w:hAnsiTheme="minorEastAsia" w:eastAsiaTheme="minorEastAsia"/>
                <w:szCs w:val="21"/>
              </w:rPr>
              <w:t>021</w:t>
            </w:r>
            <w:r>
              <w:rPr>
                <w:rFonts w:hint="eastAsia" w:asciiTheme="minorEastAsia" w:hAnsiTheme="minorEastAsia" w:eastAsiaTheme="minorEastAsia"/>
                <w:szCs w:val="21"/>
              </w:rPr>
              <w:t>年6月1</w:t>
            </w:r>
            <w:r>
              <w:rPr>
                <w:rFonts w:asciiTheme="minorEastAsia" w:hAnsiTheme="minorEastAsia" w:eastAsiaTheme="minorEastAsia"/>
                <w:szCs w:val="21"/>
              </w:rPr>
              <w:t>0</w:t>
            </w:r>
            <w:r>
              <w:rPr>
                <w:rFonts w:hint="eastAsia" w:asciiTheme="minorEastAsia" w:hAnsiTheme="minorEastAsia" w:eastAsiaTheme="minorEastAsia"/>
                <w:szCs w:val="21"/>
              </w:rPr>
              <w:t>日能源管理手册与2</w:t>
            </w:r>
            <w:r>
              <w:rPr>
                <w:rFonts w:asciiTheme="minorEastAsia" w:hAnsiTheme="minorEastAsia" w:eastAsiaTheme="minorEastAsia"/>
                <w:szCs w:val="21"/>
              </w:rPr>
              <w:t>3</w:t>
            </w:r>
            <w:r>
              <w:rPr>
                <w:rFonts w:hint="eastAsia" w:asciiTheme="minorEastAsia" w:hAnsiTheme="minorEastAsia" w:eastAsiaTheme="minorEastAsia"/>
                <w:szCs w:val="21"/>
              </w:rPr>
              <w:t>个程序的发放记录</w:t>
            </w:r>
            <w:bookmarkEnd w:id="9"/>
            <w:r>
              <w:rPr>
                <w:rFonts w:hint="eastAsia" w:asciiTheme="minorEastAsia" w:hAnsiTheme="minorEastAsia" w:eastAsiaTheme="minorEastAsia"/>
                <w:szCs w:val="21"/>
              </w:rPr>
              <w:t>：</w:t>
            </w:r>
          </w:p>
          <w:p>
            <w:pPr>
              <w:jc w:val="center"/>
            </w:pPr>
            <w:r>
              <w:drawing>
                <wp:inline distT="0" distB="0" distL="0" distR="0">
                  <wp:extent cx="4572000" cy="25558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4"/>
                          <a:stretch>
                            <a:fillRect/>
                          </a:stretch>
                        </pic:blipFill>
                        <pic:spPr>
                          <a:xfrm>
                            <a:off x="0" y="0"/>
                            <a:ext cx="4590632" cy="2566903"/>
                          </a:xfrm>
                          <a:prstGeom prst="rect">
                            <a:avLst/>
                          </a:prstGeom>
                        </pic:spPr>
                      </pic:pic>
                    </a:graphicData>
                  </a:graphic>
                </wp:inline>
              </w:drawing>
            </w:r>
          </w:p>
          <w:bookmarkEnd w:id="8"/>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8</w:t>
            </w:r>
            <w:r>
              <w:rPr>
                <w:rFonts w:hint="eastAsia" w:asciiTheme="minorEastAsia" w:hAnsiTheme="minorEastAsia" w:eastAsiaTheme="minorEastAsia"/>
                <w:color w:val="000000" w:themeColor="text1"/>
                <w:szCs w:val="21"/>
                <w14:textFill>
                  <w14:solidFill>
                    <w14:schemeClr w14:val="tx1"/>
                  </w14:solidFill>
                </w14:textFill>
              </w:rPr>
              <w:t>、查阅提供的体系文件都是现行有效的。</w:t>
            </w:r>
          </w:p>
        </w:tc>
        <w:tc>
          <w:tcPr>
            <w:tcW w:w="1208" w:type="dxa"/>
          </w:tcPr>
          <w:p>
            <w:pPr>
              <w:jc w:val="center"/>
              <w:rPr>
                <w:rFonts w:asciiTheme="minorEastAsia" w:hAnsiTheme="minorEastAsia" w:eastAsiaTheme="minorEastAsia"/>
                <w:b/>
                <w:bCs/>
                <w:color w:val="000000" w:themeColor="text1"/>
                <w:sz w:val="24"/>
                <w:szCs w:val="24"/>
                <w14:textFill>
                  <w14:solidFill>
                    <w14:schemeClr w14:val="tx1"/>
                  </w14:solidFill>
                </w14:textFill>
              </w:rPr>
            </w:pPr>
          </w:p>
          <w:p>
            <w:pPr>
              <w:pStyle w:val="7"/>
              <w:ind w:left="0" w:leftChars="0" w:firstLine="0" w:firstLineChars="0"/>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both"/>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color w:val="FF0000"/>
                <w:sz w:val="24"/>
                <w:szCs w:val="24"/>
              </w:rPr>
            </w:pPr>
          </w:p>
          <w:p>
            <w:pPr>
              <w:jc w:val="center"/>
              <w:rPr>
                <w:rFonts w:asciiTheme="minorEastAsia" w:hAnsiTheme="minorEastAsia" w:eastAsiaTheme="minorEastAsia"/>
                <w:b/>
                <w:bCs/>
                <w:color w:val="FF0000"/>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sz w:val="24"/>
                <w:szCs w:val="24"/>
              </w:rPr>
            </w:pPr>
          </w:p>
          <w:p>
            <w:pPr>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color w:val="000000" w:themeColor="text1"/>
                <w:szCs w:val="22"/>
                <w14:textFill>
                  <w14:solidFill>
                    <w14:schemeClr w14:val="tx1"/>
                  </w14:solidFill>
                </w14:textFill>
              </w:rPr>
            </w:pPr>
            <w:r>
              <w:rPr>
                <w:rFonts w:hint="eastAsia" w:asciiTheme="minorEastAsia" w:hAnsiTheme="minorEastAsia" w:eastAsiaTheme="minorEastAsia"/>
                <w:color w:val="000000" w:themeColor="text1"/>
                <w:szCs w:val="22"/>
                <w14:textFill>
                  <w14:solidFill>
                    <w14:schemeClr w14:val="tx1"/>
                  </w14:solidFill>
                </w14:textFill>
              </w:rPr>
              <w:t>6</w:t>
            </w:r>
            <w:r>
              <w:rPr>
                <w:rFonts w:asciiTheme="minorEastAsia" w:hAnsiTheme="minorEastAsia" w:eastAsiaTheme="minorEastAsia"/>
                <w:color w:val="000000" w:themeColor="text1"/>
                <w:szCs w:val="22"/>
                <w14:textFill>
                  <w14:solidFill>
                    <w14:schemeClr w14:val="tx1"/>
                  </w14:solidFill>
                </w14:textFill>
              </w:rPr>
              <w:t>.</w:t>
            </w:r>
            <w:r>
              <w:rPr>
                <w:rFonts w:hint="eastAsia" w:asciiTheme="minorEastAsia" w:hAnsiTheme="minorEastAsia" w:eastAsiaTheme="minorEastAsia"/>
                <w:color w:val="000000" w:themeColor="text1"/>
                <w:szCs w:val="22"/>
                <w14:textFill>
                  <w14:solidFill>
                    <w14:schemeClr w14:val="tx1"/>
                  </w14:solidFill>
                </w14:textFill>
              </w:rPr>
              <w:t>运行控制、能源采购（水、电、氮气、用能设备）的控制</w:t>
            </w:r>
          </w:p>
        </w:tc>
        <w:tc>
          <w:tcPr>
            <w:tcW w:w="956" w:type="dxa"/>
          </w:tcPr>
          <w:p>
            <w:pPr>
              <w:pStyle w:val="7"/>
              <w:ind w:left="0" w:leftChars="0" w:firstLine="0"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8</w:t>
            </w:r>
            <w:r>
              <w:rPr>
                <w:rFonts w:asciiTheme="minorEastAsia" w:hAnsiTheme="minorEastAsia" w:eastAsiaTheme="minorEastAsia"/>
                <w:color w:val="000000" w:themeColor="text1"/>
                <w:szCs w:val="21"/>
                <w14:textFill>
                  <w14:solidFill>
                    <w14:schemeClr w14:val="tx1"/>
                  </w14:solidFill>
                </w14:textFill>
              </w:rPr>
              <w:t>.1</w:t>
            </w:r>
          </w:p>
          <w:p>
            <w:pPr>
              <w:rPr>
                <w:rFonts w:asciiTheme="minorEastAsia" w:hAnsiTheme="minorEastAsia" w:eastAsiaTheme="minorEastAsia"/>
              </w:rPr>
            </w:pPr>
            <w:r>
              <w:rPr>
                <w:rFonts w:hint="eastAsia" w:asciiTheme="minorEastAsia" w:hAnsiTheme="minorEastAsia" w:eastAsiaTheme="minorEastAsia"/>
              </w:rPr>
              <w:t>8</w:t>
            </w:r>
            <w:r>
              <w:rPr>
                <w:rFonts w:asciiTheme="minorEastAsia" w:hAnsiTheme="minorEastAsia" w:eastAsiaTheme="minorEastAsia"/>
              </w:rPr>
              <w:t>.3</w:t>
            </w:r>
          </w:p>
        </w:tc>
        <w:tc>
          <w:tcPr>
            <w:tcW w:w="10324" w:type="dxa"/>
          </w:tcPr>
          <w:p>
            <w:pPr>
              <w:spacing w:before="156" w:beforeLines="50" w:after="156" w:afterLines="50"/>
              <w:ind w:left="21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1、提供文件化信息：《能源管理手册》（</w:t>
            </w:r>
            <w:r>
              <w:rPr>
                <w:rFonts w:asciiTheme="minorEastAsia" w:hAnsiTheme="minorEastAsia" w:eastAsiaTheme="minorEastAsia"/>
                <w:color w:val="000000" w:themeColor="text1"/>
                <w:szCs w:val="21"/>
                <w14:textFill>
                  <w14:solidFill>
                    <w14:schemeClr w14:val="tx1"/>
                  </w14:solidFill>
                </w14:textFill>
              </w:rPr>
              <w:t>WHJX/NY SC-01-2021</w:t>
            </w:r>
            <w:r>
              <w:rPr>
                <w:rFonts w:hint="eastAsia" w:asciiTheme="minorEastAsia" w:hAnsiTheme="minorEastAsia" w:eastAsiaTheme="minorEastAsia"/>
                <w:color w:val="000000" w:themeColor="text1"/>
                <w:szCs w:val="21"/>
                <w14:textFill>
                  <w14:solidFill>
                    <w14:schemeClr w14:val="tx1"/>
                  </w14:solidFill>
                </w14:textFill>
              </w:rPr>
              <w:t>）、《能源管理体系程序文件汇编》</w:t>
            </w:r>
            <w:r>
              <w:rPr>
                <w:rFonts w:hint="eastAsia" w:asciiTheme="minorEastAsia" w:hAnsiTheme="minorEastAsia" w:eastAsiaTheme="minorEastAsia"/>
                <w:szCs w:val="21"/>
              </w:rPr>
              <w:t>及相关运行文件。主要有《能源采购控制程序》（</w:t>
            </w:r>
            <w:r>
              <w:rPr>
                <w:rFonts w:asciiTheme="minorEastAsia" w:hAnsiTheme="minorEastAsia" w:eastAsiaTheme="minorEastAsia"/>
                <w:szCs w:val="21"/>
              </w:rPr>
              <w:t>WHJX/NY CX-1</w:t>
            </w:r>
            <w:r>
              <w:rPr>
                <w:rFonts w:hint="eastAsia" w:asciiTheme="minorEastAsia" w:hAnsiTheme="minorEastAsia" w:eastAsiaTheme="minorEastAsia"/>
                <w:szCs w:val="21"/>
              </w:rPr>
              <w:t>5</w:t>
            </w:r>
            <w:r>
              <w:rPr>
                <w:rFonts w:asciiTheme="minorEastAsia" w:hAnsiTheme="minorEastAsia" w:eastAsiaTheme="minorEastAsia"/>
                <w:szCs w:val="21"/>
              </w:rPr>
              <w:t>-2021</w:t>
            </w:r>
            <w:r>
              <w:rPr>
                <w:rFonts w:hint="eastAsia" w:asciiTheme="minorEastAsia" w:hAnsiTheme="minorEastAsia" w:eastAsiaTheme="minorEastAsia"/>
                <w:szCs w:val="21"/>
              </w:rPr>
              <w:t>）、《监测和测量控制程序》（</w:t>
            </w:r>
            <w:r>
              <w:rPr>
                <w:rFonts w:asciiTheme="minorEastAsia" w:hAnsiTheme="minorEastAsia" w:eastAsiaTheme="minorEastAsia"/>
                <w:szCs w:val="21"/>
              </w:rPr>
              <w:t>WHJX/NY CX-18-2021</w:t>
            </w:r>
            <w:r>
              <w:rPr>
                <w:rFonts w:hint="eastAsia" w:asciiTheme="minorEastAsia" w:hAnsiTheme="minorEastAsia" w:eastAsiaTheme="minorEastAsia"/>
                <w:szCs w:val="21"/>
              </w:rPr>
              <w:t>）、《不符合及纠正措施控制程序》（</w:t>
            </w:r>
            <w:r>
              <w:rPr>
                <w:rFonts w:asciiTheme="minorEastAsia" w:hAnsiTheme="minorEastAsia" w:eastAsiaTheme="minorEastAsia"/>
                <w:szCs w:val="21"/>
              </w:rPr>
              <w:t>WHJX/NY CX-2</w:t>
            </w:r>
            <w:r>
              <w:rPr>
                <w:rFonts w:asciiTheme="minorEastAsia" w:hAnsiTheme="minorEastAsia" w:eastAsiaTheme="minorEastAsia"/>
                <w:color w:val="000000" w:themeColor="text1"/>
                <w:szCs w:val="21"/>
                <w14:textFill>
                  <w14:solidFill>
                    <w14:schemeClr w14:val="tx1"/>
                  </w14:solidFill>
                </w14:textFill>
              </w:rPr>
              <w:t>2-2021</w:t>
            </w:r>
            <w:r>
              <w:rPr>
                <w:rFonts w:hint="eastAsia" w:asciiTheme="minorEastAsia" w:hAnsiTheme="minorEastAsia" w:eastAsiaTheme="minorEastAsia"/>
                <w:color w:val="000000" w:themeColor="text1"/>
                <w:szCs w:val="21"/>
                <w14:textFill>
                  <w14:solidFill>
                    <w14:schemeClr w14:val="tx1"/>
                  </w14:solidFill>
                </w14:textFill>
              </w:rPr>
              <w:t>）、《采购流程及规则》（</w:t>
            </w:r>
            <w:r>
              <w:rPr>
                <w:rFonts w:asciiTheme="minorEastAsia" w:hAnsiTheme="minorEastAsia" w:eastAsiaTheme="minorEastAsia"/>
                <w:color w:val="000000" w:themeColor="text1"/>
                <w:szCs w:val="21"/>
                <w14:textFill>
                  <w14:solidFill>
                    <w14:schemeClr w14:val="tx1"/>
                  </w14:solidFill>
                </w14:textFill>
              </w:rPr>
              <w:t>WH-WI072</w:t>
            </w:r>
            <w:r>
              <w:rPr>
                <w:rFonts w:hint="eastAsia" w:asciiTheme="minorEastAsia" w:hAnsiTheme="minorEastAsia" w:eastAsiaTheme="minorEastAsia"/>
                <w:color w:val="000000" w:themeColor="text1"/>
                <w:szCs w:val="21"/>
                <w14:textFill>
                  <w14:solidFill>
                    <w14:schemeClr w14:val="tx1"/>
                  </w14:solidFill>
                </w14:textFill>
              </w:rPr>
              <w:t>）、《采购作业指导书》（</w:t>
            </w:r>
            <w:r>
              <w:rPr>
                <w:rFonts w:asciiTheme="minorEastAsia" w:hAnsiTheme="minorEastAsia" w:eastAsiaTheme="minorEastAsia"/>
                <w:color w:val="000000" w:themeColor="text1"/>
                <w:szCs w:val="21"/>
                <w14:textFill>
                  <w14:solidFill>
                    <w14:schemeClr w14:val="tx1"/>
                  </w14:solidFill>
                </w14:textFill>
              </w:rPr>
              <w:t>WH-WI072</w:t>
            </w:r>
            <w:r>
              <w:rPr>
                <w:rFonts w:hint="eastAsia" w:asciiTheme="minorEastAsia" w:hAnsiTheme="minorEastAsia" w:eastAsiaTheme="minorEastAsia"/>
                <w:color w:val="000000" w:themeColor="text1"/>
                <w:szCs w:val="21"/>
                <w14:textFill>
                  <w14:solidFill>
                    <w14:schemeClr w14:val="tx1"/>
                  </w14:solidFill>
                </w14:textFill>
              </w:rPr>
              <w:t>）等，均经审批后发布实施。确保了其适宜性和充分性。</w:t>
            </w:r>
          </w:p>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2、关于能源采购：</w:t>
            </w:r>
          </w:p>
          <w:p>
            <w:pPr>
              <w:pStyle w:val="7"/>
              <w:spacing w:before="156" w:beforeLines="50" w:after="156" w:afterLines="50"/>
              <w:ind w:left="0" w:leftChars="0"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1）《能源管理手册》要求：公司建立并实施在计划或预期运行寿命内评估能源性能的标准，在采购能源时使用预期对公司能源性能有重大影响的产品、设备和服务。</w:t>
            </w:r>
          </w:p>
          <w:p>
            <w:pPr>
              <w:pStyle w:val="7"/>
              <w:spacing w:before="156" w:beforeLines="50" w:after="156" w:afterLines="50"/>
              <w:ind w:left="0" w:leftChars="0"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在采购使用对SEUs有或可能有影响的产品、设备和服务时，公司应通知供应商，能源性能是采购的评估标准之一。</w:t>
            </w:r>
          </w:p>
          <w:p>
            <w:pPr>
              <w:pStyle w:val="7"/>
              <w:spacing w:before="156" w:beforeLines="50" w:after="156" w:afterLines="50"/>
              <w:ind w:left="0" w:leftChars="0"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在适用的情况下，公司定义和沟通以下方面的规范:</w:t>
            </w:r>
          </w:p>
          <w:p>
            <w:pPr>
              <w:pStyle w:val="7"/>
              <w:spacing w:before="156" w:beforeLines="50" w:after="156" w:afterLines="50"/>
              <w:ind w:left="0" w:leftChars="0"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a)确保采购设备和服务的能源性能；</w:t>
            </w:r>
          </w:p>
          <w:p>
            <w:pPr>
              <w:pStyle w:val="7"/>
              <w:spacing w:before="156" w:beforeLines="50" w:after="156" w:afterLines="50"/>
              <w:ind w:left="0" w:leftChars="0"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b)购买能源。</w:t>
            </w:r>
          </w:p>
          <w:p>
            <w:pPr>
              <w:spacing w:before="156" w:beforeLines="50" w:after="156" w:afterLines="50"/>
              <w:ind w:firstLine="210" w:firstLineChars="100"/>
              <w:rPr>
                <w:rFonts w:asciiTheme="minorEastAsia" w:hAnsiTheme="minorEastAsia" w:eastAsiaTheme="minorEastAsia"/>
                <w:color w:val="FF0000"/>
                <w:szCs w:val="21"/>
              </w:rPr>
            </w:pPr>
            <w:bookmarkStart w:id="10" w:name="_Hlk107328045"/>
            <w:r>
              <w:rPr>
                <w:rFonts w:hint="eastAsia" w:asciiTheme="minorEastAsia" w:hAnsiTheme="minorEastAsia" w:eastAsiaTheme="minorEastAsia"/>
                <w:color w:val="FF0000"/>
                <w:szCs w:val="21"/>
              </w:rPr>
              <w:t>2）提供的《能源采购控制程序》中，规定能源采购的负责部门是生产部，与实际（总经办）不一致。——</w:t>
            </w:r>
            <w:r>
              <w:rPr>
                <w:rFonts w:hint="eastAsia" w:asciiTheme="minorEastAsia" w:hAnsiTheme="minorEastAsia" w:eastAsiaTheme="minorEastAsia"/>
                <w:color w:val="FF0000"/>
                <w:szCs w:val="21"/>
                <w:highlight w:val="yellow"/>
              </w:rPr>
              <w:t>观察项问题</w:t>
            </w:r>
          </w:p>
          <w:bookmarkEnd w:id="10"/>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3）提供的《采购流程及规则》和《采购作业指导书》中，明确了原材料、机物料及外购成品的采购与验收流程，以及供应商管理、物料编号、采购合同、协议签订、机物料采购、质量问题处理、付款申请、入库管理等环节。</w:t>
            </w:r>
          </w:p>
          <w:p>
            <w:pPr>
              <w:pStyle w:val="3"/>
              <w:spacing w:before="156" w:beforeLines="50" w:after="156" w:afterLines="50"/>
              <w:ind w:firstLine="210" w:firstLineChars="1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4、能源采购合同：</w:t>
            </w:r>
          </w:p>
          <w:p>
            <w:pPr>
              <w:pStyle w:val="7"/>
              <w:spacing w:before="156" w:beforeLines="50" w:after="156" w:afterLines="50"/>
              <w:ind w:left="0" w:leftChars="0" w:firstLine="210" w:firstLineChars="10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w:t>
            </w:r>
            <w:r>
              <w:rPr>
                <w:rFonts w:hint="eastAsia" w:asciiTheme="minorEastAsia" w:hAnsiTheme="minorEastAsia" w:eastAsiaTheme="minorEastAsia"/>
                <w:color w:val="000000" w:themeColor="text1"/>
                <w:szCs w:val="21"/>
                <w14:textFill>
                  <w14:solidFill>
                    <w14:schemeClr w14:val="tx1"/>
                  </w14:solidFill>
                </w14:textFill>
              </w:rPr>
              <w:t>）分别查阅供电工程验收单、给水工程协议（2</w:t>
            </w:r>
            <w:r>
              <w:rPr>
                <w:rFonts w:asciiTheme="minorEastAsia" w:hAnsiTheme="minorEastAsia" w:eastAsiaTheme="minorEastAsia"/>
                <w:color w:val="000000" w:themeColor="text1"/>
                <w:szCs w:val="21"/>
                <w14:textFill>
                  <w14:solidFill>
                    <w14:schemeClr w14:val="tx1"/>
                  </w14:solidFill>
                </w14:textFill>
              </w:rPr>
              <w:t>019</w:t>
            </w:r>
            <w:r>
              <w:rPr>
                <w:rFonts w:hint="eastAsia" w:asciiTheme="minorEastAsia" w:hAnsiTheme="minorEastAsia" w:eastAsiaTheme="minorEastAsia"/>
                <w:color w:val="000000" w:themeColor="text1"/>
                <w:szCs w:val="21"/>
                <w14:textFill>
                  <w14:solidFill>
                    <w14:schemeClr w14:val="tx1"/>
                  </w14:solidFill>
                </w14:textFill>
              </w:rPr>
              <w:t>年签订的长期框架协议，目前仍有效）：</w:t>
            </w:r>
          </w:p>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drawing>
                <wp:inline distT="0" distB="0" distL="0" distR="0">
                  <wp:extent cx="2122805" cy="299593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5"/>
                          <a:stretch>
                            <a:fillRect/>
                          </a:stretch>
                        </pic:blipFill>
                        <pic:spPr>
                          <a:xfrm>
                            <a:off x="0" y="0"/>
                            <a:ext cx="2127698" cy="3002681"/>
                          </a:xfrm>
                          <a:prstGeom prst="rect">
                            <a:avLst/>
                          </a:prstGeom>
                        </pic:spPr>
                      </pic:pic>
                    </a:graphicData>
                  </a:graphic>
                </wp:inline>
              </w:drawing>
            </w:r>
            <w:r>
              <w:rPr>
                <w:rFonts w:hint="eastAsia" w:asciiTheme="minorEastAsia" w:hAnsiTheme="minorEastAsia" w:eastAsiaTheme="minorEastAsia"/>
                <w:color w:val="000000" w:themeColor="text1"/>
                <w:szCs w:val="21"/>
                <w14:textFill>
                  <w14:solidFill>
                    <w14:schemeClr w14:val="tx1"/>
                  </w14:solidFill>
                </w14:textFill>
              </w:rPr>
              <w:t xml:space="preserve"> </w:t>
            </w:r>
            <w:r>
              <w:rPr>
                <w:rFonts w:asciiTheme="minorEastAsia" w:hAnsiTheme="minorEastAsia" w:eastAsiaTheme="minorEastAsia"/>
                <w:color w:val="000000" w:themeColor="text1"/>
                <w:szCs w:val="21"/>
                <w14:textFill>
                  <w14:solidFill>
                    <w14:schemeClr w14:val="tx1"/>
                  </w14:solidFill>
                </w14:textFill>
              </w:rPr>
              <w:t xml:space="preserve">  </w:t>
            </w:r>
            <w:r>
              <w:drawing>
                <wp:inline distT="0" distB="0" distL="0" distR="0">
                  <wp:extent cx="3916680" cy="2884805"/>
                  <wp:effectExtent l="0" t="0" r="762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3944405" cy="2905618"/>
                          </a:xfrm>
                          <a:prstGeom prst="rect">
                            <a:avLst/>
                          </a:prstGeom>
                        </pic:spPr>
                      </pic:pic>
                    </a:graphicData>
                  </a:graphic>
                </wp:inline>
              </w:drawing>
            </w:r>
          </w:p>
          <w:p>
            <w:pPr>
              <w:pStyle w:val="3"/>
              <w:spacing w:before="156" w:beforeLines="50" w:after="156" w:afterLines="50"/>
            </w:pP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）抽查氮气采购协议（2</w:t>
            </w:r>
            <w:r>
              <w:rPr>
                <w:rFonts w:asciiTheme="minorEastAsia" w:hAnsiTheme="minorEastAsia" w:eastAsiaTheme="minorEastAsia"/>
                <w:color w:val="000000" w:themeColor="text1"/>
                <w:sz w:val="21"/>
                <w:szCs w:val="21"/>
                <w14:textFill>
                  <w14:solidFill>
                    <w14:schemeClr w14:val="tx1"/>
                  </w14:solidFill>
                </w14:textFill>
              </w:rPr>
              <w:t>019</w:t>
            </w:r>
            <w:r>
              <w:rPr>
                <w:rFonts w:hint="eastAsia" w:asciiTheme="minorEastAsia" w:hAnsiTheme="minorEastAsia" w:eastAsiaTheme="minorEastAsia"/>
                <w:color w:val="000000" w:themeColor="text1"/>
                <w:sz w:val="21"/>
                <w:szCs w:val="21"/>
                <w14:textFill>
                  <w14:solidFill>
                    <w14:schemeClr w14:val="tx1"/>
                  </w14:solidFill>
                </w14:textFill>
              </w:rPr>
              <w:t>年签订的长期框架协议，目前仍有效）：</w:t>
            </w:r>
          </w:p>
          <w:p>
            <w:pPr>
              <w:pStyle w:val="3"/>
              <w:spacing w:before="156" w:beforeLines="50" w:after="156" w:afterLines="50"/>
              <w:rPr>
                <w:rFonts w:asciiTheme="minorEastAsia" w:hAnsiTheme="minorEastAsia" w:eastAsiaTheme="minorEastAsia"/>
                <w:color w:val="000000" w:themeColor="text1"/>
                <w:sz w:val="21"/>
                <w:szCs w:val="21"/>
                <w14:textFill>
                  <w14:solidFill>
                    <w14:schemeClr w14:val="tx1"/>
                  </w14:solidFill>
                </w14:textFill>
              </w:rPr>
            </w:pPr>
            <w:r>
              <w:drawing>
                <wp:inline distT="0" distB="0" distL="0" distR="0">
                  <wp:extent cx="4208780" cy="1957070"/>
                  <wp:effectExtent l="0" t="0" r="7620" b="1143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7"/>
                          <a:stretch>
                            <a:fillRect/>
                          </a:stretch>
                        </pic:blipFill>
                        <pic:spPr>
                          <a:xfrm>
                            <a:off x="0" y="0"/>
                            <a:ext cx="4225884" cy="1957070"/>
                          </a:xfrm>
                          <a:prstGeom prst="rect">
                            <a:avLst/>
                          </a:prstGeom>
                        </pic:spPr>
                      </pic:pic>
                    </a:graphicData>
                  </a:graphic>
                </wp:inline>
              </w:drawing>
            </w:r>
            <w:r>
              <w:drawing>
                <wp:inline distT="0" distB="0" distL="0" distR="0">
                  <wp:extent cx="2194560" cy="2016125"/>
                  <wp:effectExtent l="0" t="0" r="2540" b="317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a:stretch>
                            <a:fillRect/>
                          </a:stretch>
                        </pic:blipFill>
                        <pic:spPr>
                          <a:xfrm>
                            <a:off x="0" y="0"/>
                            <a:ext cx="2200513" cy="2016125"/>
                          </a:xfrm>
                          <a:prstGeom prst="rect">
                            <a:avLst/>
                          </a:prstGeom>
                        </pic:spPr>
                      </pic:pic>
                    </a:graphicData>
                  </a:graphic>
                </wp:inline>
              </w:drawing>
            </w:r>
          </w:p>
          <w:p>
            <w:pPr>
              <w:pStyle w:val="3"/>
              <w:spacing w:before="156" w:beforeLines="50" w:after="156" w:afterLines="50"/>
              <w:ind w:firstLine="210" w:firstLineChars="10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w:t>
            </w:r>
            <w:r>
              <w:rPr>
                <w:rFonts w:hint="eastAsia" w:asciiTheme="minorEastAsia" w:hAnsiTheme="minorEastAsia" w:eastAsiaTheme="minorEastAsia"/>
                <w:color w:val="000000" w:themeColor="text1"/>
                <w:sz w:val="21"/>
                <w:szCs w:val="21"/>
                <w14:textFill>
                  <w14:solidFill>
                    <w14:schemeClr w14:val="tx1"/>
                  </w14:solidFill>
                </w14:textFill>
              </w:rPr>
              <w:t>）抽查能源设备采购合同：</w:t>
            </w:r>
            <w:r>
              <w:rPr>
                <w:rFonts w:asciiTheme="minorEastAsia" w:hAnsiTheme="minorEastAsia" w:eastAsiaTheme="minorEastAsia"/>
                <w:color w:val="000000" w:themeColor="text1"/>
                <w:sz w:val="21"/>
                <w:szCs w:val="21"/>
                <w14:textFill>
                  <w14:solidFill>
                    <w14:schemeClr w14:val="tx1"/>
                  </w14:solidFill>
                </w14:textFill>
              </w:rPr>
              <w:t xml:space="preserve"> </w:t>
            </w:r>
          </w:p>
          <w:p>
            <w:pPr>
              <w:pStyle w:val="3"/>
              <w:spacing w:before="156" w:beforeLines="50" w:after="156" w:afterLines="50"/>
              <w:ind w:firstLine="843" w:firstLineChars="400"/>
              <w:rPr>
                <w:rFonts w:asciiTheme="minorEastAsia" w:hAnsiTheme="minorEastAsia" w:eastAsiaTheme="minorEastAsia"/>
                <w:b/>
                <w:bCs/>
                <w:color w:val="000000" w:themeColor="text1"/>
                <w:sz w:val="21"/>
                <w:szCs w:val="21"/>
                <w14:textFill>
                  <w14:solidFill>
                    <w14:schemeClr w14:val="tx1"/>
                  </w14:solidFill>
                </w14:textFill>
              </w:rPr>
            </w:pPr>
            <w:r>
              <w:rPr>
                <w:rFonts w:hint="eastAsia" w:asciiTheme="minorEastAsia" w:hAnsiTheme="minorEastAsia" w:eastAsiaTheme="minorEastAsia"/>
                <w:b/>
                <w:bCs/>
                <w:color w:val="000000" w:themeColor="text1"/>
                <w:sz w:val="21"/>
                <w:szCs w:val="21"/>
                <w14:textFill>
                  <w14:solidFill>
                    <w14:schemeClr w14:val="tx1"/>
                  </w14:solidFill>
                </w14:textFill>
              </w:rPr>
              <w:t xml:space="preserve">冲压机采购合同（部分文本） </w:t>
            </w:r>
            <w:r>
              <w:rPr>
                <w:rFonts w:asciiTheme="minorEastAsia" w:hAnsiTheme="minorEastAsia" w:eastAsiaTheme="minorEastAsia"/>
                <w:b/>
                <w:bCs/>
                <w:color w:val="000000" w:themeColor="text1"/>
                <w:sz w:val="21"/>
                <w:szCs w:val="21"/>
                <w14:textFill>
                  <w14:solidFill>
                    <w14:schemeClr w14:val="tx1"/>
                  </w14:solidFill>
                </w14:textFill>
              </w:rPr>
              <w:t xml:space="preserve">                </w:t>
            </w:r>
            <w:r>
              <w:rPr>
                <w:rFonts w:hint="eastAsia" w:asciiTheme="minorEastAsia" w:hAnsiTheme="minorEastAsia" w:eastAsiaTheme="minorEastAsia"/>
                <w:b/>
                <w:bCs/>
                <w:color w:val="000000" w:themeColor="text1"/>
                <w:sz w:val="21"/>
                <w:szCs w:val="21"/>
                <w14:textFill>
                  <w14:solidFill>
                    <w14:schemeClr w14:val="tx1"/>
                  </w14:solidFill>
                </w14:textFill>
              </w:rPr>
              <w:t>激光切割机采购合同（部分文本）</w:t>
            </w:r>
          </w:p>
          <w:p>
            <w:pPr>
              <w:pStyle w:val="3"/>
              <w:spacing w:before="156" w:beforeLines="50" w:after="156" w:afterLines="50"/>
              <w:ind w:firstLine="240" w:firstLineChars="100"/>
            </w:pPr>
            <w:r>
              <w:drawing>
                <wp:inline distT="0" distB="0" distL="0" distR="0">
                  <wp:extent cx="2154555" cy="2189480"/>
                  <wp:effectExtent l="0" t="0" r="4445" b="762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9"/>
                          <a:stretch>
                            <a:fillRect/>
                          </a:stretch>
                        </pic:blipFill>
                        <pic:spPr>
                          <a:xfrm>
                            <a:off x="0" y="0"/>
                            <a:ext cx="2164616" cy="2189480"/>
                          </a:xfrm>
                          <a:prstGeom prst="rect">
                            <a:avLst/>
                          </a:prstGeom>
                        </pic:spPr>
                      </pic:pic>
                    </a:graphicData>
                  </a:graphic>
                </wp:inline>
              </w:drawing>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     </w:t>
            </w:r>
            <w:r>
              <w:drawing>
                <wp:inline distT="0" distB="0" distL="0" distR="0">
                  <wp:extent cx="3021330" cy="2243455"/>
                  <wp:effectExtent l="0" t="0" r="1270" b="444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0"/>
                          <a:stretch>
                            <a:fillRect/>
                          </a:stretch>
                        </pic:blipFill>
                        <pic:spPr>
                          <a:xfrm>
                            <a:off x="0" y="0"/>
                            <a:ext cx="3034017" cy="2243455"/>
                          </a:xfrm>
                          <a:prstGeom prst="rect">
                            <a:avLst/>
                          </a:prstGeom>
                        </pic:spPr>
                      </pic:pic>
                    </a:graphicData>
                  </a:graphic>
                </wp:inline>
              </w:drawing>
            </w:r>
          </w:p>
          <w:p>
            <w:pPr>
              <w:pStyle w:val="3"/>
              <w:spacing w:before="156" w:beforeLines="50" w:after="156" w:afterLines="50"/>
              <w:ind w:firstLine="211" w:firstLineChars="100"/>
              <w:rPr>
                <w:rFonts w:asciiTheme="minorEastAsia" w:hAnsiTheme="minorEastAsia" w:eastAsiaTheme="minorEastAsia"/>
                <w:b/>
                <w:bCs/>
                <w:color w:val="000000" w:themeColor="text1"/>
                <w:sz w:val="21"/>
                <w:szCs w:val="21"/>
                <w14:textFill>
                  <w14:solidFill>
                    <w14:schemeClr w14:val="tx1"/>
                  </w14:solidFill>
                </w14:textFill>
              </w:rPr>
            </w:pPr>
            <w:r>
              <w:rPr>
                <w:rFonts w:hint="eastAsia" w:asciiTheme="minorEastAsia" w:hAnsiTheme="minorEastAsia" w:eastAsiaTheme="minorEastAsia"/>
                <w:b/>
                <w:bCs/>
                <w:color w:val="000000" w:themeColor="text1"/>
                <w:sz w:val="21"/>
                <w:szCs w:val="21"/>
                <w14:textFill>
                  <w14:solidFill>
                    <w14:schemeClr w14:val="tx1"/>
                  </w14:solidFill>
                </w14:textFill>
              </w:rPr>
              <w:t>多段加热炉采购合同：</w:t>
            </w:r>
          </w:p>
          <w:p>
            <w:pPr>
              <w:pStyle w:val="3"/>
              <w:spacing w:before="156" w:beforeLines="50" w:after="156" w:afterLines="50"/>
              <w:ind w:firstLine="240" w:firstLineChars="100"/>
              <w:rPr>
                <w:rFonts w:asciiTheme="minorEastAsia" w:hAnsiTheme="minorEastAsia" w:eastAsiaTheme="minorEastAsia"/>
                <w:color w:val="000000" w:themeColor="text1"/>
                <w:sz w:val="21"/>
                <w:szCs w:val="21"/>
                <w14:textFill>
                  <w14:solidFill>
                    <w14:schemeClr w14:val="tx1"/>
                  </w14:solidFill>
                </w14:textFill>
              </w:rPr>
            </w:pPr>
            <w:r>
              <w:drawing>
                <wp:inline distT="0" distB="0" distL="0" distR="0">
                  <wp:extent cx="2034540" cy="2361565"/>
                  <wp:effectExtent l="0" t="0" r="10160"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1"/>
                          <a:stretch>
                            <a:fillRect/>
                          </a:stretch>
                        </pic:blipFill>
                        <pic:spPr>
                          <a:xfrm>
                            <a:off x="0" y="0"/>
                            <a:ext cx="2042234" cy="2361565"/>
                          </a:xfrm>
                          <a:prstGeom prst="rect">
                            <a:avLst/>
                          </a:prstGeom>
                        </pic:spPr>
                      </pic:pic>
                    </a:graphicData>
                  </a:graphic>
                </wp:inline>
              </w:drawing>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 </w:t>
            </w:r>
            <w:r>
              <w:drawing>
                <wp:inline distT="0" distB="0" distL="0" distR="0">
                  <wp:extent cx="2263775" cy="2216785"/>
                  <wp:effectExtent l="0" t="0" r="9525" b="571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2"/>
                          <a:stretch>
                            <a:fillRect/>
                          </a:stretch>
                        </pic:blipFill>
                        <pic:spPr>
                          <a:xfrm>
                            <a:off x="0" y="0"/>
                            <a:ext cx="2274222" cy="2216785"/>
                          </a:xfrm>
                          <a:prstGeom prst="rect">
                            <a:avLst/>
                          </a:prstGeom>
                        </pic:spPr>
                      </pic:pic>
                    </a:graphicData>
                  </a:graphic>
                </wp:inline>
              </w:drawing>
            </w:r>
          </w:p>
          <w:p>
            <w:pPr>
              <w:pStyle w:val="3"/>
              <w:spacing w:before="156" w:beforeLines="50" w:after="156" w:afterLines="50"/>
              <w:ind w:firstLine="210" w:firstLineChars="100"/>
              <w:rPr>
                <w:rFonts w:asciiTheme="minorEastAsia" w:hAnsiTheme="minorEastAsia" w:eastAsiaTheme="minorEastAsia"/>
                <w:color w:val="000000" w:themeColor="text1"/>
                <w:sz w:val="21"/>
                <w:szCs w:val="21"/>
                <w14:textFill>
                  <w14:solidFill>
                    <w14:schemeClr w14:val="tx1"/>
                  </w14:solidFill>
                </w14:textFill>
              </w:rPr>
            </w:pPr>
          </w:p>
          <w:p>
            <w:pPr>
              <w:spacing w:before="156" w:beforeLines="50" w:after="156" w:afterLines="50"/>
              <w:ind w:firstLine="210" w:firstLineChars="100"/>
              <w:jc w:val="lef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基本符合标准与公司制度要求。</w:t>
            </w:r>
          </w:p>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公司自能源管理体系建立以来没有发生过能源方面采购的不符合与采购事故。</w:t>
            </w:r>
          </w:p>
        </w:tc>
        <w:tc>
          <w:tcPr>
            <w:tcW w:w="1208" w:type="dxa"/>
          </w:tcPr>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both"/>
              <w:rPr>
                <w:rFonts w:asciiTheme="minorEastAsia" w:hAnsiTheme="minorEastAsia" w:eastAsiaTheme="minorEastAsia"/>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szCs w:val="22"/>
              </w:rPr>
            </w:pPr>
            <w:r>
              <w:rPr>
                <w:rFonts w:hint="eastAsia" w:asciiTheme="minorEastAsia" w:hAnsiTheme="minorEastAsia" w:eastAsiaTheme="minorEastAsia"/>
                <w:szCs w:val="22"/>
              </w:rPr>
              <w:t>6</w:t>
            </w:r>
            <w:r>
              <w:rPr>
                <w:rFonts w:asciiTheme="minorEastAsia" w:hAnsiTheme="minorEastAsia" w:eastAsiaTheme="minorEastAsia"/>
                <w:szCs w:val="22"/>
              </w:rPr>
              <w:t>.</w:t>
            </w:r>
            <w:r>
              <w:rPr>
                <w:rFonts w:hint="eastAsia" w:asciiTheme="minorEastAsia" w:hAnsiTheme="minorEastAsia" w:eastAsiaTheme="minorEastAsia"/>
                <w:szCs w:val="22"/>
              </w:rPr>
              <w:t>法律法规及其它要求的收集与合规性评价</w:t>
            </w:r>
          </w:p>
        </w:tc>
        <w:tc>
          <w:tcPr>
            <w:tcW w:w="956" w:type="dxa"/>
          </w:tcPr>
          <w:p>
            <w:pPr>
              <w:pStyle w:val="7"/>
              <w:ind w:left="0" w:leftChars="0" w:firstLine="0" w:firstLineChars="0"/>
              <w:rPr>
                <w:rFonts w:asciiTheme="minorEastAsia" w:hAnsiTheme="minorEastAsia" w:eastAsiaTheme="minorEastAsia"/>
                <w:szCs w:val="21"/>
              </w:rPr>
            </w:pPr>
            <w:r>
              <w:rPr>
                <w:rFonts w:asciiTheme="minorEastAsia" w:hAnsiTheme="minorEastAsia" w:eastAsiaTheme="minorEastAsia"/>
                <w:szCs w:val="21"/>
              </w:rPr>
              <w:t>4.2</w:t>
            </w:r>
          </w:p>
          <w:p>
            <w:pPr>
              <w:pStyle w:val="7"/>
              <w:ind w:left="0" w:leftChars="0" w:firstLine="0" w:firstLineChars="0"/>
              <w:rPr>
                <w:rFonts w:asciiTheme="minorEastAsia" w:hAnsiTheme="minorEastAsia" w:eastAsiaTheme="minorEastAsia"/>
                <w:szCs w:val="21"/>
              </w:rPr>
            </w:pPr>
            <w:r>
              <w:rPr>
                <w:rFonts w:hint="eastAsia" w:asciiTheme="minorEastAsia" w:hAnsiTheme="minorEastAsia" w:eastAsiaTheme="minorEastAsia"/>
                <w:szCs w:val="21"/>
              </w:rPr>
              <w:t>9</w:t>
            </w:r>
            <w:r>
              <w:rPr>
                <w:rFonts w:asciiTheme="minorEastAsia" w:hAnsiTheme="minorEastAsia" w:eastAsiaTheme="minorEastAsia"/>
                <w:szCs w:val="21"/>
              </w:rPr>
              <w:t>.1.2</w:t>
            </w:r>
          </w:p>
        </w:tc>
        <w:tc>
          <w:tcPr>
            <w:tcW w:w="10324" w:type="dxa"/>
          </w:tcPr>
          <w:p>
            <w:pPr>
              <w:spacing w:before="156" w:beforeLines="50" w:after="156" w:afterLines="50"/>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1、公司建立有</w:t>
            </w:r>
            <w:bookmarkStart w:id="11" w:name="_Hlk107131104"/>
            <w:r>
              <w:rPr>
                <w:rFonts w:hint="eastAsia" w:asciiTheme="minorEastAsia" w:hAnsiTheme="minorEastAsia" w:eastAsiaTheme="minorEastAsia"/>
                <w:color w:val="000000" w:themeColor="text1"/>
                <w:szCs w:val="21"/>
                <w14:textFill>
                  <w14:solidFill>
                    <w14:schemeClr w14:val="tx1"/>
                  </w14:solidFill>
                </w14:textFill>
              </w:rPr>
              <w:t>《法律、法规及其它要求的识别控制程序》（</w:t>
            </w:r>
            <w:r>
              <w:rPr>
                <w:rFonts w:asciiTheme="minorEastAsia" w:hAnsiTheme="minorEastAsia" w:eastAsiaTheme="minorEastAsia"/>
                <w:color w:val="000000" w:themeColor="text1"/>
                <w:szCs w:val="21"/>
                <w14:textFill>
                  <w14:solidFill>
                    <w14:schemeClr w14:val="tx1"/>
                  </w14:solidFill>
                </w14:textFill>
              </w:rPr>
              <w:t>WHJX/NY CX-19-2021</w:t>
            </w:r>
            <w:r>
              <w:rPr>
                <w:rFonts w:hint="eastAsia" w:asciiTheme="minorEastAsia" w:hAnsiTheme="minorEastAsia" w:eastAsiaTheme="minorEastAsia"/>
                <w:color w:val="000000" w:themeColor="text1"/>
                <w:szCs w:val="21"/>
                <w14:textFill>
                  <w14:solidFill>
                    <w14:schemeClr w14:val="tx1"/>
                  </w14:solidFill>
                </w14:textFill>
              </w:rPr>
              <w:t>），经审批后发布实施。</w:t>
            </w:r>
          </w:p>
          <w:bookmarkEnd w:id="11"/>
          <w:p>
            <w:pPr>
              <w:spacing w:before="156" w:beforeLines="50" w:after="156" w:afterLines="50"/>
              <w:ind w:firstLine="420" w:firstLineChars="20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w:t>
            </w:r>
            <w:r>
              <w:rPr>
                <w:rFonts w:hint="eastAsia" w:asciiTheme="minorEastAsia" w:hAnsiTheme="minorEastAsia" w:eastAsiaTheme="minorEastAsia"/>
                <w:color w:val="000000" w:themeColor="text1"/>
                <w:szCs w:val="21"/>
                <w14:textFill>
                  <w14:solidFill>
                    <w14:schemeClr w14:val="tx1"/>
                  </w14:solidFill>
                </w14:textFill>
              </w:rPr>
              <w:t>、提供有公司识别收集的《能源管理体系适用法律法规、标准及其他要求一览表》（2</w:t>
            </w:r>
            <w:r>
              <w:rPr>
                <w:rFonts w:asciiTheme="minorEastAsia" w:hAnsiTheme="minorEastAsia" w:eastAsiaTheme="minorEastAsia"/>
                <w:color w:val="000000" w:themeColor="text1"/>
                <w:szCs w:val="21"/>
                <w14:textFill>
                  <w14:solidFill>
                    <w14:schemeClr w14:val="tx1"/>
                  </w14:solidFill>
                </w14:textFill>
              </w:rPr>
              <w:t>021-12-10</w:t>
            </w:r>
            <w:r>
              <w:rPr>
                <w:rFonts w:hint="eastAsia" w:asciiTheme="minorEastAsia" w:hAnsiTheme="minorEastAsia" w:eastAsiaTheme="minorEastAsia"/>
                <w:color w:val="000000" w:themeColor="text1"/>
                <w:szCs w:val="21"/>
                <w14:textFill>
                  <w14:solidFill>
                    <w14:schemeClr w14:val="tx1"/>
                  </w14:solidFill>
                </w14:textFill>
              </w:rPr>
              <w:t>）：</w:t>
            </w:r>
          </w:p>
          <w:p>
            <w:pPr>
              <w:spacing w:before="156" w:beforeLines="50" w:after="156" w:afterLines="50"/>
              <w:rPr>
                <w:rFonts w:asciiTheme="minorEastAsia" w:hAnsiTheme="minorEastAsia" w:eastAsiaTheme="minorEastAsia"/>
                <w:color w:val="000000" w:themeColor="text1"/>
                <w:szCs w:val="21"/>
                <w14:textFill>
                  <w14:solidFill>
                    <w14:schemeClr w14:val="tx1"/>
                  </w14:solidFill>
                </w14:textFill>
              </w:rPr>
            </w:pPr>
            <w:bookmarkStart w:id="14" w:name="_GoBack"/>
            <w:r>
              <w:drawing>
                <wp:inline distT="0" distB="0" distL="0" distR="0">
                  <wp:extent cx="2933700" cy="2382520"/>
                  <wp:effectExtent l="0" t="0" r="0" b="508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3"/>
                          <a:stretch>
                            <a:fillRect/>
                          </a:stretch>
                        </pic:blipFill>
                        <pic:spPr>
                          <a:xfrm>
                            <a:off x="0" y="0"/>
                            <a:ext cx="2942559" cy="2389738"/>
                          </a:xfrm>
                          <a:prstGeom prst="rect">
                            <a:avLst/>
                          </a:prstGeom>
                        </pic:spPr>
                      </pic:pic>
                    </a:graphicData>
                  </a:graphic>
                </wp:inline>
              </w:drawing>
            </w:r>
            <w:bookmarkEnd w:id="14"/>
            <w:r>
              <w:drawing>
                <wp:inline distT="0" distB="0" distL="0" distR="0">
                  <wp:extent cx="3434715" cy="226822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4"/>
                          <a:stretch>
                            <a:fillRect/>
                          </a:stretch>
                        </pic:blipFill>
                        <pic:spPr>
                          <a:xfrm>
                            <a:off x="0" y="0"/>
                            <a:ext cx="3453659" cy="2280684"/>
                          </a:xfrm>
                          <a:prstGeom prst="rect">
                            <a:avLst/>
                          </a:prstGeom>
                        </pic:spPr>
                      </pic:pic>
                    </a:graphicData>
                  </a:graphic>
                </wp:inline>
              </w:drawing>
            </w:r>
          </w:p>
          <w:p>
            <w:pPr>
              <w:spacing w:before="156" w:beforeLines="50" w:after="156" w:afterLines="50"/>
              <w:ind w:firstLine="210" w:firstLineChars="100"/>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上述清单中</w:t>
            </w:r>
            <w:bookmarkStart w:id="12" w:name="_Hlk107329032"/>
            <w:r>
              <w:rPr>
                <w:rFonts w:hint="eastAsia" w:asciiTheme="minorEastAsia" w:hAnsiTheme="minorEastAsia" w:eastAsiaTheme="minorEastAsia"/>
                <w:color w:val="000000" w:themeColor="text1"/>
                <w:szCs w:val="21"/>
                <w14:textFill>
                  <w14:solidFill>
                    <w14:schemeClr w14:val="tx1"/>
                  </w14:solidFill>
                </w14:textFill>
              </w:rPr>
              <w:t>共识别了</w:t>
            </w:r>
            <w:r>
              <w:rPr>
                <w:rFonts w:asciiTheme="minorEastAsia" w:hAnsiTheme="minorEastAsia" w:eastAsiaTheme="minorEastAsia"/>
                <w:color w:val="000000" w:themeColor="text1"/>
                <w:szCs w:val="21"/>
                <w14:textFill>
                  <w14:solidFill>
                    <w14:schemeClr w14:val="tx1"/>
                  </w14:solidFill>
                </w14:textFill>
              </w:rPr>
              <w:t>57</w:t>
            </w:r>
            <w:r>
              <w:rPr>
                <w:rFonts w:hint="eastAsia" w:asciiTheme="minorEastAsia" w:hAnsiTheme="minorEastAsia" w:eastAsiaTheme="minorEastAsia"/>
                <w:color w:val="000000" w:themeColor="text1"/>
                <w:szCs w:val="21"/>
                <w14:textFill>
                  <w14:solidFill>
                    <w14:schemeClr w14:val="tx1"/>
                  </w14:solidFill>
                </w14:textFill>
              </w:rPr>
              <w:t>个法律法规及其他要求。</w:t>
            </w:r>
            <w:bookmarkEnd w:id="12"/>
          </w:p>
          <w:p>
            <w:pPr>
              <w:spacing w:before="156" w:beforeLines="50" w:after="156" w:afterLines="50"/>
              <w:ind w:firstLine="210" w:firstLineChars="10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3</w:t>
            </w:r>
            <w:r>
              <w:rPr>
                <w:rFonts w:hint="eastAsia" w:asciiTheme="minorEastAsia" w:hAnsiTheme="minorEastAsia" w:eastAsiaTheme="minorEastAsia"/>
                <w:color w:val="000000" w:themeColor="text1"/>
                <w:szCs w:val="21"/>
                <w14:textFill>
                  <w14:solidFill>
                    <w14:schemeClr w14:val="tx1"/>
                  </w14:solidFill>
                </w14:textFill>
              </w:rPr>
              <w:t>、提供有公司《能源管理体系合规性评价报告》：</w:t>
            </w:r>
          </w:p>
          <w:p>
            <w:pPr>
              <w:pStyle w:val="26"/>
              <w:numPr>
                <w:ilvl w:val="0"/>
                <w:numId w:val="4"/>
              </w:numPr>
              <w:spacing w:before="156" w:beforeLines="50" w:after="156" w:afterLines="50"/>
              <w:ind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评价目的：通过对能源适用法律法规和其他要求的评价，为公司能源管理的持续改进提供依据，切实履行公司遵循法律法规及其他要求的承诺。</w:t>
            </w:r>
          </w:p>
          <w:p>
            <w:pPr>
              <w:pStyle w:val="26"/>
              <w:numPr>
                <w:ilvl w:val="0"/>
                <w:numId w:val="4"/>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评价范围：本公司体系覆盖范围内公司等涉及的能源法律法规、相关标准和其他要求。</w:t>
            </w:r>
          </w:p>
          <w:p>
            <w:pPr>
              <w:pStyle w:val="26"/>
              <w:numPr>
                <w:ilvl w:val="0"/>
                <w:numId w:val="4"/>
              </w:numPr>
              <w:spacing w:before="156" w:beforeLines="50" w:after="156" w:afterLines="50"/>
              <w:ind w:firstLineChars="0"/>
              <w:rPr>
                <w:rFonts w:asciiTheme="minorEastAsia" w:hAnsiTheme="minorEastAsia" w:eastAsiaTheme="minorEastAsia"/>
                <w:szCs w:val="21"/>
              </w:rPr>
            </w:pPr>
            <w:r>
              <w:rPr>
                <w:rFonts w:hint="eastAsia" w:asciiTheme="minorEastAsia" w:hAnsiTheme="minorEastAsia" w:eastAsiaTheme="minorEastAsia"/>
                <w:szCs w:val="21"/>
              </w:rPr>
              <w:t>评价依据：ISO 50001：2018、RB/T119-2015标准；公司能源管理体系文件；适用的法律法规和其他要求。</w:t>
            </w:r>
          </w:p>
          <w:p>
            <w:pPr>
              <w:pStyle w:val="26"/>
              <w:numPr>
                <w:ilvl w:val="0"/>
                <w:numId w:val="4"/>
              </w:numPr>
              <w:spacing w:before="156" w:beforeLines="50" w:after="156" w:afterLines="50"/>
              <w:ind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评审时间、地点：2</w:t>
            </w:r>
            <w:r>
              <w:rPr>
                <w:rFonts w:asciiTheme="minorEastAsia" w:hAnsiTheme="minorEastAsia" w:eastAsiaTheme="minorEastAsia"/>
                <w:color w:val="000000" w:themeColor="text1"/>
                <w:szCs w:val="21"/>
                <w14:textFill>
                  <w14:solidFill>
                    <w14:schemeClr w14:val="tx1"/>
                  </w14:solidFill>
                </w14:textFill>
              </w:rPr>
              <w:t>021-12-22</w:t>
            </w:r>
            <w:r>
              <w:rPr>
                <w:rFonts w:hint="eastAsia" w:asciiTheme="minorEastAsia" w:hAnsiTheme="minorEastAsia" w:eastAsiaTheme="minorEastAsia"/>
                <w:color w:val="000000" w:themeColor="text1"/>
                <w:szCs w:val="21"/>
                <w14:textFill>
                  <w14:solidFill>
                    <w14:schemeClr w14:val="tx1"/>
                  </w14:solidFill>
                </w14:textFill>
              </w:rPr>
              <w:t>；办公楼会议室</w:t>
            </w:r>
          </w:p>
          <w:p>
            <w:pPr>
              <w:pStyle w:val="26"/>
              <w:numPr>
                <w:ilvl w:val="0"/>
                <w:numId w:val="4"/>
              </w:numPr>
              <w:spacing w:before="156" w:beforeLines="50" w:after="156" w:afterLines="50"/>
              <w:ind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参加人员：公司总经理、各相关部门领导。</w:t>
            </w:r>
          </w:p>
          <w:p>
            <w:pPr>
              <w:pStyle w:val="26"/>
              <w:numPr>
                <w:ilvl w:val="0"/>
                <w:numId w:val="4"/>
              </w:numPr>
              <w:spacing w:before="156" w:beforeLines="50" w:after="156" w:afterLines="50"/>
              <w:ind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评价过程综述。从电耗控制、水耗控制、工业气体控制、重点耗能设备管理、供用能应急管理等方面进行了阐述。</w:t>
            </w:r>
          </w:p>
          <w:p>
            <w:pPr>
              <w:pStyle w:val="26"/>
              <w:numPr>
                <w:ilvl w:val="0"/>
                <w:numId w:val="4"/>
              </w:numPr>
              <w:spacing w:before="156" w:beforeLines="50" w:after="156" w:afterLines="50"/>
              <w:ind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评价结论：公司能够认真贯彻执行法律法规及其他要求的规定，严格遵守相关制度和程序，没有发生违背能源管理体系运行的情况，未发生过能源事故和重大设备事故，未有其他部门及个人投诉。也未有浪费能源等偏离能源管理体系的行为。本公司在相关能源法律法规及其他要求的指导下，已逐步形成了一套自我改进、自我完善的策划、运行、监督、改进机制。</w:t>
            </w:r>
          </w:p>
        </w:tc>
        <w:tc>
          <w:tcPr>
            <w:tcW w:w="1208" w:type="dxa"/>
          </w:tcPr>
          <w:p>
            <w:pPr>
              <w:jc w:val="both"/>
              <w:rPr>
                <w:rFonts w:hint="eastAsia" w:asciiTheme="minorEastAsia" w:hAnsiTheme="minorEastAsia" w:eastAsiaTheme="minorEastAsia"/>
                <w:b/>
                <w:bCs/>
                <w:color w:val="000000" w:themeColor="text1"/>
                <w:sz w:val="24"/>
                <w:szCs w:val="24"/>
                <w:lang w:val="en-US" w:eastAsia="zh-CN"/>
                <w14:textFill>
                  <w14:solidFill>
                    <w14:schemeClr w14:val="tx1"/>
                  </w14:solidFill>
                </w14:textFill>
              </w:rPr>
            </w:pPr>
            <w:r>
              <w:rPr>
                <w:rFonts w:hint="eastAsia" w:cs="Times New Roman" w:asciiTheme="minorEastAsia" w:hAnsiTheme="minorEastAsia" w:eastAsiaTheme="minorEastAsia"/>
                <w:color w:val="000000" w:themeColor="text1"/>
                <w:szCs w:val="21"/>
                <w:lang w:val="en-US" w:eastAsia="zh-CN"/>
                <w14:textFill>
                  <w14:solidFill>
                    <w14:schemeClr w14:val="tx1"/>
                  </w14:solidFill>
                </w14:textFill>
              </w:rPr>
              <w:t>观察项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color w:val="000000" w:themeColor="text1"/>
                <w:szCs w:val="22"/>
                <w14:textFill>
                  <w14:solidFill>
                    <w14:schemeClr w14:val="tx1"/>
                  </w14:solidFill>
                </w14:textFill>
              </w:rPr>
            </w:pPr>
            <w:r>
              <w:rPr>
                <w:rFonts w:asciiTheme="minorEastAsia" w:hAnsiTheme="minorEastAsia" w:eastAsiaTheme="minorEastAsia"/>
                <w:color w:val="000000" w:themeColor="text1"/>
                <w:szCs w:val="22"/>
                <w14:textFill>
                  <w14:solidFill>
                    <w14:schemeClr w14:val="tx1"/>
                  </w14:solidFill>
                </w14:textFill>
              </w:rPr>
              <w:t>7.</w:t>
            </w:r>
            <w:r>
              <w:rPr>
                <w:rFonts w:hint="eastAsia" w:asciiTheme="minorEastAsia" w:hAnsiTheme="minorEastAsia" w:eastAsiaTheme="minorEastAsia"/>
                <w:color w:val="000000" w:themeColor="text1"/>
                <w:szCs w:val="22"/>
                <w14:textFill>
                  <w14:solidFill>
                    <w14:schemeClr w14:val="tx1"/>
                  </w14:solidFill>
                </w14:textFill>
              </w:rPr>
              <w:t>内部审核</w:t>
            </w:r>
          </w:p>
        </w:tc>
        <w:tc>
          <w:tcPr>
            <w:tcW w:w="956" w:type="dxa"/>
          </w:tcPr>
          <w:p>
            <w:pPr>
              <w:pStyle w:val="7"/>
              <w:ind w:left="0" w:leftChars="0" w:firstLine="0"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9.2</w:t>
            </w:r>
          </w:p>
        </w:tc>
        <w:tc>
          <w:tcPr>
            <w:tcW w:w="10324" w:type="dxa"/>
          </w:tcPr>
          <w:p>
            <w:pPr>
              <w:pStyle w:val="3"/>
              <w:keepNext w:val="0"/>
              <w:keepLines w:val="0"/>
              <w:pageBreakBefore w:val="0"/>
              <w:widowControl w:val="0"/>
              <w:kinsoku/>
              <w:wordWrap/>
              <w:overflowPunct/>
              <w:topLinePunct w:val="0"/>
              <w:autoSpaceDE w:val="0"/>
              <w:autoSpaceDN w:val="0"/>
              <w:bidi w:val="0"/>
              <w:adjustRightInd/>
              <w:snapToGrid/>
              <w:spacing w:before="156" w:beforeLines="50"/>
              <w:textAlignment w:val="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1．公司建立有《内部审核程序》（WHJX/NY CX-20-2021），2021-6-10审后发布实施，符合标准要求与企业实际。</w:t>
            </w:r>
          </w:p>
          <w:p>
            <w:pPr>
              <w:pStyle w:val="3"/>
              <w:keepNext w:val="0"/>
              <w:keepLines w:val="0"/>
              <w:pageBreakBefore w:val="0"/>
              <w:widowControl w:val="0"/>
              <w:kinsoku/>
              <w:wordWrap/>
              <w:overflowPunct/>
              <w:topLinePunct w:val="0"/>
              <w:autoSpaceDE w:val="0"/>
              <w:autoSpaceDN w:val="0"/>
              <w:bidi w:val="0"/>
              <w:adjustRightInd/>
              <w:snapToGrid/>
              <w:spacing w:before="156" w:beforeLines="50"/>
              <w:textAlignment w:val="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2．总经办提供有2022年“内部审核计划”（2022-1-18审批），公司拟于2022年1月进行一次能源管理体系的内审。</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审核目的：审核公司在运行能源管理体系过程中是否存在问题有无改进的机会，确定能源管理体系的符合性和有效性。</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审核对象：总经理、管代、总经办、生产部、技术部、质保部、财务部。</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审核依据：ISO50001:2018、能源管理手册、程序文件、管理文件、法律法规及其他要求。</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1050" w:firstLineChars="500"/>
              <w:textAlignment w:val="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依据中缺少“</w:t>
            </w:r>
            <w:bookmarkStart w:id="13" w:name="_Hlk107383738"/>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RB/T 119-2015 《能源管理体系  机械制造企业认证要求》”</w:t>
            </w:r>
            <w:bookmarkEnd w:id="13"/>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。——已与企业沟通</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审核时间：2022年1月月20日-21日</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审核组成员：组长：郭嵘，审核组成员：赵阳斌。两位内审员均经过内审员培训。</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3．提供有内审首末次会议签到表：</w:t>
            </w:r>
          </w:p>
          <w:p>
            <w:pPr>
              <w:pStyle w:val="3"/>
              <w:keepNext w:val="0"/>
              <w:keepLines w:val="0"/>
              <w:pageBreakBefore w:val="0"/>
              <w:widowControl w:val="0"/>
              <w:kinsoku/>
              <w:wordWrap/>
              <w:overflowPunct/>
              <w:topLinePunct w:val="0"/>
              <w:autoSpaceDE w:val="0"/>
              <w:autoSpaceDN w:val="0"/>
              <w:bidi w:val="0"/>
              <w:adjustRightInd/>
              <w:snapToGrid/>
              <w:spacing w:before="156" w:beforeLines="50"/>
              <w:jc w:val="left"/>
              <w:textAlignment w:val="auto"/>
              <w:rPr>
                <w:rFonts w:asciiTheme="minorEastAsia" w:hAnsiTheme="minorEastAsia" w:eastAsiaTheme="minorEastAsia"/>
                <w:color w:val="000000" w:themeColor="text1"/>
                <w:sz w:val="21"/>
                <w:szCs w:val="21"/>
                <w14:textFill>
                  <w14:solidFill>
                    <w14:schemeClr w14:val="tx1"/>
                  </w14:solidFill>
                </w14:textFill>
              </w:rPr>
            </w:pPr>
            <w:r>
              <w:drawing>
                <wp:inline distT="0" distB="0" distL="0" distR="0">
                  <wp:extent cx="2873375" cy="1332865"/>
                  <wp:effectExtent l="0" t="0" r="9525" b="6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5"/>
                          <a:stretch>
                            <a:fillRect/>
                          </a:stretch>
                        </pic:blipFill>
                        <pic:spPr>
                          <a:xfrm>
                            <a:off x="0" y="0"/>
                            <a:ext cx="2880927" cy="1332865"/>
                          </a:xfrm>
                          <a:prstGeom prst="rect">
                            <a:avLst/>
                          </a:prstGeom>
                        </pic:spPr>
                      </pic:pic>
                    </a:graphicData>
                  </a:graphic>
                </wp:inline>
              </w:drawing>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 </w:t>
            </w:r>
            <w:r>
              <w:drawing>
                <wp:inline distT="0" distB="0" distL="0" distR="0">
                  <wp:extent cx="2904490" cy="1363345"/>
                  <wp:effectExtent l="0" t="0" r="381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6"/>
                          <a:stretch>
                            <a:fillRect/>
                          </a:stretch>
                        </pic:blipFill>
                        <pic:spPr>
                          <a:xfrm>
                            <a:off x="0" y="0"/>
                            <a:ext cx="2910042" cy="1363345"/>
                          </a:xfrm>
                          <a:prstGeom prst="rect">
                            <a:avLst/>
                          </a:prstGeom>
                        </pic:spPr>
                      </pic:pic>
                    </a:graphicData>
                  </a:graphic>
                </wp:inline>
              </w:drawing>
            </w:r>
          </w:p>
          <w:p>
            <w:pPr>
              <w:pStyle w:val="3"/>
              <w:keepNext w:val="0"/>
              <w:keepLines w:val="0"/>
              <w:pageBreakBefore w:val="0"/>
              <w:widowControl w:val="0"/>
              <w:kinsoku/>
              <w:wordWrap/>
              <w:overflowPunct/>
              <w:topLinePunct w:val="0"/>
              <w:autoSpaceDE w:val="0"/>
              <w:autoSpaceDN w:val="0"/>
              <w:bidi w:val="0"/>
              <w:adjustRightInd/>
              <w:snapToGrid/>
              <w:spacing w:before="156" w:beforeLines="50"/>
              <w:ind w:left="210"/>
              <w:textAlignment w:val="auto"/>
              <w:rPr>
                <w:rFonts w:asciiTheme="minorEastAsia" w:hAnsiTheme="minorEastAsia" w:eastAsiaTheme="minorEastAsia"/>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4．</w:t>
            </w:r>
            <w:r>
              <w:rPr>
                <w:rFonts w:hint="eastAsia" w:asciiTheme="minorEastAsia" w:hAnsiTheme="minorEastAsia" w:eastAsiaTheme="minorEastAsia"/>
                <w:sz w:val="21"/>
                <w:szCs w:val="21"/>
              </w:rPr>
              <w:t>审核给生产部提出了1个不符合报告。事实描述：现场查看能源收集记录计划编制日期停留在2021年11月未见更新。不符合GB/T23331-2020标准6.6没有按照规定的“时间间隔评审能源数据收集计划，适当时更新”。</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left="210" w:firstLine="210" w:firstLineChars="1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原因分析：没有理解标准6.6条款要求。</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left="210" w:firstLine="210" w:firstLineChars="1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纠正与纠正措施：1）组织生产部门参加培训，更新能源收集计划，规定落实验收人员；2）生产部人员认真学习标准6.6条款要求，加深对条款内容的理解。保留培训记录。</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left="210" w:firstLine="210" w:firstLineChars="1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纠正措施评价：纠正及纠正措施有效。</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left="210"/>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5．</w:t>
            </w:r>
            <w:r>
              <w:rPr>
                <w:rFonts w:asciiTheme="minorEastAsia" w:hAnsiTheme="minorEastAsia" w:eastAsiaTheme="minorEastAsia"/>
                <w:color w:val="000000" w:themeColor="text1"/>
                <w:sz w:val="21"/>
                <w:szCs w:val="21"/>
                <w14:textFill>
                  <w14:solidFill>
                    <w14:schemeClr w14:val="tx1"/>
                  </w14:solidFill>
                </w14:textFill>
              </w:rPr>
              <w:t>提供有“内审报告”，有审核过程综述；对体系的评价（包括：文件化体系与标准的符合程度、实施效果、发现和改进体系运行的机制及措施等）：</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2022年1月20日-21日，公司组织开展了能源管理体系内部审核，由韦婷莛任内审组组长，张明号为内审组员，整个审核过程，内审员通过抽样的方法分别对领导层进行了访谈，对体系范围内各部门分别进行了文审、人员访谈及现场查看。整体来看，能源管理体系内各部门均能在职责范围内很好的完成与本门相关的能源管理活动，此次审核周期内，由办公室和制造部依据能源管理手册、程序文件的要求组织各重点用能单位（区域）开展了初始能源评审，制定了能源基准，识别了能源绩效参数，制定了公司2021年目标及能源指标，各部门也依据标准、能源管理手册、程序文件等的要求，有序开展能源管理活动，对能源评审识别的主要用能设备制定了操作规程，严格按照操作规程的要求对主要用能设备进行管控，并保存了相应备的运行记录、巡检记录及维保记录等。</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2021年公司内部审核共</w:t>
            </w:r>
            <w:r>
              <w:rPr>
                <w:rFonts w:hint="eastAsia" w:asciiTheme="minorEastAsia" w:hAnsiTheme="minorEastAsia" w:eastAsiaTheme="minorEastAsia"/>
                <w:sz w:val="21"/>
                <w:szCs w:val="21"/>
              </w:rPr>
              <w:t>开具1项不符合，对</w:t>
            </w:r>
            <w:r>
              <w:rPr>
                <w:rFonts w:hint="eastAsia" w:asciiTheme="minorEastAsia" w:hAnsiTheme="minorEastAsia" w:eastAsiaTheme="minorEastAsia"/>
                <w:color w:val="000000" w:themeColor="text1"/>
                <w:sz w:val="21"/>
                <w:szCs w:val="21"/>
                <w14:textFill>
                  <w14:solidFill>
                    <w14:schemeClr w14:val="tx1"/>
                  </w14:solidFill>
                </w14:textFill>
              </w:rPr>
              <w:t>体系整体运行的有效性影响较轻。</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2）就已审条款结果看，公司能源管理体系符合标准及相关文件的要求，能源管理体系得到了有效实施。审</w:t>
            </w:r>
            <w:r>
              <w:rPr>
                <w:rFonts w:hint="eastAsia" w:asciiTheme="minorEastAsia" w:hAnsiTheme="minorEastAsia" w:eastAsiaTheme="minorEastAsia"/>
                <w:color w:val="000000" w:themeColor="text1"/>
                <w:sz w:val="21"/>
                <w:szCs w:val="21"/>
                <w:u w:val="dotted"/>
                <w14:textFill>
                  <w14:solidFill>
                    <w14:schemeClr w14:val="tx1"/>
                  </w14:solidFill>
                </w14:textFill>
              </w:rPr>
              <w:t>审核</w:t>
            </w:r>
            <w:r>
              <w:rPr>
                <w:rFonts w:hint="eastAsia" w:asciiTheme="minorEastAsia" w:hAnsiTheme="minorEastAsia" w:eastAsiaTheme="minorEastAsia"/>
                <w:sz w:val="21"/>
                <w:szCs w:val="21"/>
                <w:u w:val="dotted"/>
              </w:rPr>
              <w:t>发现的问题对体系整体运行的有效性影响较轻，通过现场交流的方式得到解决。</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0" w:firstLineChars="100"/>
              <w:textAlignment w:val="auto"/>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结论：</w:t>
            </w:r>
            <w:r>
              <w:rPr>
                <w:rFonts w:hint="eastAsia" w:asciiTheme="minorEastAsia" w:hAnsiTheme="minorEastAsia" w:eastAsiaTheme="minorEastAsia"/>
                <w:color w:val="000000" w:themeColor="text1"/>
                <w:sz w:val="21"/>
                <w:szCs w:val="21"/>
                <w14:textFill>
                  <w14:solidFill>
                    <w14:schemeClr w14:val="tx1"/>
                  </w14:solidFill>
                </w14:textFill>
              </w:rPr>
              <w:t>公司能源管理体系运行符合标准要求，适宜公司现状，能源管理体系运行有效，ISO50001:2018标准相关要求在公司得到了有效的控制。</w:t>
            </w:r>
          </w:p>
          <w:p>
            <w:pPr>
              <w:pStyle w:val="3"/>
              <w:keepNext w:val="0"/>
              <w:keepLines w:val="0"/>
              <w:pageBreakBefore w:val="0"/>
              <w:widowControl w:val="0"/>
              <w:kinsoku/>
              <w:wordWrap/>
              <w:overflowPunct/>
              <w:topLinePunct w:val="0"/>
              <w:autoSpaceDE w:val="0"/>
              <w:autoSpaceDN w:val="0"/>
              <w:bidi w:val="0"/>
              <w:adjustRightInd/>
              <w:snapToGrid/>
              <w:spacing w:before="156" w:beforeLines="50"/>
              <w:ind w:firstLine="211" w:firstLineChars="100"/>
              <w:textAlignment w:val="auto"/>
              <w:rPr>
                <w:rFonts w:asciiTheme="minorEastAsia" w:hAnsiTheme="minorEastAsia" w:eastAsiaTheme="minorEastAsia"/>
                <w:b/>
                <w:bCs/>
                <w:color w:val="000000" w:themeColor="text1"/>
                <w:sz w:val="21"/>
                <w:szCs w:val="21"/>
                <w14:textFill>
                  <w14:solidFill>
                    <w14:schemeClr w14:val="tx1"/>
                  </w14:solidFill>
                </w14:textFill>
              </w:rPr>
            </w:pPr>
            <w:r>
              <w:rPr>
                <w:rFonts w:hint="eastAsia" w:asciiTheme="minorEastAsia" w:hAnsiTheme="minorEastAsia" w:eastAsiaTheme="minorEastAsia"/>
                <w:b/>
                <w:bCs/>
                <w:color w:val="000000" w:themeColor="text1"/>
                <w:sz w:val="21"/>
                <w:szCs w:val="21"/>
                <w14:textFill>
                  <w14:solidFill>
                    <w14:schemeClr w14:val="tx1"/>
                  </w14:solidFill>
                </w14:textFill>
              </w:rPr>
              <w:t>内部审核活动基本符合标准要求。</w:t>
            </w:r>
          </w:p>
        </w:tc>
        <w:tc>
          <w:tcPr>
            <w:tcW w:w="1208" w:type="dxa"/>
          </w:tcPr>
          <w:p>
            <w:pPr>
              <w:pStyle w:val="7"/>
              <w:ind w:left="0" w:leftChars="0" w:firstLine="0" w:firstLineChars="0"/>
              <w:jc w:val="center"/>
              <w:rPr>
                <w:rFonts w:asciiTheme="minorEastAsia" w:hAnsiTheme="minorEastAsia" w:eastAsiaTheme="minorEastAsia"/>
                <w:b/>
                <w:bCs/>
                <w:color w:val="000000" w:themeColor="text1"/>
                <w:sz w:val="24"/>
                <w:szCs w:val="24"/>
                <w14:textFill>
                  <w14:solidFill>
                    <w14:schemeClr w14:val="tx1"/>
                  </w14:solidFill>
                </w14:textFill>
              </w:rPr>
            </w:pPr>
          </w:p>
          <w:p>
            <w:pPr>
              <w:pStyle w:val="7"/>
              <w:ind w:left="0" w:leftChars="0" w:firstLine="0" w:firstLineChars="0"/>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both"/>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p>
          <w:p>
            <w:pPr>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w:t>
            </w:r>
            <w:r>
              <w:rPr>
                <w:rFonts w:hint="eastAsia" w:asciiTheme="minorEastAsia" w:hAnsiTheme="minorEastAsia" w:eastAsiaTheme="minorEastAsia"/>
                <w:color w:val="000000" w:themeColor="text1"/>
                <w14:textFill>
                  <w14:solidFill>
                    <w14:schemeClr w14:val="tx1"/>
                  </w14:solidFill>
                </w14:textFill>
              </w:rPr>
              <w:t>不符合与纠正措施</w:t>
            </w:r>
          </w:p>
        </w:tc>
        <w:tc>
          <w:tcPr>
            <w:tcW w:w="956" w:type="dxa"/>
          </w:tcPr>
          <w:p>
            <w:pPr>
              <w:pStyle w:val="7"/>
              <w:ind w:left="0" w:leftChars="0" w:firstLine="0"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10.1</w:t>
            </w:r>
          </w:p>
        </w:tc>
        <w:tc>
          <w:tcPr>
            <w:tcW w:w="10324" w:type="dxa"/>
          </w:tcPr>
          <w:p>
            <w:pPr>
              <w:pStyle w:val="3"/>
              <w:autoSpaceDE w:val="0"/>
              <w:autoSpaceDN w:val="0"/>
              <w:spacing w:before="156" w:beforeLines="50" w:after="156" w:afterLines="50"/>
              <w:ind w:firstLine="210" w:firstLineChars="1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1、公司建立有《不符合及纠正措施控制程序》（WHJX/NY CX-2</w:t>
            </w: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），2021-</w:t>
            </w:r>
            <w:r>
              <w:rPr>
                <w:rFonts w:asciiTheme="minorEastAsia" w:hAnsiTheme="minorEastAsia" w:eastAsiaTheme="minorEastAsia"/>
                <w:color w:val="000000" w:themeColor="text1"/>
                <w:sz w:val="21"/>
                <w:szCs w:val="21"/>
                <w14:textFill>
                  <w14:solidFill>
                    <w14:schemeClr w14:val="tx1"/>
                  </w14:solidFill>
                </w14:textFill>
              </w:rPr>
              <w:t>6</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0</w:t>
            </w:r>
            <w:r>
              <w:rPr>
                <w:rFonts w:hint="eastAsia" w:asciiTheme="minorEastAsia" w:hAnsiTheme="minorEastAsia" w:eastAsiaTheme="minorEastAsia"/>
                <w:color w:val="000000" w:themeColor="text1"/>
                <w:sz w:val="21"/>
                <w:szCs w:val="21"/>
                <w14:textFill>
                  <w14:solidFill>
                    <w14:schemeClr w14:val="tx1"/>
                  </w14:solidFill>
                </w14:textFill>
              </w:rPr>
              <w:t>审核后发布实施，符合标准要求与企业实际。</w:t>
            </w:r>
          </w:p>
          <w:p>
            <w:pPr>
              <w:pStyle w:val="3"/>
              <w:autoSpaceDE w:val="0"/>
              <w:autoSpaceDN w:val="0"/>
              <w:spacing w:before="156" w:beforeLines="50" w:after="156" w:afterLines="50"/>
              <w:ind w:firstLine="210" w:firstLineChars="1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2、不符合及纠正措施。对2</w:t>
            </w:r>
            <w:r>
              <w:rPr>
                <w:rFonts w:asciiTheme="minorEastAsia" w:hAnsiTheme="minorEastAsia" w:eastAsiaTheme="minorEastAsia"/>
                <w:color w:val="000000" w:themeColor="text1"/>
                <w:sz w:val="21"/>
                <w:szCs w:val="21"/>
                <w14:textFill>
                  <w14:solidFill>
                    <w14:schemeClr w14:val="tx1"/>
                  </w14:solidFill>
                </w14:textFill>
              </w:rPr>
              <w:t>021</w:t>
            </w:r>
            <w:r>
              <w:rPr>
                <w:rFonts w:hint="eastAsia" w:asciiTheme="minorEastAsia" w:hAnsiTheme="minorEastAsia" w:eastAsiaTheme="minorEastAsia"/>
                <w:color w:val="000000" w:themeColor="text1"/>
                <w:sz w:val="21"/>
                <w:szCs w:val="21"/>
                <w14:textFill>
                  <w14:solidFill>
                    <w14:schemeClr w14:val="tx1"/>
                  </w14:solidFill>
                </w14:textFill>
              </w:rPr>
              <w:t>年1月2</w:t>
            </w:r>
            <w:r>
              <w:rPr>
                <w:rFonts w:asciiTheme="minorEastAsia" w:hAnsiTheme="minorEastAsia" w:eastAsiaTheme="minorEastAsia"/>
                <w:color w:val="000000" w:themeColor="text1"/>
                <w:sz w:val="21"/>
                <w:szCs w:val="21"/>
                <w14:textFill>
                  <w14:solidFill>
                    <w14:schemeClr w14:val="tx1"/>
                  </w14:solidFill>
                </w14:textFill>
              </w:rPr>
              <w:t>0</w:t>
            </w:r>
            <w:r>
              <w:rPr>
                <w:rFonts w:hint="eastAsia" w:asciiTheme="minorEastAsia" w:hAnsiTheme="minorEastAsia" w:eastAsiaTheme="minorEastAsia"/>
                <w:color w:val="000000" w:themeColor="text1"/>
                <w:sz w:val="21"/>
                <w:szCs w:val="21"/>
                <w14:textFill>
                  <w14:solidFill>
                    <w14:schemeClr w14:val="tx1"/>
                  </w14:solidFill>
                </w14:textFill>
              </w:rPr>
              <w:t>日内审发现的生产部1个不符合问题，开具不符合报告单，及时督促纠正，确定了2项纠正措施“1）组织生产部门参加培训，更新能源收集计划，规定落实验收人员；2）生产部人员认真学习标准6.6条款要求，加深对条款内容的理解并记录”，并组织了闭环验证。</w:t>
            </w:r>
          </w:p>
          <w:p>
            <w:pPr>
              <w:pStyle w:val="3"/>
              <w:autoSpaceDE w:val="0"/>
              <w:autoSpaceDN w:val="0"/>
              <w:spacing w:before="156" w:beforeLines="50" w:after="156" w:afterLines="50"/>
              <w:ind w:firstLine="210" w:firstLineChars="100"/>
              <w:rPr>
                <w:rFonts w:asciiTheme="minorEastAsia" w:hAnsiTheme="minorEastAsia" w:eastAsiaTheme="minorEastAsia"/>
                <w:b/>
                <w:bCs/>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3、内审和管理评审过程中，总经办未发现不符合。</w:t>
            </w:r>
            <w:r>
              <w:rPr>
                <w:rFonts w:hint="eastAsia" w:asciiTheme="minorEastAsia" w:hAnsiTheme="minorEastAsia" w:eastAsiaTheme="minorEastAsia"/>
                <w:b/>
                <w:bCs/>
                <w:color w:val="000000" w:themeColor="text1"/>
                <w:sz w:val="21"/>
                <w:szCs w:val="21"/>
                <w14:textFill>
                  <w14:solidFill>
                    <w14:schemeClr w14:val="tx1"/>
                  </w14:solidFill>
                </w14:textFill>
              </w:rPr>
              <w:t>符合要求。</w:t>
            </w:r>
          </w:p>
        </w:tc>
        <w:tc>
          <w:tcPr>
            <w:tcW w:w="1208" w:type="dxa"/>
          </w:tcPr>
          <w:p>
            <w:pPr>
              <w:jc w:val="center"/>
              <w:rPr>
                <w:rFonts w:asciiTheme="minorEastAsia" w:hAnsiTheme="minorEastAsia" w:eastAsiaTheme="minorEastAsia"/>
                <w:b/>
                <w:bCs/>
                <w:color w:val="000000" w:themeColor="text1"/>
                <w:sz w:val="24"/>
                <w:szCs w:val="24"/>
                <w14:textFill>
                  <w14:solidFill>
                    <w14:schemeClr w14:val="tx1"/>
                  </w14:solidFill>
                </w14:textFill>
              </w:rPr>
            </w:pPr>
          </w:p>
          <w:p>
            <w:pPr>
              <w:pStyle w:val="7"/>
              <w:ind w:left="0" w:leftChars="0" w:firstLine="0" w:firstLineChars="0"/>
              <w:jc w:val="center"/>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Y</w:t>
            </w:r>
          </w:p>
          <w:p>
            <w:pPr>
              <w:jc w:val="center"/>
              <w:rPr>
                <w:rFonts w:asciiTheme="minorEastAsia" w:hAnsiTheme="minorEastAsia" w:eastAsiaTheme="minorEastAsia"/>
                <w:b/>
                <w:bCs/>
                <w:color w:val="000000" w:themeColor="text1"/>
                <w:sz w:val="24"/>
                <w:szCs w:val="24"/>
                <w14:textFill>
                  <w14:solidFill>
                    <w14:schemeClr w14:val="tx1"/>
                  </w14:solidFill>
                </w14:textFill>
              </w:rPr>
            </w:pPr>
          </w:p>
        </w:tc>
      </w:tr>
    </w:tbl>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说明：不符合标注N</w:t>
      </w:r>
    </w:p>
    <w:p>
      <w:pPr>
        <w:widowControl/>
        <w:jc w:val="left"/>
        <w:rPr>
          <w:sz w:val="18"/>
          <w:szCs w:val="18"/>
        </w:rPr>
      </w:pPr>
      <w:r>
        <w:rPr>
          <w:sz w:val="18"/>
          <w:szCs w:val="18"/>
        </w:rPr>
        <w:br w:type="page"/>
      </w:r>
    </w:p>
    <w:p>
      <w:pPr>
        <w:spacing w:line="480" w:lineRule="exact"/>
        <w:jc w:val="center"/>
        <w:outlineLvl w:val="0"/>
        <w:rPr>
          <w:rFonts w:ascii="隶书" w:hAnsi="宋体" w:eastAsia="隶书"/>
          <w:bCs/>
          <w:sz w:val="36"/>
          <w:szCs w:val="36"/>
        </w:rPr>
      </w:pPr>
      <w:r>
        <w:rPr>
          <w:rFonts w:hint="eastAsia" w:ascii="隶书" w:hAnsi="宋体" w:eastAsia="隶书"/>
          <w:bCs/>
          <w:sz w:val="36"/>
          <w:szCs w:val="36"/>
        </w:rPr>
        <w:t>管理体系审核记录表</w:t>
      </w:r>
    </w:p>
    <w:tbl>
      <w:tblPr>
        <w:tblStyle w:val="1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956"/>
        <w:gridCol w:w="1032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vAlign w:val="center"/>
          </w:tcPr>
          <w:p>
            <w:pPr>
              <w:spacing w:line="0" w:lineRule="atLeast"/>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过程与活动、</w:t>
            </w:r>
          </w:p>
          <w:p>
            <w:pPr>
              <w:spacing w:line="0" w:lineRule="atLeast"/>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抽样计划</w:t>
            </w:r>
          </w:p>
        </w:tc>
        <w:tc>
          <w:tcPr>
            <w:tcW w:w="956" w:type="dxa"/>
            <w:vMerge w:val="restart"/>
            <w:vAlign w:val="center"/>
          </w:tcPr>
          <w:p>
            <w:pPr>
              <w:spacing w:line="0" w:lineRule="atLeast"/>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涉及</w:t>
            </w:r>
          </w:p>
          <w:p>
            <w:pPr>
              <w:spacing w:line="0" w:lineRule="atLeast"/>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条款</w:t>
            </w:r>
          </w:p>
        </w:tc>
        <w:tc>
          <w:tcPr>
            <w:tcW w:w="10324" w:type="dxa"/>
            <w:vAlign w:val="center"/>
          </w:tcPr>
          <w:p>
            <w:pPr>
              <w:spacing w:line="360" w:lineRule="auto"/>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受审核部门：财务部    主管领导：毛慕华  陪同人员：郭嵘</w:t>
            </w:r>
          </w:p>
        </w:tc>
        <w:tc>
          <w:tcPr>
            <w:tcW w:w="1208" w:type="dxa"/>
            <w:vMerge w:val="restart"/>
            <w:vAlign w:val="center"/>
          </w:tcPr>
          <w:p>
            <w:pPr>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continue"/>
            <w:vAlign w:val="center"/>
          </w:tcPr>
          <w:p>
            <w:pPr>
              <w:spacing w:line="0" w:lineRule="atLeast"/>
              <w:jc w:val="left"/>
              <w:rPr>
                <w:rFonts w:ascii="宋体" w:hAnsi="宋体"/>
                <w:b/>
                <w:bCs/>
                <w:color w:val="000000" w:themeColor="text1"/>
                <w:sz w:val="24"/>
                <w:szCs w:val="24"/>
                <w14:textFill>
                  <w14:solidFill>
                    <w14:schemeClr w14:val="tx1"/>
                  </w14:solidFill>
                </w14:textFill>
              </w:rPr>
            </w:pPr>
          </w:p>
        </w:tc>
        <w:tc>
          <w:tcPr>
            <w:tcW w:w="956" w:type="dxa"/>
            <w:vMerge w:val="continue"/>
            <w:vAlign w:val="center"/>
          </w:tcPr>
          <w:p>
            <w:pPr>
              <w:spacing w:line="0" w:lineRule="atLeast"/>
              <w:jc w:val="left"/>
              <w:rPr>
                <w:rFonts w:ascii="宋体" w:hAnsi="宋体"/>
                <w:b/>
                <w:bCs/>
                <w:color w:val="000000" w:themeColor="text1"/>
                <w:sz w:val="24"/>
                <w:szCs w:val="24"/>
                <w14:textFill>
                  <w14:solidFill>
                    <w14:schemeClr w14:val="tx1"/>
                  </w14:solidFill>
                </w14:textFill>
              </w:rPr>
            </w:pPr>
          </w:p>
        </w:tc>
        <w:tc>
          <w:tcPr>
            <w:tcW w:w="10324" w:type="dxa"/>
            <w:vAlign w:val="center"/>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审核员：宋翠琳（远程审核工具采用微信、腾讯会议、电话、文件传输等）</w:t>
            </w:r>
          </w:p>
          <w:p>
            <w:pPr>
              <w:spacing w:line="360" w:lineRule="auto"/>
              <w:jc w:val="left"/>
              <w:rPr>
                <w:rFonts w:ascii="宋体" w:hAnsi="宋体"/>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审核时间：</w:t>
            </w:r>
            <w:r>
              <w:rPr>
                <w:rFonts w:asciiTheme="minorEastAsia" w:hAnsiTheme="minorEastAsia" w:eastAsiaTheme="minorEastAsia"/>
                <w:sz w:val="24"/>
                <w:szCs w:val="24"/>
              </w:rPr>
              <w:t>2022年6月29日13:00-16:00</w:t>
            </w:r>
          </w:p>
        </w:tc>
        <w:tc>
          <w:tcPr>
            <w:tcW w:w="1208" w:type="dxa"/>
            <w:vMerge w:val="continue"/>
          </w:tcPr>
          <w:p>
            <w:pPr>
              <w:jc w:val="center"/>
              <w:rPr>
                <w:rFonts w:ascii="宋体" w:hAnsi="宋体"/>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continue"/>
            <w:vAlign w:val="center"/>
          </w:tcPr>
          <w:p>
            <w:pPr>
              <w:spacing w:line="0" w:lineRule="atLeast"/>
              <w:jc w:val="left"/>
              <w:rPr>
                <w:rFonts w:ascii="宋体" w:hAnsi="宋体"/>
                <w:color w:val="000000" w:themeColor="text1"/>
                <w:szCs w:val="21"/>
                <w14:textFill>
                  <w14:solidFill>
                    <w14:schemeClr w14:val="tx1"/>
                  </w14:solidFill>
                </w14:textFill>
              </w:rPr>
            </w:pPr>
          </w:p>
        </w:tc>
        <w:tc>
          <w:tcPr>
            <w:tcW w:w="956" w:type="dxa"/>
            <w:vMerge w:val="continue"/>
            <w:vAlign w:val="center"/>
          </w:tcPr>
          <w:p>
            <w:pPr>
              <w:spacing w:line="0" w:lineRule="atLeast"/>
              <w:jc w:val="left"/>
              <w:rPr>
                <w:rFonts w:ascii="宋体" w:hAnsi="宋体"/>
                <w:color w:val="000000" w:themeColor="text1"/>
                <w:szCs w:val="21"/>
                <w14:textFill>
                  <w14:solidFill>
                    <w14:schemeClr w14:val="tx1"/>
                  </w14:solidFill>
                </w14:textFill>
              </w:rPr>
            </w:pPr>
          </w:p>
        </w:tc>
        <w:tc>
          <w:tcPr>
            <w:tcW w:w="10324" w:type="dxa"/>
            <w:vAlign w:val="center"/>
          </w:tcPr>
          <w:p>
            <w:pPr>
              <w:spacing w:line="360" w:lineRule="auto"/>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审核条款：EnMS:5.3/6.2/7.1</w:t>
            </w:r>
            <w:r>
              <w:rPr>
                <w:rFonts w:ascii="宋体" w:hAnsi="宋体"/>
                <w:color w:val="000000" w:themeColor="text1"/>
                <w:sz w:val="24"/>
                <w:szCs w:val="24"/>
                <w14:textFill>
                  <w14:solidFill>
                    <w14:schemeClr w14:val="tx1"/>
                  </w14:solidFill>
                </w14:textFill>
              </w:rPr>
              <w:t>/8.1</w:t>
            </w:r>
          </w:p>
        </w:tc>
        <w:tc>
          <w:tcPr>
            <w:tcW w:w="1208" w:type="dxa"/>
            <w:vMerge w:val="continue"/>
          </w:tcPr>
          <w:p>
            <w:pPr>
              <w:jc w:val="center"/>
              <w:rPr>
                <w:rFonts w:ascii="宋体" w:hAnsi="宋体"/>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1．组织的岗位、职责和权限</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2．目标能源指标完成情况</w:t>
            </w:r>
          </w:p>
        </w:tc>
        <w:tc>
          <w:tcPr>
            <w:tcW w:w="956" w:type="dxa"/>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6.2</w:t>
            </w:r>
          </w:p>
        </w:tc>
        <w:tc>
          <w:tcPr>
            <w:tcW w:w="10324" w:type="dxa"/>
          </w:tcPr>
          <w:p>
            <w:pPr>
              <w:spacing w:before="156" w:beforeLines="50"/>
              <w:ind w:firstLine="210" w:firstLineChars="1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．财务部机构设置：</w:t>
            </w:r>
          </w:p>
          <w:p>
            <w:pPr>
              <w:ind w:firstLine="420" w:firstLineChars="200"/>
              <w:rPr>
                <w:rFonts w:ascii="宋体" w:hAnsi="宋体"/>
              </w:rPr>
            </w:pPr>
            <w:r>
              <w:rPr>
                <w:rFonts w:hint="eastAsia" w:ascii="宋体" w:hAnsi="宋体"/>
              </w:rPr>
              <w:t>部门领导：</w:t>
            </w:r>
            <w:r>
              <w:rPr>
                <w:rFonts w:hint="eastAsia" w:ascii="宋体" w:hAnsi="宋体"/>
                <w:szCs w:val="21"/>
              </w:rPr>
              <w:t>毛慕华。部门</w:t>
            </w:r>
            <w:r>
              <w:rPr>
                <w:rFonts w:hint="eastAsia" w:ascii="宋体" w:hAnsi="宋体"/>
              </w:rPr>
              <w:t>共</w:t>
            </w:r>
            <w:r>
              <w:rPr>
                <w:rFonts w:ascii="宋体" w:hAnsi="宋体"/>
              </w:rPr>
              <w:t>3</w:t>
            </w:r>
            <w:r>
              <w:rPr>
                <w:rFonts w:hint="eastAsia" w:ascii="宋体" w:hAnsi="宋体"/>
              </w:rPr>
              <w:t>人，岗位设置：财务经理1人；现金岗位1人；总账岗位1人。</w:t>
            </w:r>
          </w:p>
          <w:p>
            <w:pPr>
              <w:ind w:firstLine="420" w:firstLineChars="200"/>
              <w:rPr>
                <w:rFonts w:ascii="宋体" w:hAnsi="宋体"/>
              </w:rPr>
            </w:pPr>
            <w:r>
              <w:rPr>
                <w:rFonts w:hint="eastAsia" w:ascii="宋体" w:hAnsi="宋体"/>
              </w:rPr>
              <w:t>部门负责人说明本部门的主要职责：</w:t>
            </w:r>
          </w:p>
          <w:p>
            <w:pPr>
              <w:pStyle w:val="26"/>
              <w:numPr>
                <w:ilvl w:val="0"/>
                <w:numId w:val="5"/>
              </w:numPr>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负责公司财务管理；</w:t>
            </w:r>
          </w:p>
          <w:p>
            <w:pPr>
              <w:pStyle w:val="26"/>
              <w:numPr>
                <w:ilvl w:val="0"/>
                <w:numId w:val="5"/>
              </w:numPr>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负责质量经济性分析；</w:t>
            </w:r>
          </w:p>
          <w:p>
            <w:pPr>
              <w:pStyle w:val="26"/>
              <w:numPr>
                <w:ilvl w:val="0"/>
                <w:numId w:val="5"/>
              </w:numPr>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向公司决策层提供准确的生产经营业绩和经济性分析及经营核算工作;</w:t>
            </w:r>
          </w:p>
          <w:p>
            <w:pPr>
              <w:pStyle w:val="26"/>
              <w:numPr>
                <w:ilvl w:val="0"/>
                <w:numId w:val="5"/>
              </w:numPr>
              <w:ind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负责仓库管理，及时盘点库存物资，降低库存资金，确保生产物资供应；</w:t>
            </w:r>
          </w:p>
          <w:p>
            <w:pPr>
              <w:numPr>
                <w:ilvl w:val="0"/>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合理利用财力资源，在环境、职业健康安全方面提供必需的资金支持；对能源管理相关的预算决算予以支持。</w:t>
            </w:r>
          </w:p>
          <w:p>
            <w:pPr>
              <w:spacing w:before="156" w:beforeLines="50"/>
              <w:ind w:firstLine="210" w:firstLineChars="1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．能源目标指标分解情况：</w:t>
            </w:r>
          </w:p>
          <w:p>
            <w:pPr>
              <w:ind w:firstLine="420" w:firstLineChars="200"/>
              <w:rPr>
                <w:rFonts w:ascii="宋体" w:hAnsi="宋体"/>
                <w:color w:val="000000" w:themeColor="text1"/>
                <w14:textFill>
                  <w14:solidFill>
                    <w14:schemeClr w14:val="tx1"/>
                  </w14:solidFill>
                </w14:textFill>
              </w:rPr>
            </w:pPr>
            <w:r>
              <w:rPr>
                <w:rFonts w:hint="eastAsia" w:ascii="宋体" w:hAnsi="宋体"/>
              </w:rPr>
              <w:t>提供公司《目标、指标的制定控制程序》（</w:t>
            </w:r>
            <w:r>
              <w:rPr>
                <w:rFonts w:ascii="宋体" w:hAnsi="宋体"/>
              </w:rPr>
              <w:t>HY/En-CX-03-2021</w:t>
            </w:r>
            <w:r>
              <w:rPr>
                <w:rFonts w:hint="eastAsia" w:ascii="宋体" w:hAnsi="宋体"/>
              </w:rPr>
              <w:t>），2</w:t>
            </w:r>
            <w:r>
              <w:rPr>
                <w:rFonts w:ascii="宋体" w:hAnsi="宋体"/>
              </w:rPr>
              <w:t>021-6-10</w:t>
            </w:r>
            <w:r>
              <w:rPr>
                <w:rFonts w:hint="eastAsia" w:ascii="宋体" w:hAnsi="宋体"/>
                <w:color w:val="000000" w:themeColor="text1"/>
                <w14:textFill>
                  <w14:solidFill>
                    <w14:schemeClr w14:val="tx1"/>
                  </w14:solidFill>
                </w14:textFill>
              </w:rPr>
              <w:t>审批发布，符合公司文件管理要求。</w:t>
            </w:r>
          </w:p>
          <w:p>
            <w:pPr>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提供有近三年的《能源目标指标及完成情况一览表》：</w:t>
            </w:r>
          </w:p>
          <w:p>
            <w:pPr>
              <w:jc w:val="center"/>
              <w:rPr>
                <w:rFonts w:ascii="宋体" w:hAnsi="宋体"/>
                <w:color w:val="000000" w:themeColor="text1"/>
                <w14:textFill>
                  <w14:solidFill>
                    <w14:schemeClr w14:val="tx1"/>
                  </w14:solidFill>
                </w14:textFill>
              </w:rPr>
            </w:pPr>
            <w:r>
              <w:drawing>
                <wp:inline distT="0" distB="0" distL="0" distR="0">
                  <wp:extent cx="4961255" cy="471297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7"/>
                          <a:stretch>
                            <a:fillRect/>
                          </a:stretch>
                        </pic:blipFill>
                        <pic:spPr>
                          <a:xfrm>
                            <a:off x="0" y="0"/>
                            <a:ext cx="4991712" cy="4741812"/>
                          </a:xfrm>
                          <a:prstGeom prst="rect">
                            <a:avLst/>
                          </a:prstGeom>
                        </pic:spPr>
                      </pic:pic>
                    </a:graphicData>
                  </a:graphic>
                </wp:inline>
              </w:drawing>
            </w:r>
          </w:p>
          <w:p>
            <w:pPr>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021</w:t>
            </w:r>
            <w:r>
              <w:rPr>
                <w:rFonts w:hint="eastAsia" w:ascii="宋体" w:hAnsi="宋体"/>
                <w:color w:val="000000" w:themeColor="text1"/>
                <w14:textFill>
                  <w14:solidFill>
                    <w14:schemeClr w14:val="tx1"/>
                  </w14:solidFill>
                </w14:textFill>
              </w:rPr>
              <w:t>年财务部的能源目标为</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项“</w:t>
            </w:r>
            <w:r>
              <w:rPr>
                <w:rFonts w:hint="eastAsia" w:ascii="宋体" w:hAnsi="宋体"/>
                <w:color w:val="000000" w:themeColor="text1"/>
                <w:u w:val="dotted"/>
                <w14:textFill>
                  <w14:solidFill>
                    <w14:schemeClr w14:val="tx1"/>
                  </w14:solidFill>
                </w14:textFill>
              </w:rPr>
              <w:t>1）员工培训覆盖率1</w:t>
            </w:r>
            <w:r>
              <w:rPr>
                <w:rFonts w:ascii="宋体" w:hAnsi="宋体"/>
                <w:color w:val="000000" w:themeColor="text1"/>
                <w:u w:val="dotted"/>
                <w14:textFill>
                  <w14:solidFill>
                    <w14:schemeClr w14:val="tx1"/>
                  </w14:solidFill>
                </w14:textFill>
              </w:rPr>
              <w:t>00%</w:t>
            </w:r>
            <w:r>
              <w:rPr>
                <w:rFonts w:hint="eastAsia" w:ascii="宋体" w:hAnsi="宋体"/>
                <w:color w:val="000000" w:themeColor="text1"/>
                <w:u w:val="dotted"/>
                <w14:textFill>
                  <w14:solidFill>
                    <w14:schemeClr w14:val="tx1"/>
                  </w14:solidFill>
                </w14:textFill>
              </w:rPr>
              <w:t>；2）单位产值综合能耗1</w:t>
            </w:r>
            <w:r>
              <w:rPr>
                <w:rFonts w:ascii="宋体" w:hAnsi="宋体"/>
                <w:color w:val="000000" w:themeColor="text1"/>
                <w:u w:val="dotted"/>
                <w14:textFill>
                  <w14:solidFill>
                    <w14:schemeClr w14:val="tx1"/>
                  </w14:solidFill>
                </w14:textFill>
              </w:rPr>
              <w:t xml:space="preserve">5.00 </w:t>
            </w:r>
            <w:r>
              <w:rPr>
                <w:rFonts w:hint="eastAsia" w:ascii="宋体" w:hAnsi="宋体"/>
                <w:color w:val="000000" w:themeColor="text1"/>
                <w:u w:val="dotted"/>
                <w14:textFill>
                  <w14:solidFill>
                    <w14:schemeClr w14:val="tx1"/>
                  </w14:solidFill>
                </w14:textFill>
              </w:rPr>
              <w:t>kgce/万元</w:t>
            </w:r>
            <w:r>
              <w:rPr>
                <w:rFonts w:hint="eastAsia" w:ascii="宋体" w:hAnsi="宋体"/>
                <w:color w:val="000000" w:themeColor="text1"/>
                <w14:textFill>
                  <w14:solidFill>
                    <w14:schemeClr w14:val="tx1"/>
                  </w14:solidFill>
                </w14:textFill>
              </w:rPr>
              <w:t>。部门负责人说明2</w:t>
            </w:r>
            <w:r>
              <w:rPr>
                <w:rFonts w:ascii="宋体" w:hAnsi="宋体"/>
                <w:color w:val="000000" w:themeColor="text1"/>
                <w14:textFill>
                  <w14:solidFill>
                    <w14:schemeClr w14:val="tx1"/>
                  </w14:solidFill>
                </w14:textFill>
              </w:rPr>
              <w:t>021</w:t>
            </w:r>
            <w:r>
              <w:rPr>
                <w:rFonts w:hint="eastAsia" w:ascii="宋体" w:hAnsi="宋体"/>
                <w:color w:val="000000" w:themeColor="text1"/>
                <w14:textFill>
                  <w14:solidFill>
                    <w14:schemeClr w14:val="tx1"/>
                  </w14:solidFill>
                </w14:textFill>
              </w:rPr>
              <w:t>年目标已经完成；</w:t>
            </w:r>
          </w:p>
          <w:p>
            <w:pPr>
              <w:ind w:firstLine="420" w:firstLineChars="200"/>
              <w:rPr>
                <w:rFonts w:hint="eastAsia" w:ascii="宋体" w:hAnsi="宋体" w:eastAsia="宋体"/>
                <w:color w:val="FF0000"/>
                <w:lang w:val="en-US" w:eastAsia="zh-CN"/>
              </w:rPr>
            </w:pPr>
            <w:r>
              <w:rPr>
                <w:rFonts w:hint="eastAsia" w:ascii="宋体" w:hAnsi="宋体" w:eastAsia="宋体" w:cs="Times New Roman"/>
                <w:color w:val="000000" w:themeColor="text1"/>
                <w:szCs w:val="22"/>
                <w14:textFill>
                  <w14:solidFill>
                    <w14:schemeClr w14:val="tx1"/>
                  </w14:solidFill>
                </w14:textFill>
              </w:rPr>
              <w:t>2022年1-5月，“单位产值综合能耗”已经超出目标指标要求，需要公司总体说明并重新策划目标指标。——已与企业沟通</w:t>
            </w:r>
            <w:r>
              <w:rPr>
                <w:rFonts w:hint="eastAsia" w:ascii="宋体" w:hAnsi="宋体" w:eastAsia="宋体" w:cs="Times New Roman"/>
                <w:color w:val="000000" w:themeColor="text1"/>
                <w:szCs w:val="22"/>
                <w:lang w:val="en-US" w:eastAsia="zh-CN"/>
                <w14:textFill>
                  <w14:solidFill>
                    <w14:schemeClr w14:val="tx1"/>
                  </w14:solidFill>
                </w14:textFill>
              </w:rPr>
              <w:t>=</w:t>
            </w:r>
          </w:p>
        </w:tc>
        <w:tc>
          <w:tcPr>
            <w:tcW w:w="1208" w:type="dxa"/>
          </w:tcPr>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Y</w:t>
            </w: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both"/>
              <w:rPr>
                <w:rFonts w:ascii="宋体" w:hAnsi="宋体"/>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tcPr>
          <w:p>
            <w:pPr>
              <w:numPr>
                <w:ilvl w:val="0"/>
                <w:numId w:val="6"/>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能源资金支持及控制</w:t>
            </w:r>
          </w:p>
        </w:tc>
        <w:tc>
          <w:tcPr>
            <w:tcW w:w="956" w:type="dxa"/>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7.1</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.1</w:t>
            </w:r>
          </w:p>
        </w:tc>
        <w:tc>
          <w:tcPr>
            <w:tcW w:w="10324" w:type="dxa"/>
          </w:tcPr>
          <w:p>
            <w:pPr>
              <w:pStyle w:val="7"/>
              <w:ind w:left="420" w:firstLine="210" w:firstLineChars="100"/>
              <w:rPr>
                <w:rFonts w:ascii="宋体" w:hAnsi="宋体"/>
              </w:rPr>
            </w:pPr>
            <w:r>
              <w:rPr>
                <w:rFonts w:hint="eastAsia" w:ascii="宋体" w:hAnsi="宋体"/>
                <w:color w:val="000000" w:themeColor="text1"/>
                <w14:textFill>
                  <w14:solidFill>
                    <w14:schemeClr w14:val="tx1"/>
                  </w14:solidFill>
                </w14:textFill>
              </w:rPr>
              <w:t>1、提供文件化信息：《能源管理体系手册》、《能源管理体系程序文件》汇编、相关制度等运行文件。主要有</w:t>
            </w:r>
            <w:r>
              <w:rPr>
                <w:rFonts w:hint="eastAsia" w:ascii="宋体" w:hAnsi="宋体"/>
              </w:rPr>
              <w:t>《能源采购控制程序》（</w:t>
            </w:r>
            <w:r>
              <w:rPr>
                <w:rFonts w:ascii="宋体" w:hAnsi="宋体"/>
              </w:rPr>
              <w:t>WHJX/NY CX-15-2021</w:t>
            </w:r>
            <w:r>
              <w:rPr>
                <w:rFonts w:hint="eastAsia" w:ascii="宋体" w:hAnsi="宋体"/>
              </w:rPr>
              <w:t>）及《财务部管理制度》，有编审批，确保了相关文件的适宜性和充分性，满足公司的财务管理要求。</w:t>
            </w:r>
          </w:p>
          <w:p>
            <w:pPr>
              <w:pStyle w:val="7"/>
              <w:ind w:leftChars="0" w:firstLine="0" w:firstLineChars="0"/>
              <w:rPr>
                <w:rFonts w:ascii="宋体" w:hAnsi="宋体"/>
              </w:rPr>
            </w:pPr>
            <w:r>
              <w:rPr>
                <w:rFonts w:hint="eastAsia" w:ascii="宋体" w:hAnsi="宋体"/>
                <w:color w:val="000000" w:themeColor="text1"/>
                <w14:textFill>
                  <w14:solidFill>
                    <w14:schemeClr w14:val="tx1"/>
                  </w14:solidFill>
                </w14:textFill>
              </w:rPr>
              <w:t>2、</w:t>
            </w:r>
            <w:r>
              <w:rPr>
                <w:rFonts w:hint="eastAsia" w:ascii="宋体" w:hAnsi="宋体"/>
              </w:rPr>
              <w:t>公司近年来没有工艺技术和节能方面的投资项目。</w:t>
            </w:r>
          </w:p>
          <w:p>
            <w:pPr>
              <w:spacing w:before="156" w:beforeLines="50"/>
              <w:ind w:firstLine="210" w:firstLineChars="100"/>
              <w:rPr>
                <w:rFonts w:ascii="宋体" w:hAnsi="宋体"/>
              </w:rPr>
            </w:pPr>
            <w:r>
              <w:rPr>
                <w:rFonts w:hint="eastAsia" w:ascii="宋体" w:hAnsi="宋体"/>
                <w:color w:val="000000" w:themeColor="text1"/>
                <w14:textFill>
                  <w14:solidFill>
                    <w14:schemeClr w14:val="tx1"/>
                  </w14:solidFill>
                </w14:textFill>
              </w:rPr>
              <w:t>3．公司提供有</w:t>
            </w:r>
            <w:r>
              <w:rPr>
                <w:rFonts w:hint="eastAsia" w:ascii="宋体" w:hAnsi="宋体"/>
              </w:rPr>
              <w:t>202</w:t>
            </w:r>
            <w:r>
              <w:rPr>
                <w:rFonts w:ascii="宋体" w:hAnsi="宋体"/>
              </w:rPr>
              <w:t>0</w:t>
            </w:r>
            <w:r>
              <w:rPr>
                <w:rFonts w:hint="eastAsia" w:ascii="宋体" w:hAnsi="宋体"/>
              </w:rPr>
              <w:t>年-2022年</w:t>
            </w:r>
            <w:r>
              <w:rPr>
                <w:rFonts w:ascii="宋体" w:hAnsi="宋体"/>
              </w:rPr>
              <w:t>1-5</w:t>
            </w:r>
            <w:r>
              <w:rPr>
                <w:rFonts w:hint="eastAsia" w:ascii="宋体" w:hAnsi="宋体"/>
              </w:rPr>
              <w:t>月的能源消耗的资金结算情况：</w:t>
            </w:r>
          </w:p>
          <w:p>
            <w:pPr>
              <w:spacing w:before="156" w:beforeLines="50"/>
              <w:ind w:leftChars="-99" w:hanging="207" w:hangingChars="99"/>
              <w:jc w:val="center"/>
              <w:rPr>
                <w:rFonts w:ascii="宋体" w:hAnsi="宋体"/>
                <w:color w:val="000000" w:themeColor="text1"/>
                <w14:textFill>
                  <w14:solidFill>
                    <w14:schemeClr w14:val="tx1"/>
                  </w14:solidFill>
                </w14:textFill>
              </w:rPr>
            </w:pPr>
            <w:r>
              <w:drawing>
                <wp:inline distT="0" distB="0" distL="0" distR="0">
                  <wp:extent cx="5766435" cy="103632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5779039" cy="1038832"/>
                          </a:xfrm>
                          <a:prstGeom prst="rect">
                            <a:avLst/>
                          </a:prstGeom>
                        </pic:spPr>
                      </pic:pic>
                    </a:graphicData>
                  </a:graphic>
                </wp:inline>
              </w:drawing>
            </w:r>
          </w:p>
          <w:p>
            <w:pPr>
              <w:spacing w:before="156" w:beforeLines="50" w:after="156" w:afterLines="50"/>
              <w:ind w:firstLine="211" w:firstLineChars="10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公司在节能方面的资金全部到位。</w:t>
            </w:r>
          </w:p>
        </w:tc>
        <w:tc>
          <w:tcPr>
            <w:tcW w:w="1208" w:type="dxa"/>
          </w:tcPr>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Y</w:t>
            </w:r>
          </w:p>
          <w:p>
            <w:pPr>
              <w:jc w:val="both"/>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p>
            <w:pPr>
              <w:jc w:val="center"/>
              <w:rPr>
                <w:rFonts w:ascii="宋体" w:hAnsi="宋体"/>
                <w:b/>
                <w:bCs/>
                <w:color w:val="000000" w:themeColor="text1"/>
                <w:sz w:val="24"/>
                <w:szCs w:val="24"/>
                <w14:textFill>
                  <w14:solidFill>
                    <w14:schemeClr w14:val="tx1"/>
                  </w14:solidFill>
                </w14:textFill>
              </w:rPr>
            </w:pPr>
          </w:p>
        </w:tc>
      </w:tr>
    </w:tbl>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说明：不符合标注N</w:t>
      </w:r>
    </w:p>
    <w:sectPr>
      <w:headerReference r:id="rId3" w:type="default"/>
      <w:footerReference r:id="rId4" w:type="default"/>
      <w:pgSz w:w="16838" w:h="11906" w:orient="landscape"/>
      <w:pgMar w:top="1418" w:right="1134" w:bottom="1418" w:left="1134"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7216"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06" name="文本框 1025"/>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文本框 1025" o:spid="_x0000_s1026" o:spt="202" type="#_x0000_t202" style="position:absolute;left:0pt;margin-left:620.4pt;margin-top:12.55pt;height:20.2pt;width:102.7pt;z-index:251657216;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kH4RNgAAAALAQAADwAAAAAAAAABACAAAAAiAAAAZHJzL2Rvd25y&#10;ZXYueG1sUEsBAhQAFAAAAAgAh07iQKWXh/nFAQAAfAMAAA4AAAAAAAAAAQAgAAAAJwEAAGRycy9l&#10;Mm9Eb2MueG1sUEsFBgAAAAAGAAYAWQEAAF4FA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8"/>
        <w:rFonts w:hint="default"/>
      </w:rPr>
      <w:t>北京国标联合认证有限公司</w:t>
    </w:r>
  </w:p>
  <w:p>
    <w:pPr>
      <w:pStyle w:val="6"/>
      <w:pBdr>
        <w:bottom w:val="none" w:color="auto" w:sz="0" w:space="0"/>
      </w:pBdr>
      <w:spacing w:line="320" w:lineRule="exact"/>
      <w:ind w:firstLine="756" w:firstLineChars="400"/>
      <w:jc w:val="left"/>
    </w:pPr>
    <w:r>
      <w:rPr>
        <w:rStyle w:val="18"/>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FEDD19"/>
    <w:multiLevelType w:val="singleLevel"/>
    <w:tmpl w:val="87FEDD19"/>
    <w:lvl w:ilvl="0" w:tentative="0">
      <w:start w:val="3"/>
      <w:numFmt w:val="decimal"/>
      <w:lvlText w:val="%1."/>
      <w:lvlJc w:val="left"/>
      <w:pPr>
        <w:tabs>
          <w:tab w:val="left" w:pos="312"/>
        </w:tabs>
      </w:pPr>
    </w:lvl>
  </w:abstractNum>
  <w:abstractNum w:abstractNumId="1">
    <w:nsid w:val="00000015"/>
    <w:multiLevelType w:val="multilevel"/>
    <w:tmpl w:val="00000015"/>
    <w:lvl w:ilvl="0" w:tentative="0">
      <w:start w:val="1"/>
      <w:numFmt w:val="lowerLetter"/>
      <w:pStyle w:val="20"/>
      <w:lvlText w:val="%1)"/>
      <w:lvlJc w:val="left"/>
      <w:pPr>
        <w:tabs>
          <w:tab w:val="left" w:pos="840"/>
        </w:tabs>
        <w:ind w:left="839" w:hanging="419"/>
      </w:pPr>
      <w:rPr>
        <w:rFonts w:hint="eastAsia" w:ascii="宋体" w:eastAsia="宋体" w:cs="Times New Roman"/>
        <w:b w:val="0"/>
        <w:i w:val="0"/>
        <w:sz w:val="21"/>
        <w:szCs w:val="21"/>
      </w:rPr>
    </w:lvl>
    <w:lvl w:ilvl="1" w:tentative="0">
      <w:start w:val="1"/>
      <w:numFmt w:val="decimal"/>
      <w:lvlText w:val="%2)"/>
      <w:lvlJc w:val="left"/>
      <w:pPr>
        <w:tabs>
          <w:tab w:val="left" w:pos="1260"/>
        </w:tabs>
        <w:ind w:left="1259" w:hanging="419"/>
      </w:pPr>
      <w:rPr>
        <w:rFonts w:hint="eastAsia" w:cs="Times New Roman"/>
      </w:rPr>
    </w:lvl>
    <w:lvl w:ilvl="2" w:tentative="0">
      <w:start w:val="1"/>
      <w:numFmt w:val="decimal"/>
      <w:lvlText w:val="(%3)"/>
      <w:lvlJc w:val="left"/>
      <w:pPr>
        <w:tabs>
          <w:tab w:val="left" w:pos="0"/>
        </w:tabs>
        <w:ind w:left="1679" w:hanging="420"/>
      </w:pPr>
      <w:rPr>
        <w:rFonts w:hint="eastAsia" w:ascii="宋体" w:eastAsia="宋体" w:cs="Times New Roman"/>
        <w:b w:val="0"/>
        <w:i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abstractNum w:abstractNumId="2">
    <w:nsid w:val="1BA36DA9"/>
    <w:multiLevelType w:val="multilevel"/>
    <w:tmpl w:val="1BA36DA9"/>
    <w:lvl w:ilvl="0" w:tentative="0">
      <w:start w:val="1"/>
      <w:numFmt w:val="lowerLetter"/>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
    <w:nsid w:val="1C3716FF"/>
    <w:multiLevelType w:val="multilevel"/>
    <w:tmpl w:val="1C3716F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49654B"/>
    <w:multiLevelType w:val="multilevel"/>
    <w:tmpl w:val="1C49654B"/>
    <w:lvl w:ilvl="0" w:tentative="0">
      <w:start w:val="1"/>
      <w:numFmt w:val="lowerLetter"/>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5">
    <w:nsid w:val="3CA84469"/>
    <w:multiLevelType w:val="multilevel"/>
    <w:tmpl w:val="3CA8446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91D"/>
    <w:rsid w:val="00004069"/>
    <w:rsid w:val="00007093"/>
    <w:rsid w:val="0001107D"/>
    <w:rsid w:val="000130B1"/>
    <w:rsid w:val="00014780"/>
    <w:rsid w:val="000179CE"/>
    <w:rsid w:val="00020FEF"/>
    <w:rsid w:val="00023020"/>
    <w:rsid w:val="00025B5D"/>
    <w:rsid w:val="00036067"/>
    <w:rsid w:val="000362D5"/>
    <w:rsid w:val="000362EF"/>
    <w:rsid w:val="00053A58"/>
    <w:rsid w:val="0005756F"/>
    <w:rsid w:val="000609B9"/>
    <w:rsid w:val="00062013"/>
    <w:rsid w:val="00062E12"/>
    <w:rsid w:val="00065BEA"/>
    <w:rsid w:val="000708F3"/>
    <w:rsid w:val="00070C81"/>
    <w:rsid w:val="00071745"/>
    <w:rsid w:val="00073133"/>
    <w:rsid w:val="000739FA"/>
    <w:rsid w:val="0008311C"/>
    <w:rsid w:val="000867EA"/>
    <w:rsid w:val="000870C6"/>
    <w:rsid w:val="00096507"/>
    <w:rsid w:val="000A1804"/>
    <w:rsid w:val="000A6C3E"/>
    <w:rsid w:val="000B06EA"/>
    <w:rsid w:val="000B1536"/>
    <w:rsid w:val="000B3ACE"/>
    <w:rsid w:val="000C1CAD"/>
    <w:rsid w:val="000C73E3"/>
    <w:rsid w:val="000D0CDF"/>
    <w:rsid w:val="000E160C"/>
    <w:rsid w:val="000E328D"/>
    <w:rsid w:val="000E5AF7"/>
    <w:rsid w:val="000E7CFC"/>
    <w:rsid w:val="000F158A"/>
    <w:rsid w:val="000F2800"/>
    <w:rsid w:val="0010101E"/>
    <w:rsid w:val="00104F7C"/>
    <w:rsid w:val="00110DC4"/>
    <w:rsid w:val="0011289F"/>
    <w:rsid w:val="00112F73"/>
    <w:rsid w:val="00113058"/>
    <w:rsid w:val="00115D29"/>
    <w:rsid w:val="00122A14"/>
    <w:rsid w:val="00122CD0"/>
    <w:rsid w:val="001234C9"/>
    <w:rsid w:val="00123737"/>
    <w:rsid w:val="001278E4"/>
    <w:rsid w:val="0013424A"/>
    <w:rsid w:val="00135100"/>
    <w:rsid w:val="00142CA2"/>
    <w:rsid w:val="00142D5F"/>
    <w:rsid w:val="00145C11"/>
    <w:rsid w:val="00146ACA"/>
    <w:rsid w:val="0015688F"/>
    <w:rsid w:val="00156FB9"/>
    <w:rsid w:val="001711E3"/>
    <w:rsid w:val="001733F1"/>
    <w:rsid w:val="00174D1F"/>
    <w:rsid w:val="00176CED"/>
    <w:rsid w:val="00184AE3"/>
    <w:rsid w:val="00185496"/>
    <w:rsid w:val="00185A78"/>
    <w:rsid w:val="00187240"/>
    <w:rsid w:val="00190D97"/>
    <w:rsid w:val="00192E63"/>
    <w:rsid w:val="00195313"/>
    <w:rsid w:val="001A2B04"/>
    <w:rsid w:val="001B723B"/>
    <w:rsid w:val="001B7750"/>
    <w:rsid w:val="001C03F2"/>
    <w:rsid w:val="001D41D8"/>
    <w:rsid w:val="001D6008"/>
    <w:rsid w:val="001D7AD0"/>
    <w:rsid w:val="001E05BA"/>
    <w:rsid w:val="001F0868"/>
    <w:rsid w:val="001F3E35"/>
    <w:rsid w:val="0020031B"/>
    <w:rsid w:val="00202856"/>
    <w:rsid w:val="002047E2"/>
    <w:rsid w:val="00205257"/>
    <w:rsid w:val="00206CB5"/>
    <w:rsid w:val="00207C62"/>
    <w:rsid w:val="00210DC5"/>
    <w:rsid w:val="002112D7"/>
    <w:rsid w:val="00213BFF"/>
    <w:rsid w:val="00223317"/>
    <w:rsid w:val="002233B1"/>
    <w:rsid w:val="002233E5"/>
    <w:rsid w:val="002234C7"/>
    <w:rsid w:val="00234991"/>
    <w:rsid w:val="0023537F"/>
    <w:rsid w:val="00247465"/>
    <w:rsid w:val="00250002"/>
    <w:rsid w:val="002502B9"/>
    <w:rsid w:val="0025155C"/>
    <w:rsid w:val="00261DB2"/>
    <w:rsid w:val="002676AE"/>
    <w:rsid w:val="00267721"/>
    <w:rsid w:val="00272B8B"/>
    <w:rsid w:val="00273BCF"/>
    <w:rsid w:val="002769DD"/>
    <w:rsid w:val="002809C3"/>
    <w:rsid w:val="00281CD0"/>
    <w:rsid w:val="00291F8C"/>
    <w:rsid w:val="002974DA"/>
    <w:rsid w:val="002A0FDF"/>
    <w:rsid w:val="002A1F58"/>
    <w:rsid w:val="002A287D"/>
    <w:rsid w:val="002A57A4"/>
    <w:rsid w:val="002A66A0"/>
    <w:rsid w:val="002B5AB1"/>
    <w:rsid w:val="002B661A"/>
    <w:rsid w:val="002B66B0"/>
    <w:rsid w:val="002C341B"/>
    <w:rsid w:val="002C5FF5"/>
    <w:rsid w:val="002C722C"/>
    <w:rsid w:val="002D2C74"/>
    <w:rsid w:val="002D3C2A"/>
    <w:rsid w:val="002D4CE8"/>
    <w:rsid w:val="002D4E78"/>
    <w:rsid w:val="002E1C5B"/>
    <w:rsid w:val="002E42DC"/>
    <w:rsid w:val="002E4FC1"/>
    <w:rsid w:val="002F01D8"/>
    <w:rsid w:val="002F1284"/>
    <w:rsid w:val="002F23F9"/>
    <w:rsid w:val="002F37FB"/>
    <w:rsid w:val="002F5591"/>
    <w:rsid w:val="00311989"/>
    <w:rsid w:val="00317572"/>
    <w:rsid w:val="0032156F"/>
    <w:rsid w:val="003309A0"/>
    <w:rsid w:val="00337D31"/>
    <w:rsid w:val="0036161D"/>
    <w:rsid w:val="00361C31"/>
    <w:rsid w:val="00362B64"/>
    <w:rsid w:val="003677CC"/>
    <w:rsid w:val="00370E37"/>
    <w:rsid w:val="00371B99"/>
    <w:rsid w:val="00372606"/>
    <w:rsid w:val="00380CA9"/>
    <w:rsid w:val="003818C0"/>
    <w:rsid w:val="0039087A"/>
    <w:rsid w:val="00397B04"/>
    <w:rsid w:val="003A0405"/>
    <w:rsid w:val="003B0D23"/>
    <w:rsid w:val="003B316C"/>
    <w:rsid w:val="003B34D7"/>
    <w:rsid w:val="003B53EA"/>
    <w:rsid w:val="003C2C14"/>
    <w:rsid w:val="003C60AF"/>
    <w:rsid w:val="003D01A9"/>
    <w:rsid w:val="003D12E1"/>
    <w:rsid w:val="003D72B1"/>
    <w:rsid w:val="003E7DAA"/>
    <w:rsid w:val="003F1010"/>
    <w:rsid w:val="003F2D01"/>
    <w:rsid w:val="0040115B"/>
    <w:rsid w:val="00404CEC"/>
    <w:rsid w:val="00407042"/>
    <w:rsid w:val="00407BA9"/>
    <w:rsid w:val="0041036C"/>
    <w:rsid w:val="004110F2"/>
    <w:rsid w:val="00411AC3"/>
    <w:rsid w:val="004160D8"/>
    <w:rsid w:val="00422287"/>
    <w:rsid w:val="00431A0B"/>
    <w:rsid w:val="004330AC"/>
    <w:rsid w:val="00433477"/>
    <w:rsid w:val="00464498"/>
    <w:rsid w:val="00464708"/>
    <w:rsid w:val="004650B1"/>
    <w:rsid w:val="00465FEF"/>
    <w:rsid w:val="004671A9"/>
    <w:rsid w:val="00477BCA"/>
    <w:rsid w:val="00482A49"/>
    <w:rsid w:val="0048599F"/>
    <w:rsid w:val="00490141"/>
    <w:rsid w:val="004903DE"/>
    <w:rsid w:val="004932A4"/>
    <w:rsid w:val="00494010"/>
    <w:rsid w:val="004A143F"/>
    <w:rsid w:val="004A2ABF"/>
    <w:rsid w:val="004A304B"/>
    <w:rsid w:val="004A4BFA"/>
    <w:rsid w:val="004A6A1E"/>
    <w:rsid w:val="004A737E"/>
    <w:rsid w:val="004B3C88"/>
    <w:rsid w:val="004B7D46"/>
    <w:rsid w:val="004C1B6D"/>
    <w:rsid w:val="004C5B03"/>
    <w:rsid w:val="004C76AC"/>
    <w:rsid w:val="004E1C69"/>
    <w:rsid w:val="004E266B"/>
    <w:rsid w:val="004E3AC4"/>
    <w:rsid w:val="004E3E8D"/>
    <w:rsid w:val="004E5584"/>
    <w:rsid w:val="004E5D47"/>
    <w:rsid w:val="004E7D32"/>
    <w:rsid w:val="004F21B8"/>
    <w:rsid w:val="004F3C74"/>
    <w:rsid w:val="004F453A"/>
    <w:rsid w:val="004F69ED"/>
    <w:rsid w:val="00502B87"/>
    <w:rsid w:val="00511D8A"/>
    <w:rsid w:val="00517DF9"/>
    <w:rsid w:val="00523D08"/>
    <w:rsid w:val="005271CC"/>
    <w:rsid w:val="00527420"/>
    <w:rsid w:val="005312ED"/>
    <w:rsid w:val="005453E2"/>
    <w:rsid w:val="005457E2"/>
    <w:rsid w:val="00546650"/>
    <w:rsid w:val="00553EE5"/>
    <w:rsid w:val="005601AF"/>
    <w:rsid w:val="00560619"/>
    <w:rsid w:val="005628DB"/>
    <w:rsid w:val="00570216"/>
    <w:rsid w:val="00571ABF"/>
    <w:rsid w:val="00572F2B"/>
    <w:rsid w:val="005774D4"/>
    <w:rsid w:val="00584A09"/>
    <w:rsid w:val="00586694"/>
    <w:rsid w:val="00591713"/>
    <w:rsid w:val="005926BB"/>
    <w:rsid w:val="00592E3D"/>
    <w:rsid w:val="005A12A2"/>
    <w:rsid w:val="005A186B"/>
    <w:rsid w:val="005B416D"/>
    <w:rsid w:val="005B4632"/>
    <w:rsid w:val="005B536F"/>
    <w:rsid w:val="005C018B"/>
    <w:rsid w:val="005C40AB"/>
    <w:rsid w:val="005D72BC"/>
    <w:rsid w:val="005E1C78"/>
    <w:rsid w:val="005F0935"/>
    <w:rsid w:val="005F2504"/>
    <w:rsid w:val="005F3A3B"/>
    <w:rsid w:val="005F45E7"/>
    <w:rsid w:val="00600CE3"/>
    <w:rsid w:val="00600D64"/>
    <w:rsid w:val="00602124"/>
    <w:rsid w:val="006072C4"/>
    <w:rsid w:val="00611D1E"/>
    <w:rsid w:val="00612267"/>
    <w:rsid w:val="00614B9C"/>
    <w:rsid w:val="00615DE3"/>
    <w:rsid w:val="00632819"/>
    <w:rsid w:val="006340F8"/>
    <w:rsid w:val="006408BB"/>
    <w:rsid w:val="0064325E"/>
    <w:rsid w:val="00643475"/>
    <w:rsid w:val="00643CEE"/>
    <w:rsid w:val="0065102E"/>
    <w:rsid w:val="006610FE"/>
    <w:rsid w:val="00661D65"/>
    <w:rsid w:val="00665805"/>
    <w:rsid w:val="0066601C"/>
    <w:rsid w:val="0066781E"/>
    <w:rsid w:val="00675C61"/>
    <w:rsid w:val="00685A9A"/>
    <w:rsid w:val="00694EA9"/>
    <w:rsid w:val="00697B5A"/>
    <w:rsid w:val="006A1E98"/>
    <w:rsid w:val="006A613C"/>
    <w:rsid w:val="006A61E1"/>
    <w:rsid w:val="006A63C9"/>
    <w:rsid w:val="006A688E"/>
    <w:rsid w:val="006A7604"/>
    <w:rsid w:val="006B1078"/>
    <w:rsid w:val="006B1AC5"/>
    <w:rsid w:val="006C2FA7"/>
    <w:rsid w:val="006C3A64"/>
    <w:rsid w:val="006C4A16"/>
    <w:rsid w:val="006C6EE6"/>
    <w:rsid w:val="006C707C"/>
    <w:rsid w:val="006C717E"/>
    <w:rsid w:val="006C75C9"/>
    <w:rsid w:val="006D5283"/>
    <w:rsid w:val="006D5EA9"/>
    <w:rsid w:val="006D769A"/>
    <w:rsid w:val="006E2836"/>
    <w:rsid w:val="006F0459"/>
    <w:rsid w:val="006F46F3"/>
    <w:rsid w:val="007010CF"/>
    <w:rsid w:val="00703363"/>
    <w:rsid w:val="00706360"/>
    <w:rsid w:val="00713342"/>
    <w:rsid w:val="007133AC"/>
    <w:rsid w:val="00713701"/>
    <w:rsid w:val="00713F5C"/>
    <w:rsid w:val="00716D32"/>
    <w:rsid w:val="00724351"/>
    <w:rsid w:val="00724B71"/>
    <w:rsid w:val="007259B6"/>
    <w:rsid w:val="007268DF"/>
    <w:rsid w:val="00743CEC"/>
    <w:rsid w:val="0075510A"/>
    <w:rsid w:val="007570C9"/>
    <w:rsid w:val="0076244D"/>
    <w:rsid w:val="00773006"/>
    <w:rsid w:val="007749DC"/>
    <w:rsid w:val="007750B4"/>
    <w:rsid w:val="0077688C"/>
    <w:rsid w:val="007874E9"/>
    <w:rsid w:val="00787FE3"/>
    <w:rsid w:val="0079018C"/>
    <w:rsid w:val="007A1164"/>
    <w:rsid w:val="007B1C96"/>
    <w:rsid w:val="007B369D"/>
    <w:rsid w:val="007B431D"/>
    <w:rsid w:val="007B441D"/>
    <w:rsid w:val="007B5AFA"/>
    <w:rsid w:val="007C162C"/>
    <w:rsid w:val="007C415A"/>
    <w:rsid w:val="007D0EC6"/>
    <w:rsid w:val="007D327C"/>
    <w:rsid w:val="007E0426"/>
    <w:rsid w:val="007E5295"/>
    <w:rsid w:val="007F2BEF"/>
    <w:rsid w:val="007F41AF"/>
    <w:rsid w:val="00804C55"/>
    <w:rsid w:val="008074F7"/>
    <w:rsid w:val="00810025"/>
    <w:rsid w:val="008161C0"/>
    <w:rsid w:val="0081771F"/>
    <w:rsid w:val="00817771"/>
    <w:rsid w:val="008241CE"/>
    <w:rsid w:val="00827186"/>
    <w:rsid w:val="00830AAC"/>
    <w:rsid w:val="00831374"/>
    <w:rsid w:val="00832C41"/>
    <w:rsid w:val="008429FE"/>
    <w:rsid w:val="008443AC"/>
    <w:rsid w:val="0084503B"/>
    <w:rsid w:val="0085044C"/>
    <w:rsid w:val="0085088A"/>
    <w:rsid w:val="00853442"/>
    <w:rsid w:val="008559E3"/>
    <w:rsid w:val="00870CA7"/>
    <w:rsid w:val="00870EE4"/>
    <w:rsid w:val="00875F64"/>
    <w:rsid w:val="00876F10"/>
    <w:rsid w:val="0087759E"/>
    <w:rsid w:val="008857B9"/>
    <w:rsid w:val="008A1F43"/>
    <w:rsid w:val="008A372F"/>
    <w:rsid w:val="008A42C1"/>
    <w:rsid w:val="008A7982"/>
    <w:rsid w:val="008C389B"/>
    <w:rsid w:val="008C5A53"/>
    <w:rsid w:val="008E6616"/>
    <w:rsid w:val="008F0864"/>
    <w:rsid w:val="008F10BA"/>
    <w:rsid w:val="008F29F5"/>
    <w:rsid w:val="008F2EA3"/>
    <w:rsid w:val="008F494F"/>
    <w:rsid w:val="009430FA"/>
    <w:rsid w:val="00945FC8"/>
    <w:rsid w:val="009466BD"/>
    <w:rsid w:val="009529CF"/>
    <w:rsid w:val="00952EE8"/>
    <w:rsid w:val="00957A26"/>
    <w:rsid w:val="00957F2D"/>
    <w:rsid w:val="00962B59"/>
    <w:rsid w:val="00963A1E"/>
    <w:rsid w:val="009671AD"/>
    <w:rsid w:val="00967A44"/>
    <w:rsid w:val="00971565"/>
    <w:rsid w:val="00975F4F"/>
    <w:rsid w:val="00977A34"/>
    <w:rsid w:val="00983BC0"/>
    <w:rsid w:val="00983FC2"/>
    <w:rsid w:val="00985C18"/>
    <w:rsid w:val="009A77C6"/>
    <w:rsid w:val="009B4CA9"/>
    <w:rsid w:val="009B7FCB"/>
    <w:rsid w:val="009C515F"/>
    <w:rsid w:val="009C5855"/>
    <w:rsid w:val="009D6E67"/>
    <w:rsid w:val="009E10F8"/>
    <w:rsid w:val="009F22B4"/>
    <w:rsid w:val="009F7982"/>
    <w:rsid w:val="00A01B5E"/>
    <w:rsid w:val="00A06CA9"/>
    <w:rsid w:val="00A1419A"/>
    <w:rsid w:val="00A1675B"/>
    <w:rsid w:val="00A301AC"/>
    <w:rsid w:val="00A333C1"/>
    <w:rsid w:val="00A34C63"/>
    <w:rsid w:val="00A37103"/>
    <w:rsid w:val="00A3779D"/>
    <w:rsid w:val="00A37E6D"/>
    <w:rsid w:val="00A40683"/>
    <w:rsid w:val="00A4168B"/>
    <w:rsid w:val="00A43672"/>
    <w:rsid w:val="00A4635C"/>
    <w:rsid w:val="00A54ABD"/>
    <w:rsid w:val="00A54FDF"/>
    <w:rsid w:val="00A619D2"/>
    <w:rsid w:val="00A624C4"/>
    <w:rsid w:val="00A67126"/>
    <w:rsid w:val="00A70DD3"/>
    <w:rsid w:val="00A716F8"/>
    <w:rsid w:val="00A7425D"/>
    <w:rsid w:val="00A74E63"/>
    <w:rsid w:val="00A81778"/>
    <w:rsid w:val="00A81CEF"/>
    <w:rsid w:val="00A85BB2"/>
    <w:rsid w:val="00A90591"/>
    <w:rsid w:val="00A955D7"/>
    <w:rsid w:val="00A95F6A"/>
    <w:rsid w:val="00A97289"/>
    <w:rsid w:val="00AA07E0"/>
    <w:rsid w:val="00AA6B05"/>
    <w:rsid w:val="00AB1AE8"/>
    <w:rsid w:val="00AB33EF"/>
    <w:rsid w:val="00AC1889"/>
    <w:rsid w:val="00AC40D7"/>
    <w:rsid w:val="00AC4D02"/>
    <w:rsid w:val="00AC540F"/>
    <w:rsid w:val="00AC54CD"/>
    <w:rsid w:val="00AC662F"/>
    <w:rsid w:val="00AD025A"/>
    <w:rsid w:val="00AD43C5"/>
    <w:rsid w:val="00AD6BC5"/>
    <w:rsid w:val="00AE06B1"/>
    <w:rsid w:val="00AE3EC6"/>
    <w:rsid w:val="00AE61F4"/>
    <w:rsid w:val="00AE629A"/>
    <w:rsid w:val="00AF3385"/>
    <w:rsid w:val="00AF57DB"/>
    <w:rsid w:val="00B00423"/>
    <w:rsid w:val="00B010A0"/>
    <w:rsid w:val="00B03E50"/>
    <w:rsid w:val="00B11214"/>
    <w:rsid w:val="00B11E79"/>
    <w:rsid w:val="00B162F4"/>
    <w:rsid w:val="00B178E7"/>
    <w:rsid w:val="00B228C9"/>
    <w:rsid w:val="00B23D31"/>
    <w:rsid w:val="00B24B49"/>
    <w:rsid w:val="00B25F5F"/>
    <w:rsid w:val="00B26B69"/>
    <w:rsid w:val="00B35F88"/>
    <w:rsid w:val="00B50C29"/>
    <w:rsid w:val="00B560B2"/>
    <w:rsid w:val="00B57773"/>
    <w:rsid w:val="00B63A3C"/>
    <w:rsid w:val="00B64E89"/>
    <w:rsid w:val="00B66926"/>
    <w:rsid w:val="00B66B93"/>
    <w:rsid w:val="00B6791D"/>
    <w:rsid w:val="00B67E8E"/>
    <w:rsid w:val="00B71572"/>
    <w:rsid w:val="00B73CD7"/>
    <w:rsid w:val="00B7425D"/>
    <w:rsid w:val="00B775D9"/>
    <w:rsid w:val="00B82643"/>
    <w:rsid w:val="00B82D8D"/>
    <w:rsid w:val="00B8493F"/>
    <w:rsid w:val="00B9318A"/>
    <w:rsid w:val="00B937A8"/>
    <w:rsid w:val="00BA0879"/>
    <w:rsid w:val="00BA3E97"/>
    <w:rsid w:val="00BA5087"/>
    <w:rsid w:val="00BA6F6C"/>
    <w:rsid w:val="00BA7135"/>
    <w:rsid w:val="00BB36C3"/>
    <w:rsid w:val="00BB7292"/>
    <w:rsid w:val="00BD0F10"/>
    <w:rsid w:val="00BD5978"/>
    <w:rsid w:val="00BD6315"/>
    <w:rsid w:val="00BD7B89"/>
    <w:rsid w:val="00BE4CF3"/>
    <w:rsid w:val="00BF3F93"/>
    <w:rsid w:val="00BF6C7D"/>
    <w:rsid w:val="00C03029"/>
    <w:rsid w:val="00C04967"/>
    <w:rsid w:val="00C10634"/>
    <w:rsid w:val="00C1435B"/>
    <w:rsid w:val="00C22013"/>
    <w:rsid w:val="00C26E78"/>
    <w:rsid w:val="00C272DB"/>
    <w:rsid w:val="00C32395"/>
    <w:rsid w:val="00C378BF"/>
    <w:rsid w:val="00C42CC0"/>
    <w:rsid w:val="00C42DA5"/>
    <w:rsid w:val="00C43303"/>
    <w:rsid w:val="00C46899"/>
    <w:rsid w:val="00C5039F"/>
    <w:rsid w:val="00C53134"/>
    <w:rsid w:val="00C61813"/>
    <w:rsid w:val="00C73275"/>
    <w:rsid w:val="00C7538F"/>
    <w:rsid w:val="00C76987"/>
    <w:rsid w:val="00C7756A"/>
    <w:rsid w:val="00C82471"/>
    <w:rsid w:val="00C90347"/>
    <w:rsid w:val="00C95442"/>
    <w:rsid w:val="00C97B74"/>
    <w:rsid w:val="00CA1795"/>
    <w:rsid w:val="00CA3607"/>
    <w:rsid w:val="00CB3576"/>
    <w:rsid w:val="00CB39BE"/>
    <w:rsid w:val="00CB7688"/>
    <w:rsid w:val="00CC59B8"/>
    <w:rsid w:val="00CC736F"/>
    <w:rsid w:val="00CC7AD4"/>
    <w:rsid w:val="00CD3A9C"/>
    <w:rsid w:val="00CD55BD"/>
    <w:rsid w:val="00CE086F"/>
    <w:rsid w:val="00CE3501"/>
    <w:rsid w:val="00CE3AD0"/>
    <w:rsid w:val="00CE46B3"/>
    <w:rsid w:val="00CE6073"/>
    <w:rsid w:val="00CE6A84"/>
    <w:rsid w:val="00CF1D8A"/>
    <w:rsid w:val="00CF308A"/>
    <w:rsid w:val="00CF7E54"/>
    <w:rsid w:val="00D01C5B"/>
    <w:rsid w:val="00D04372"/>
    <w:rsid w:val="00D04FAE"/>
    <w:rsid w:val="00D06EC7"/>
    <w:rsid w:val="00D122A7"/>
    <w:rsid w:val="00D201C0"/>
    <w:rsid w:val="00D21EFF"/>
    <w:rsid w:val="00D23720"/>
    <w:rsid w:val="00D24378"/>
    <w:rsid w:val="00D30CB6"/>
    <w:rsid w:val="00D326C0"/>
    <w:rsid w:val="00D36912"/>
    <w:rsid w:val="00D36954"/>
    <w:rsid w:val="00D40021"/>
    <w:rsid w:val="00D40F25"/>
    <w:rsid w:val="00D462E6"/>
    <w:rsid w:val="00D54E18"/>
    <w:rsid w:val="00D630BF"/>
    <w:rsid w:val="00D674C6"/>
    <w:rsid w:val="00D7194E"/>
    <w:rsid w:val="00D7514E"/>
    <w:rsid w:val="00D84F13"/>
    <w:rsid w:val="00D93068"/>
    <w:rsid w:val="00D9317A"/>
    <w:rsid w:val="00D94261"/>
    <w:rsid w:val="00D956FF"/>
    <w:rsid w:val="00DA75AF"/>
    <w:rsid w:val="00DB0C05"/>
    <w:rsid w:val="00DB427E"/>
    <w:rsid w:val="00DC0696"/>
    <w:rsid w:val="00DC49EB"/>
    <w:rsid w:val="00DC7B32"/>
    <w:rsid w:val="00DD537A"/>
    <w:rsid w:val="00DD5A69"/>
    <w:rsid w:val="00DD7AC1"/>
    <w:rsid w:val="00DD7B3C"/>
    <w:rsid w:val="00DF59C9"/>
    <w:rsid w:val="00DF5B02"/>
    <w:rsid w:val="00DF5F60"/>
    <w:rsid w:val="00DF7948"/>
    <w:rsid w:val="00E0342E"/>
    <w:rsid w:val="00E06CC4"/>
    <w:rsid w:val="00E07896"/>
    <w:rsid w:val="00E1621E"/>
    <w:rsid w:val="00E17D75"/>
    <w:rsid w:val="00E2152E"/>
    <w:rsid w:val="00E250E6"/>
    <w:rsid w:val="00E30473"/>
    <w:rsid w:val="00E32A3A"/>
    <w:rsid w:val="00E353A0"/>
    <w:rsid w:val="00E35D11"/>
    <w:rsid w:val="00E402AE"/>
    <w:rsid w:val="00E43A6B"/>
    <w:rsid w:val="00E44FED"/>
    <w:rsid w:val="00E45C9A"/>
    <w:rsid w:val="00E51908"/>
    <w:rsid w:val="00E52ED4"/>
    <w:rsid w:val="00E53556"/>
    <w:rsid w:val="00E54991"/>
    <w:rsid w:val="00E55B19"/>
    <w:rsid w:val="00E55D28"/>
    <w:rsid w:val="00E60641"/>
    <w:rsid w:val="00E6141A"/>
    <w:rsid w:val="00E63CEA"/>
    <w:rsid w:val="00E65091"/>
    <w:rsid w:val="00E709E0"/>
    <w:rsid w:val="00E80306"/>
    <w:rsid w:val="00E803EF"/>
    <w:rsid w:val="00E81158"/>
    <w:rsid w:val="00E82241"/>
    <w:rsid w:val="00E830AE"/>
    <w:rsid w:val="00E90137"/>
    <w:rsid w:val="00E90DC1"/>
    <w:rsid w:val="00E926A0"/>
    <w:rsid w:val="00E92FBA"/>
    <w:rsid w:val="00E93111"/>
    <w:rsid w:val="00EA15B6"/>
    <w:rsid w:val="00EA38AE"/>
    <w:rsid w:val="00EA4F1F"/>
    <w:rsid w:val="00EB259F"/>
    <w:rsid w:val="00EC3221"/>
    <w:rsid w:val="00EC513A"/>
    <w:rsid w:val="00EC63C1"/>
    <w:rsid w:val="00ED2F2D"/>
    <w:rsid w:val="00ED432C"/>
    <w:rsid w:val="00ED4889"/>
    <w:rsid w:val="00ED5E2A"/>
    <w:rsid w:val="00ED7DC1"/>
    <w:rsid w:val="00EE404B"/>
    <w:rsid w:val="00EF0228"/>
    <w:rsid w:val="00EF032C"/>
    <w:rsid w:val="00EF775A"/>
    <w:rsid w:val="00F02A58"/>
    <w:rsid w:val="00F04079"/>
    <w:rsid w:val="00F040E9"/>
    <w:rsid w:val="00F046E5"/>
    <w:rsid w:val="00F13732"/>
    <w:rsid w:val="00F1517E"/>
    <w:rsid w:val="00F16B54"/>
    <w:rsid w:val="00F2056D"/>
    <w:rsid w:val="00F22A8A"/>
    <w:rsid w:val="00F24ED6"/>
    <w:rsid w:val="00F263CE"/>
    <w:rsid w:val="00F267BA"/>
    <w:rsid w:val="00F27E17"/>
    <w:rsid w:val="00F34217"/>
    <w:rsid w:val="00F41D15"/>
    <w:rsid w:val="00F46AB6"/>
    <w:rsid w:val="00F47FBC"/>
    <w:rsid w:val="00F50736"/>
    <w:rsid w:val="00F55B8D"/>
    <w:rsid w:val="00F56FB0"/>
    <w:rsid w:val="00F63188"/>
    <w:rsid w:val="00F7561B"/>
    <w:rsid w:val="00F77388"/>
    <w:rsid w:val="00F806CD"/>
    <w:rsid w:val="00F841CA"/>
    <w:rsid w:val="00F86625"/>
    <w:rsid w:val="00F91F0C"/>
    <w:rsid w:val="00F92848"/>
    <w:rsid w:val="00F92A98"/>
    <w:rsid w:val="00F9640C"/>
    <w:rsid w:val="00F97099"/>
    <w:rsid w:val="00FA18EF"/>
    <w:rsid w:val="00FA3645"/>
    <w:rsid w:val="00FA59AD"/>
    <w:rsid w:val="00FB77C5"/>
    <w:rsid w:val="00FC3E3C"/>
    <w:rsid w:val="00FC5110"/>
    <w:rsid w:val="00FC5797"/>
    <w:rsid w:val="00FC65D1"/>
    <w:rsid w:val="00FD0F49"/>
    <w:rsid w:val="00FD3D56"/>
    <w:rsid w:val="00FD6647"/>
    <w:rsid w:val="00FE071E"/>
    <w:rsid w:val="00FE1009"/>
    <w:rsid w:val="00FE1F3E"/>
    <w:rsid w:val="00FE417D"/>
    <w:rsid w:val="00FE5282"/>
    <w:rsid w:val="00FE7F88"/>
    <w:rsid w:val="00FF0FDA"/>
    <w:rsid w:val="00FF5019"/>
    <w:rsid w:val="05493BC9"/>
    <w:rsid w:val="082367D8"/>
    <w:rsid w:val="09296645"/>
    <w:rsid w:val="0AD61DDC"/>
    <w:rsid w:val="0F44202F"/>
    <w:rsid w:val="0F4D55F7"/>
    <w:rsid w:val="1391366C"/>
    <w:rsid w:val="163F16D6"/>
    <w:rsid w:val="186C3097"/>
    <w:rsid w:val="1904424A"/>
    <w:rsid w:val="1A243471"/>
    <w:rsid w:val="1EC56FB3"/>
    <w:rsid w:val="26152128"/>
    <w:rsid w:val="28E34459"/>
    <w:rsid w:val="2B774142"/>
    <w:rsid w:val="2E8D3492"/>
    <w:rsid w:val="3B5076CB"/>
    <w:rsid w:val="47E966F8"/>
    <w:rsid w:val="489A21AE"/>
    <w:rsid w:val="4B6C6857"/>
    <w:rsid w:val="4DB868DF"/>
    <w:rsid w:val="56996D26"/>
    <w:rsid w:val="58FE34AB"/>
    <w:rsid w:val="5BF72394"/>
    <w:rsid w:val="619C5E5C"/>
    <w:rsid w:val="64550D2B"/>
    <w:rsid w:val="64673857"/>
    <w:rsid w:val="67F251C8"/>
    <w:rsid w:val="69D00C6D"/>
    <w:rsid w:val="6B8A2506"/>
    <w:rsid w:val="6E93625D"/>
    <w:rsid w:val="72516B3C"/>
    <w:rsid w:val="727E7576"/>
    <w:rsid w:val="7E8217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9"/>
    <w:pPr>
      <w:keepNext/>
      <w:keepLines/>
      <w:spacing w:line="360" w:lineRule="auto"/>
      <w:ind w:firstLine="200" w:firstLineChars="200"/>
      <w:outlineLvl w:val="1"/>
    </w:pPr>
    <w:rPr>
      <w:rFonts w:ascii="Cambria" w:hAnsi="Cambria"/>
      <w:b/>
      <w:bCs/>
      <w:sz w:val="24"/>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w:basedOn w:val="1"/>
    <w:link w:val="27"/>
    <w:qFormat/>
    <w:uiPriority w:val="0"/>
    <w:rPr>
      <w:rFonts w:eastAsia="华文细黑"/>
      <w:sz w:val="24"/>
    </w:rPr>
  </w:style>
  <w:style w:type="paragraph" w:styleId="4">
    <w:name w:val="Balloon Text"/>
    <w:basedOn w:val="1"/>
    <w:link w:val="17"/>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able of figures"/>
    <w:basedOn w:val="1"/>
    <w:next w:val="1"/>
    <w:qFormat/>
    <w:uiPriority w:val="0"/>
    <w:pPr>
      <w:ind w:left="200" w:leftChars="200" w:hanging="200" w:hangingChars="200"/>
    </w:pPr>
  </w:style>
  <w:style w:type="paragraph" w:styleId="8">
    <w:name w:val="Normal (Web)"/>
    <w:basedOn w:val="1"/>
    <w:unhideWhenUsed/>
    <w:qFormat/>
    <w:uiPriority w:val="99"/>
    <w:pPr>
      <w:spacing w:before="100" w:beforeAutospacing="1" w:after="100" w:afterAutospacing="1"/>
    </w:pPr>
    <w:rPr>
      <w:rFonts w:ascii="宋体" w:hAnsi="宋体" w:cs="宋体"/>
      <w:kern w:val="0"/>
      <w:sz w:val="24"/>
      <w:szCs w:val="24"/>
    </w:rPr>
  </w:style>
  <w:style w:type="paragraph" w:styleId="9">
    <w:name w:val="Body Text First Indent"/>
    <w:basedOn w:val="3"/>
    <w:unhideWhenUsed/>
    <w:qFormat/>
    <w:uiPriority w:val="99"/>
    <w:pPr>
      <w:ind w:firstLine="420" w:firstLineChars="100"/>
    </w:pPr>
  </w:style>
  <w:style w:type="table" w:styleId="11">
    <w:name w:val="Table Grid"/>
    <w:basedOn w:val="1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样式 标题 2"/>
    <w:basedOn w:val="2"/>
    <w:qFormat/>
    <w:uiPriority w:val="0"/>
    <w:pPr>
      <w:snapToGrid w:val="0"/>
      <w:spacing w:before="120" w:after="120" w:line="240" w:lineRule="auto"/>
    </w:pPr>
    <w:rPr>
      <w:rFonts w:ascii="Calibri" w:hAnsi="Calibri" w:cs="宋体"/>
      <w:lang w:val="zh-CN"/>
    </w:rPr>
  </w:style>
  <w:style w:type="paragraph" w:customStyle="1" w:styleId="14">
    <w:name w:val="表格文字"/>
    <w:basedOn w:val="1"/>
    <w:qFormat/>
    <w:uiPriority w:val="0"/>
    <w:pPr>
      <w:spacing w:before="25" w:after="25"/>
    </w:pPr>
    <w:rPr>
      <w:bCs/>
      <w:spacing w:val="10"/>
    </w:rPr>
  </w:style>
  <w:style w:type="character" w:customStyle="1" w:styleId="15">
    <w:name w:val="页眉 字符"/>
    <w:basedOn w:val="12"/>
    <w:link w:val="6"/>
    <w:qFormat/>
    <w:uiPriority w:val="99"/>
    <w:rPr>
      <w:rFonts w:ascii="Times New Roman" w:hAnsi="Times New Roman" w:eastAsia="宋体" w:cs="Times New Roman"/>
      <w:sz w:val="18"/>
      <w:szCs w:val="18"/>
    </w:rPr>
  </w:style>
  <w:style w:type="character" w:customStyle="1" w:styleId="16">
    <w:name w:val="页脚 字符"/>
    <w:basedOn w:val="12"/>
    <w:link w:val="5"/>
    <w:qFormat/>
    <w:uiPriority w:val="99"/>
    <w:rPr>
      <w:rFonts w:ascii="Times New Roman" w:hAnsi="Times New Roman" w:eastAsia="宋体" w:cs="Times New Roman"/>
      <w:sz w:val="18"/>
      <w:szCs w:val="18"/>
    </w:rPr>
  </w:style>
  <w:style w:type="character" w:customStyle="1" w:styleId="17">
    <w:name w:val="批注框文本 字符"/>
    <w:basedOn w:val="12"/>
    <w:link w:val="4"/>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样式1"/>
    <w:next w:val="1"/>
    <w:qFormat/>
    <w:uiPriority w:val="0"/>
    <w:pPr>
      <w:spacing w:line="360" w:lineRule="auto"/>
    </w:pPr>
    <w:rPr>
      <w:rFonts w:ascii="Microsoft YaHei UI" w:hAnsi="Microsoft YaHei UI" w:eastAsia="宋体" w:cs="Microsoft YaHei UI"/>
      <w:b/>
      <w:color w:val="000000"/>
      <w:kern w:val="2"/>
      <w:sz w:val="21"/>
      <w:szCs w:val="21"/>
      <w:lang w:val="en-US" w:eastAsia="zh-CN" w:bidi="ar-SA"/>
    </w:rPr>
  </w:style>
  <w:style w:type="paragraph" w:customStyle="1" w:styleId="20">
    <w:name w:val="字母编号列项（一级）"/>
    <w:qFormat/>
    <w:uiPriority w:val="0"/>
    <w:pPr>
      <w:numPr>
        <w:ilvl w:val="0"/>
        <w:numId w:val="1"/>
      </w:numPr>
      <w:jc w:val="both"/>
    </w:pPr>
    <w:rPr>
      <w:rFonts w:ascii="宋体" w:hAnsi="Times New Roman" w:eastAsia="宋体" w:cs="Times New Roman"/>
      <w:sz w:val="21"/>
      <w:lang w:val="en-US" w:eastAsia="zh-CN" w:bidi="ar-SA"/>
    </w:rPr>
  </w:style>
  <w:style w:type="paragraph" w:customStyle="1" w:styleId="21">
    <w:name w:val="表格"/>
    <w:basedOn w:val="3"/>
    <w:next w:val="1"/>
    <w:qFormat/>
    <w:uiPriority w:val="0"/>
    <w:pPr>
      <w:spacing w:before="20" w:beforeLines="20" w:after="20" w:afterLines="20"/>
      <w:jc w:val="center"/>
    </w:pPr>
    <w:rPr>
      <w:rFonts w:eastAsia="仿宋_GB2312"/>
      <w:szCs w:val="22"/>
    </w:rPr>
  </w:style>
  <w:style w:type="paragraph" w:customStyle="1" w:styleId="22">
    <w:name w:val="样式1（清审）"/>
    <w:basedOn w:val="23"/>
    <w:qFormat/>
    <w:uiPriority w:val="0"/>
  </w:style>
  <w:style w:type="paragraph" w:customStyle="1" w:styleId="23">
    <w:name w:val="清审正文"/>
    <w:basedOn w:val="24"/>
    <w:next w:val="24"/>
    <w:qFormat/>
    <w:uiPriority w:val="0"/>
    <w:pPr>
      <w:spacing w:line="480" w:lineRule="atLeast"/>
      <w:ind w:firstLine="1280"/>
    </w:pPr>
  </w:style>
  <w:style w:type="paragraph" w:customStyle="1" w:styleId="24">
    <w:name w:val="样式1（首行缩进）"/>
    <w:basedOn w:val="1"/>
    <w:qFormat/>
    <w:uiPriority w:val="0"/>
    <w:pPr>
      <w:snapToGrid w:val="0"/>
      <w:spacing w:line="360" w:lineRule="auto"/>
      <w:ind w:firstLine="1344" w:firstLineChars="200"/>
    </w:pPr>
    <w:rPr>
      <w:rFonts w:eastAsia="仿宋_GB2312"/>
      <w:sz w:val="24"/>
    </w:rPr>
  </w:style>
  <w:style w:type="character" w:customStyle="1" w:styleId="25">
    <w:name w:val="font11"/>
    <w:basedOn w:val="12"/>
    <w:qFormat/>
    <w:uiPriority w:val="0"/>
    <w:rPr>
      <w:rFonts w:ascii="宋体" w:hAnsi="宋体" w:eastAsia="宋体" w:cs="宋体"/>
      <w:color w:val="000000"/>
      <w:sz w:val="18"/>
      <w:szCs w:val="18"/>
      <w:u w:val="none"/>
    </w:rPr>
  </w:style>
  <w:style w:type="paragraph" w:styleId="26">
    <w:name w:val="List Paragraph"/>
    <w:basedOn w:val="1"/>
    <w:qFormat/>
    <w:uiPriority w:val="99"/>
    <w:pPr>
      <w:ind w:firstLine="420" w:firstLineChars="200"/>
    </w:pPr>
  </w:style>
  <w:style w:type="character" w:customStyle="1" w:styleId="27">
    <w:name w:val="正文文本 字符"/>
    <w:basedOn w:val="12"/>
    <w:link w:val="3"/>
    <w:qFormat/>
    <w:uiPriority w:val="0"/>
    <w:rPr>
      <w:rFonts w:ascii="Times New Roman" w:hAnsi="Times New Roman" w:eastAsia="华文细黑" w:cs="Times New Roman"/>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1923</Words>
  <Characters>10966</Characters>
  <Lines>91</Lines>
  <Paragraphs>25</Paragraphs>
  <TotalTime>2</TotalTime>
  <ScaleCrop>false</ScaleCrop>
  <LinksUpToDate>false</LinksUpToDate>
  <CharactersWithSpaces>12864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2022-06-29T06:32:00Z</dcterms:modified>
  <cp:revision>493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2052-11.1.0.10314</vt:lpwstr>
  </property>
</Properties>
</file>