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无锡万华机械有限公司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网络视频会议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生产工艺流程图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原材料检验→焊接→热成型→激光切割→抛丸→冲压→检验→入库；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/>
                <w:b/>
                <w:sz w:val="20"/>
                <w:lang w:val="en-US" w:eastAsia="zh-CN"/>
              </w:rPr>
              <w:t>天然气、电、水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：综合能耗tce、单位产品综合能耗Kgce/件、单位产值能耗Kgce/万元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de-DE" w:eastAsia="zh-CN" w:bidi="ar-SA"/>
              </w:rPr>
              <w:t xml:space="preserve">RB/T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119-2015能源管理体系 机械制造企业认证要求等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专业审核相关的知识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-118110</wp:posOffset>
                  </wp:positionV>
                  <wp:extent cx="648970" cy="473710"/>
                  <wp:effectExtent l="0" t="0" r="11430" b="8890"/>
                  <wp:wrapSquare wrapText="bothSides"/>
                  <wp:docPr id="1" name="图片 1" descr="徐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徐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5C5"/>
    <w:multiLevelType w:val="singleLevel"/>
    <w:tmpl w:val="14BC15C5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8DB7C30"/>
    <w:rsid w:val="7F203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2022-06-24T07:00:58Z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