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0775-2022-EnMS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无锡市博特电器有限公司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5"/>
      </w:pPr>
    </w:p>
    <w:p>
      <w:pPr>
        <w:pStyle w:val="15"/>
      </w:pPr>
    </w:p>
    <w:p>
      <w:pPr>
        <w:pStyle w:val="15"/>
      </w:pPr>
    </w:p>
    <w:p>
      <w:pPr>
        <w:pStyle w:val="15"/>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无锡市博特电器有限公司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无锡惠山经济开发区玉祁配套区祁北路127</w:t>
            </w:r>
            <w:bookmarkEnd w:id="6"/>
          </w:p>
        </w:tc>
        <w:tc>
          <w:tcPr>
            <w:tcW w:w="1242" w:type="dxa"/>
            <w:vMerge w:val="restart"/>
            <w:vAlign w:val="center"/>
          </w:tcPr>
          <w:p>
            <w:r>
              <w:rPr>
                <w:rFonts w:hint="eastAsia"/>
              </w:rPr>
              <w:t>邮编</w:t>
            </w:r>
          </w:p>
        </w:tc>
        <w:tc>
          <w:tcPr>
            <w:tcW w:w="1771" w:type="dxa"/>
          </w:tcPr>
          <w:p>
            <w:bookmarkStart w:id="7" w:name="注册邮编"/>
            <w:r>
              <w:t>214000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无锡惠山经济开发区玉祁配套区祁北路127</w:t>
            </w:r>
            <w:bookmarkEnd w:id="8"/>
          </w:p>
        </w:tc>
        <w:tc>
          <w:tcPr>
            <w:tcW w:w="1242" w:type="dxa"/>
            <w:vMerge w:val="continue"/>
            <w:vAlign w:val="center"/>
          </w:tcPr>
          <w:p/>
        </w:tc>
        <w:tc>
          <w:tcPr>
            <w:tcW w:w="1771" w:type="dxa"/>
          </w:tcPr>
          <w:p>
            <w:bookmarkStart w:id="9" w:name="办公邮编"/>
            <w:r>
              <w:t>214000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韦婷莛</w:t>
            </w:r>
            <w:bookmarkEnd w:id="10"/>
          </w:p>
        </w:tc>
        <w:tc>
          <w:tcPr>
            <w:tcW w:w="1313" w:type="dxa"/>
            <w:vAlign w:val="center"/>
          </w:tcPr>
          <w:p>
            <w:r>
              <w:rPr>
                <w:rFonts w:hint="eastAsia"/>
              </w:rPr>
              <w:t>电话.</w:t>
            </w:r>
          </w:p>
        </w:tc>
        <w:tc>
          <w:tcPr>
            <w:tcW w:w="2180" w:type="dxa"/>
            <w:vAlign w:val="center"/>
          </w:tcPr>
          <w:p>
            <w:bookmarkStart w:id="11" w:name="联系人电话"/>
            <w:r>
              <w:t>15895319211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韦和鹏</w:t>
            </w:r>
            <w:bookmarkEnd w:id="13"/>
          </w:p>
        </w:tc>
        <w:tc>
          <w:tcPr>
            <w:tcW w:w="1313" w:type="dxa"/>
            <w:vAlign w:val="center"/>
          </w:tcPr>
          <w:p>
            <w:r>
              <w:rPr>
                <w:rFonts w:hint="eastAsia"/>
              </w:rPr>
              <w:t>管理者代表</w:t>
            </w:r>
          </w:p>
        </w:tc>
        <w:tc>
          <w:tcPr>
            <w:tcW w:w="2180" w:type="dxa"/>
          </w:tcPr>
          <w:p>
            <w:bookmarkStart w:id="14" w:name="管理者代表"/>
            <w:r>
              <w:t>韦婷莛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w:t>
            </w:r>
            <w:r>
              <w:rPr>
                <w:rFonts w:hint="eastAsia"/>
              </w:rPr>
              <w:sym w:font="Wingdings 2" w:char="0052"/>
            </w:r>
            <w:r>
              <w:rPr>
                <w:rFonts w:hint="eastAsia"/>
              </w:rPr>
              <w:t>三班□其他</w:t>
            </w:r>
          </w:p>
          <w:p>
            <w:r>
              <w:rPr>
                <w:rFonts w:hint="eastAsia"/>
                <w:highlight w:val="cyan"/>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0" distR="0">
                  <wp:extent cx="4518660" cy="2593340"/>
                  <wp:effectExtent l="0" t="0" r="254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18660" cy="2593340"/>
                          </a:xfrm>
                          <a:prstGeom prst="rect">
                            <a:avLst/>
                          </a:prstGeom>
                        </pic:spPr>
                      </pic:pic>
                    </a:graphicData>
                  </a:graphic>
                </wp:inline>
              </w:drawing>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2022年06月25日 上午至2022年06月27日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r>
              <w:rPr>
                <w:rFonts w:hint="eastAsia"/>
                <w:lang w:val="de-DE"/>
              </w:rPr>
              <w:sym w:font="Wingdings 2" w:char="0052"/>
            </w:r>
            <w:r>
              <w:rPr>
                <w:rFonts w:hint="eastAsia" w:ascii="Times New Roman" w:hAnsi="Times New Roman" w:eastAsia="宋体" w:cs="Times New Roman"/>
                <w:lang w:val="de-DE"/>
              </w:rPr>
              <w:t>RB</w:t>
            </w:r>
            <w:r>
              <w:rPr>
                <w:rFonts w:hint="eastAsia" w:ascii="Times New Roman" w:hAnsi="Times New Roman" w:eastAsia="宋体" w:cs="Times New Roman"/>
                <w:lang w:val="en-US" w:eastAsia="zh-CN"/>
              </w:rPr>
              <w:t>/</w:t>
            </w:r>
            <w:r>
              <w:rPr>
                <w:rFonts w:hint="eastAsia" w:ascii="Times New Roman" w:hAnsi="Times New Roman" w:eastAsia="宋体" w:cs="Times New Roman"/>
                <w:lang w:val="de-DE"/>
              </w:rPr>
              <w:t xml:space="preserve">T 108-2013 能源管理体系 家电企业认证要求 </w:t>
            </w:r>
            <w:r>
              <w:rPr>
                <w:rFonts w:hint="eastAsia" w:ascii="宋体" w:hAnsi="宋体" w:eastAsia="宋体" w:cs="Times New Roman"/>
                <w:b/>
                <w:sz w:val="21"/>
                <w:szCs w:val="21"/>
              </w:rPr>
              <w:t xml:space="preserve"> </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河北省石家庄市；河北省荆州市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电暖器、电风扇的生产所涉及的能源管理活动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23"/>
        <w:gridCol w:w="582"/>
        <w:gridCol w:w="1963"/>
        <w:gridCol w:w="18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923" w:type="dxa"/>
            <w:shd w:val="clear" w:color="auto" w:fill="F3F3F3"/>
            <w:tcMar>
              <w:left w:w="57" w:type="dxa"/>
              <w:right w:w="57" w:type="dxa"/>
            </w:tcMar>
          </w:tcPr>
          <w:p>
            <w:r>
              <w:rPr>
                <w:rFonts w:hint="eastAsia"/>
              </w:rPr>
              <w:t>经营场所的地址</w:t>
            </w:r>
          </w:p>
          <w:p>
            <w:r>
              <w:rPr>
                <w:rFonts w:hint="eastAsia"/>
              </w:rPr>
              <w:t>（多现场和临时现场）</w:t>
            </w:r>
          </w:p>
        </w:tc>
        <w:tc>
          <w:tcPr>
            <w:tcW w:w="582" w:type="dxa"/>
            <w:shd w:val="clear" w:color="auto" w:fill="F3F3F3"/>
            <w:tcMar>
              <w:left w:w="57" w:type="dxa"/>
              <w:right w:w="57" w:type="dxa"/>
            </w:tcMar>
          </w:tcPr>
          <w:p>
            <w:r>
              <w:rPr>
                <w:rFonts w:hint="eastAsia"/>
              </w:rPr>
              <w:t>员工人数</w:t>
            </w:r>
          </w:p>
        </w:tc>
        <w:tc>
          <w:tcPr>
            <w:tcW w:w="196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84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sz w:val="21"/>
                <w:szCs w:val="21"/>
              </w:rPr>
              <w:t>无锡市博特电器有限公司</w:t>
            </w:r>
            <w:r>
              <w:rPr>
                <w:rFonts w:hint="eastAsia"/>
                <w:sz w:val="21"/>
                <w:szCs w:val="21"/>
                <w:lang w:val="en-US" w:eastAsia="zh-CN"/>
              </w:rPr>
              <w:t>/</w:t>
            </w:r>
            <w:r>
              <w:rPr>
                <w:sz w:val="21"/>
                <w:szCs w:val="21"/>
              </w:rPr>
              <w:t>无锡惠山经济开发区玉祁配套区祁北路127</w:t>
            </w:r>
          </w:p>
        </w:tc>
        <w:tc>
          <w:tcPr>
            <w:tcW w:w="1923"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无锡惠山经济开发区玉祁配套区祁北路127</w:t>
            </w:r>
          </w:p>
        </w:tc>
        <w:tc>
          <w:tcPr>
            <w:tcW w:w="582"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120</w:t>
            </w:r>
          </w:p>
        </w:tc>
        <w:tc>
          <w:tcPr>
            <w:tcW w:w="1963" w:type="dxa"/>
            <w:vAlign w:val="center"/>
          </w:tcPr>
          <w:p>
            <w:pPr>
              <w:pStyle w:val="24"/>
              <w:rPr>
                <w:rFonts w:ascii="Times New Roman" w:hAnsi="Times New Roman" w:eastAsia="黑体" w:cs="Arial"/>
                <w:kern w:val="2"/>
                <w:sz w:val="21"/>
                <w:szCs w:val="21"/>
                <w:lang w:val="en-US" w:eastAsia="ja-JP" w:bidi="ar-SA"/>
              </w:rPr>
            </w:pPr>
            <w:r>
              <w:t>电暖器、电风扇的生产所涉及的能源管理活动</w:t>
            </w:r>
          </w:p>
        </w:tc>
        <w:tc>
          <w:tcPr>
            <w:tcW w:w="1842"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RB/T108-2013</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923" w:type="dxa"/>
            <w:vAlign w:val="center"/>
          </w:tcPr>
          <w:p>
            <w:pPr>
              <w:rPr>
                <w:lang w:eastAsia="ja-JP"/>
              </w:rPr>
            </w:pPr>
          </w:p>
        </w:tc>
        <w:tc>
          <w:tcPr>
            <w:tcW w:w="582" w:type="dxa"/>
            <w:vAlign w:val="center"/>
          </w:tcPr>
          <w:p>
            <w:pPr>
              <w:rPr>
                <w:lang w:eastAsia="ja-JP"/>
              </w:rPr>
            </w:pPr>
          </w:p>
        </w:tc>
        <w:tc>
          <w:tcPr>
            <w:tcW w:w="1963" w:type="dxa"/>
            <w:vAlign w:val="center"/>
          </w:tcPr>
          <w:p>
            <w:pPr>
              <w:rPr>
                <w:lang w:eastAsia="ja-JP"/>
              </w:rPr>
            </w:pPr>
          </w:p>
        </w:tc>
        <w:tc>
          <w:tcPr>
            <w:tcW w:w="18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923" w:type="dxa"/>
            <w:vAlign w:val="center"/>
          </w:tcPr>
          <w:p>
            <w:pPr>
              <w:rPr>
                <w:lang w:eastAsia="ja-JP"/>
              </w:rPr>
            </w:pPr>
          </w:p>
        </w:tc>
        <w:tc>
          <w:tcPr>
            <w:tcW w:w="582" w:type="dxa"/>
            <w:vAlign w:val="center"/>
          </w:tcPr>
          <w:p>
            <w:pPr>
              <w:rPr>
                <w:lang w:eastAsia="ja-JP"/>
              </w:rPr>
            </w:pPr>
          </w:p>
        </w:tc>
        <w:tc>
          <w:tcPr>
            <w:tcW w:w="1963" w:type="dxa"/>
            <w:vAlign w:val="center"/>
          </w:tcPr>
          <w:p>
            <w:pPr>
              <w:rPr>
                <w:lang w:eastAsia="ja-JP"/>
              </w:rPr>
            </w:pPr>
          </w:p>
        </w:tc>
        <w:tc>
          <w:tcPr>
            <w:tcW w:w="18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923" w:type="dxa"/>
            <w:vAlign w:val="center"/>
          </w:tcPr>
          <w:p>
            <w:pPr>
              <w:rPr>
                <w:lang w:eastAsia="ja-JP"/>
              </w:rPr>
            </w:pPr>
          </w:p>
        </w:tc>
        <w:tc>
          <w:tcPr>
            <w:tcW w:w="582" w:type="dxa"/>
            <w:vAlign w:val="center"/>
          </w:tcPr>
          <w:p>
            <w:pPr>
              <w:rPr>
                <w:lang w:eastAsia="ja-JP"/>
              </w:rPr>
            </w:pPr>
          </w:p>
        </w:tc>
        <w:tc>
          <w:tcPr>
            <w:tcW w:w="1963" w:type="dxa"/>
            <w:vAlign w:val="center"/>
          </w:tcPr>
          <w:p>
            <w:pPr>
              <w:rPr>
                <w:lang w:eastAsia="ja-JP"/>
              </w:rPr>
            </w:pPr>
          </w:p>
        </w:tc>
        <w:tc>
          <w:tcPr>
            <w:tcW w:w="184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923" w:type="dxa"/>
            <w:vAlign w:val="center"/>
          </w:tcPr>
          <w:p>
            <w:pPr>
              <w:rPr>
                <w:lang w:eastAsia="ja-JP"/>
              </w:rPr>
            </w:pPr>
          </w:p>
        </w:tc>
        <w:tc>
          <w:tcPr>
            <w:tcW w:w="582" w:type="dxa"/>
            <w:vAlign w:val="center"/>
          </w:tcPr>
          <w:p>
            <w:pPr>
              <w:rPr>
                <w:lang w:eastAsia="ja-JP"/>
              </w:rPr>
            </w:pPr>
          </w:p>
        </w:tc>
        <w:tc>
          <w:tcPr>
            <w:tcW w:w="1963" w:type="dxa"/>
            <w:vAlign w:val="center"/>
          </w:tcPr>
          <w:p>
            <w:pPr>
              <w:rPr>
                <w:lang w:eastAsia="ja-JP"/>
              </w:rPr>
            </w:pPr>
          </w:p>
        </w:tc>
        <w:tc>
          <w:tcPr>
            <w:tcW w:w="1842"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宋翠琳</w:t>
            </w:r>
          </w:p>
        </w:tc>
        <w:tc>
          <w:tcPr>
            <w:tcW w:w="1089" w:type="dxa"/>
            <w:vAlign w:val="center"/>
          </w:tcPr>
          <w:p>
            <w:r>
              <w:t>组员</w:t>
            </w:r>
          </w:p>
        </w:tc>
        <w:tc>
          <w:tcPr>
            <w:tcW w:w="711" w:type="dxa"/>
            <w:vAlign w:val="center"/>
          </w:tcPr>
          <w:p>
            <w:r>
              <w:t>女</w:t>
            </w:r>
          </w:p>
        </w:tc>
        <w:tc>
          <w:tcPr>
            <w:tcW w:w="3870" w:type="dxa"/>
            <w:vAlign w:val="center"/>
          </w:tcPr>
          <w:p>
            <w:r>
              <w:t>2022-N1EnMS-1082241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2"/>
        </w:numPr>
      </w:pPr>
      <w:r>
        <w:t>审核发现</w:t>
      </w:r>
      <w:r>
        <w:rPr>
          <w:rFonts w:hint="eastAsia"/>
        </w:rPr>
        <w:t>（见□QMS □EcMS□EMS□OHSMS</w:t>
      </w:r>
      <w:r>
        <w:rPr>
          <w:rFonts w:hint="eastAsia"/>
        </w:rPr>
        <w:sym w:font="Wingdings 2" w:char="0052"/>
      </w:r>
      <w:r>
        <w:rPr>
          <w:rFonts w:hint="eastAsia"/>
        </w:rPr>
        <w:t>EnMS□FSMS□HACCP的附件）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inline distT="0" distB="0" distL="114300" distR="114300">
                  <wp:extent cx="777240" cy="234950"/>
                  <wp:effectExtent l="0" t="0" r="0" b="5715"/>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7"/>
                          <a:stretch>
                            <a:fillRect/>
                          </a:stretch>
                        </pic:blipFill>
                        <pic:spPr>
                          <a:xfrm>
                            <a:off x="0" y="0"/>
                            <a:ext cx="777240" cy="234950"/>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2022.6.27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5"/>
      </w:pPr>
    </w:p>
    <w:p>
      <w:pPr>
        <w:pStyle w:val="15"/>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52"/>
            </w:r>
            <w:r>
              <w:rPr>
                <w:rFonts w:hint="eastAsia"/>
              </w:rPr>
              <w:t>能效监测</w:t>
            </w:r>
            <w:r>
              <w:rPr>
                <w:rFonts w:hint="eastAsia"/>
              </w:rPr>
              <w:sym w:font="Wingdings 2" w:char="0052"/>
            </w:r>
            <w:r>
              <w:rPr>
                <w:rFonts w:hint="eastAsia"/>
              </w:rPr>
              <w:t>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管理部 </w:t>
            </w:r>
            <w:r>
              <w:rPr>
                <w:rFonts w:hint="eastAsia"/>
              </w:rPr>
              <w:sym w:font="Wingdings 2" w:char="0052"/>
            </w:r>
            <w:r>
              <w:rPr>
                <w:rFonts w:hint="eastAsia"/>
              </w:rPr>
              <w:t>能源管理团队</w:t>
            </w:r>
            <w:r>
              <w:rPr>
                <w:rFonts w:hint="eastAsia"/>
                <w:lang w:eastAsia="zh-CN"/>
              </w:rPr>
              <w:t>——</w:t>
            </w:r>
            <w:r>
              <w:rPr>
                <w:rFonts w:hint="eastAsia"/>
                <w:lang w:val="en-US" w:eastAsia="zh-CN"/>
              </w:rPr>
              <w:t>生产部</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highlight w:val="none"/>
                <w:lang w:val="en-US" w:eastAsia="zh-CN"/>
              </w:rPr>
              <w:t>韦婷筳</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rPr>
              <w:sym w:font="Wingdings 2" w:char="0052"/>
            </w:r>
            <w:r>
              <w:rPr>
                <w:rFonts w:hint="eastAsia"/>
              </w:rPr>
              <w:t>天然气</w:t>
            </w:r>
            <w:r>
              <w:rPr>
                <w:rFonts w:hint="eastAsia"/>
                <w:lang w:val="en-US" w:eastAsia="zh-CN"/>
              </w:rPr>
              <w:t>(食堂）</w:t>
            </w:r>
            <w:r>
              <w:rPr>
                <w:rFonts w:hint="eastAsia"/>
              </w:rPr>
              <w:t>□燃料油□燃料气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w:t>
            </w:r>
            <w:r>
              <w:rPr>
                <w:rFonts w:hint="eastAsia"/>
              </w:rPr>
              <w:sym w:font="Wingdings 2" w:char="0052"/>
            </w:r>
            <w:r>
              <w:rPr>
                <w:rFonts w:hint="eastAsia"/>
                <w:lang w:val="en-US" w:eastAsia="zh-CN"/>
              </w:rPr>
              <w:t>万元产值综合能耗</w:t>
            </w:r>
            <w:r>
              <w:rPr>
                <w:rFonts w:hint="eastAsia"/>
              </w:rPr>
              <w:t>□单位产品燃料气消耗□加热炉热效率□其他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lang w:val="en-US" w:eastAsia="zh-CN"/>
              </w:rPr>
              <w:t>2022.4</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437"/>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437"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486"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hint="eastAsia" w:ascii="Times New Roman" w:hAnsi="Times New Roman" w:eastAsia="宋体" w:cs="Times New Roman"/>
                      <w:kern w:val="2"/>
                      <w:sz w:val="21"/>
                      <w:szCs w:val="24"/>
                      <w:highlight w:val="yellow"/>
                      <w:lang w:val="en-US" w:eastAsia="zh-CN" w:bidi="ar-SA"/>
                    </w:rPr>
                  </w:pPr>
                  <w:r>
                    <w:rPr>
                      <w:rFonts w:hint="eastAsia" w:ascii="宋体" w:hAnsi="宋体"/>
                      <w:sz w:val="21"/>
                      <w:szCs w:val="21"/>
                    </w:rPr>
                    <w:t>综合能耗，</w:t>
                  </w:r>
                  <w:r>
                    <w:rPr>
                      <w:rFonts w:hint="eastAsia" w:ascii="宋体" w:hAnsi="宋体"/>
                      <w:sz w:val="21"/>
                      <w:szCs w:val="21"/>
                      <w:lang w:val="en-US" w:eastAsia="zh-CN"/>
                    </w:rPr>
                    <w:t>450</w:t>
                  </w:r>
                  <w:r>
                    <w:rPr>
                      <w:rFonts w:hint="eastAsia" w:ascii="宋体" w:hAnsi="宋体"/>
                      <w:sz w:val="21"/>
                      <w:szCs w:val="21"/>
                    </w:rPr>
                    <w:t>tce</w:t>
                  </w:r>
                </w:p>
              </w:tc>
              <w:tc>
                <w:tcPr>
                  <w:tcW w:w="2354" w:type="dxa"/>
                  <w:shd w:val="clear" w:color="auto" w:fill="auto"/>
                  <w:vAlign w:val="top"/>
                </w:tcPr>
                <w:p>
                  <w:pPr>
                    <w:widowControl/>
                    <w:spacing w:before="40"/>
                    <w:jc w:val="left"/>
                    <w:rPr>
                      <w:rFonts w:hint="default" w:ascii="Times New Roman" w:hAnsi="Times New Roman" w:eastAsia="宋体" w:cs="Times New Roman"/>
                      <w:kern w:val="2"/>
                      <w:sz w:val="21"/>
                      <w:szCs w:val="24"/>
                      <w:highlight w:val="yellow"/>
                      <w:lang w:val="en-US" w:eastAsia="zh-CN" w:bidi="ar-SA"/>
                    </w:rPr>
                  </w:pPr>
                  <w:r>
                    <w:rPr>
                      <w:rFonts w:hint="eastAsia" w:ascii="宋体" w:hAnsi="宋体" w:cs="宋体"/>
                      <w:color w:val="auto"/>
                      <w:sz w:val="18"/>
                      <w:szCs w:val="18"/>
                      <w:lang w:val="en-US" w:eastAsia="zh-CN"/>
                    </w:rPr>
                    <w:t>加强能源使用管理，合理调整生产运行</w:t>
                  </w:r>
                </w:p>
              </w:tc>
              <w:tc>
                <w:tcPr>
                  <w:tcW w:w="1437" w:type="dxa"/>
                  <w:shd w:val="clear" w:color="auto" w:fill="auto"/>
                  <w:vAlign w:val="top"/>
                </w:tcPr>
                <w:p>
                  <w:pPr>
                    <w:widowControl/>
                    <w:spacing w:before="40"/>
                    <w:jc w:val="left"/>
                    <w:rPr>
                      <w:rFonts w:hint="default" w:ascii="Times New Roman" w:hAnsi="Times New Roman" w:eastAsia="宋体" w:cs="Times New Roman"/>
                      <w:kern w:val="2"/>
                      <w:sz w:val="21"/>
                      <w:szCs w:val="24"/>
                      <w:highlight w:val="yellow"/>
                      <w:lang w:val="en-US" w:eastAsia="zh-CN" w:bidi="ar-SA"/>
                    </w:rPr>
                  </w:pPr>
                  <w:r>
                    <w:rPr>
                      <w:rFonts w:hint="eastAsia" w:ascii="宋体" w:hAnsi="宋体" w:cs="宋体"/>
                      <w:color w:val="auto"/>
                      <w:sz w:val="18"/>
                      <w:szCs w:val="18"/>
                      <w:lang w:val="en-US" w:eastAsia="zh-CN"/>
                    </w:rPr>
                    <w:t>管理部/生产部</w:t>
                  </w:r>
                </w:p>
              </w:tc>
              <w:tc>
                <w:tcPr>
                  <w:tcW w:w="2486" w:type="dxa"/>
                  <w:shd w:val="clear" w:color="auto" w:fill="auto"/>
                  <w:vAlign w:val="center"/>
                </w:tcPr>
                <w:p>
                  <w:pPr>
                    <w:widowControl/>
                    <w:spacing w:before="40"/>
                    <w:jc w:val="center"/>
                    <w:rPr>
                      <w:rFonts w:hint="eastAsia" w:asciiTheme="minorEastAsia" w:hAnsiTheme="minorEastAsia" w:eastAsiaTheme="minorEastAsia"/>
                      <w:szCs w:val="18"/>
                      <w:lang w:val="en-US" w:eastAsia="zh-CN"/>
                    </w:rPr>
                  </w:pPr>
                  <w:r>
                    <w:rPr>
                      <w:rFonts w:hint="eastAsia" w:asciiTheme="minorEastAsia" w:hAnsiTheme="minorEastAsia" w:eastAsiaTheme="minorEastAsia"/>
                      <w:szCs w:val="18"/>
                      <w:lang w:val="en-US" w:eastAsia="zh-CN"/>
                    </w:rPr>
                    <w:t>未完成指标。</w:t>
                  </w:r>
                </w:p>
                <w:p>
                  <w:pPr>
                    <w:widowControl/>
                    <w:spacing w:before="40"/>
                    <w:jc w:val="center"/>
                    <w:rPr>
                      <w:rFonts w:cs="Times New Roman" w:asciiTheme="minorEastAsia" w:hAnsiTheme="minorEastAsia" w:eastAsiaTheme="minorEastAsia"/>
                      <w:kern w:val="2"/>
                      <w:sz w:val="21"/>
                      <w:szCs w:val="18"/>
                      <w:lang w:val="en-GB" w:eastAsia="zh-CN" w:bidi="ar-SA"/>
                    </w:rPr>
                  </w:pPr>
                  <w:r>
                    <w:rPr>
                      <w:rFonts w:hint="eastAsia" w:asciiTheme="minorEastAsia" w:hAnsiTheme="minorEastAsia" w:eastAsiaTheme="minorEastAsia"/>
                      <w:szCs w:val="18"/>
                    </w:rPr>
                    <w:t>2021全年</w:t>
                  </w:r>
                  <w:r>
                    <w:rPr>
                      <w:rFonts w:hint="eastAsia" w:asciiTheme="minorEastAsia" w:hAnsiTheme="minorEastAsia" w:eastAsiaTheme="minorEastAsia"/>
                      <w:szCs w:val="18"/>
                      <w:lang w:val="en-US" w:eastAsia="zh-CN"/>
                    </w:rPr>
                    <w:t>完成</w:t>
                  </w:r>
                  <w:r>
                    <w:rPr>
                      <w:rFonts w:hint="eastAsia" w:ascii="宋体" w:hAnsi="宋体"/>
                      <w:sz w:val="21"/>
                      <w:szCs w:val="21"/>
                      <w:lang w:val="en-US" w:eastAsia="zh-CN"/>
                    </w:rPr>
                    <w:t>512</w:t>
                  </w:r>
                  <w:r>
                    <w:rPr>
                      <w:rFonts w:hint="eastAsia" w:ascii="宋体" w:hAnsi="宋体"/>
                      <w:sz w:val="21"/>
                      <w:szCs w:val="21"/>
                    </w:rPr>
                    <w:t>.</w:t>
                  </w:r>
                  <w:r>
                    <w:rPr>
                      <w:rFonts w:hint="eastAsia" w:ascii="宋体" w:hAnsi="宋体"/>
                      <w:sz w:val="21"/>
                      <w:szCs w:val="21"/>
                      <w:lang w:val="en-US" w:eastAsia="zh-CN"/>
                    </w:rPr>
                    <w:t>25</w:t>
                  </w:r>
                  <w:r>
                    <w:rPr>
                      <w:rFonts w:hint="eastAsia" w:asciiTheme="minorEastAsia" w:hAnsiTheme="minorEastAsia" w:eastAsiaTheme="minorEastAsia"/>
                      <w:szCs w:val="18"/>
                    </w:rPr>
                    <w:t>t</w:t>
                  </w:r>
                  <w:r>
                    <w:rPr>
                      <w:rFonts w:asciiTheme="minorEastAsia" w:hAnsiTheme="minorEastAsia" w:eastAsiaTheme="minorEastAsia"/>
                      <w:szCs w:val="18"/>
                    </w:rPr>
                    <w: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rPr>
                      <w:rFonts w:ascii="Times New Roman" w:hAnsi="Times New Roman" w:eastAsia="宋体" w:cs="Times New Roman"/>
                      <w:kern w:val="2"/>
                      <w:sz w:val="21"/>
                      <w:szCs w:val="24"/>
                      <w:highlight w:val="yellow"/>
                      <w:lang w:val="en-US" w:eastAsia="zh-CN" w:bidi="ar-SA"/>
                    </w:rPr>
                  </w:pPr>
                  <w:r>
                    <w:rPr>
                      <w:rFonts w:hint="eastAsia" w:ascii="宋体" w:hAnsi="宋体"/>
                      <w:sz w:val="21"/>
                      <w:szCs w:val="21"/>
                    </w:rPr>
                    <w:t>单位产品综合能耗</w:t>
                  </w:r>
                  <w:r>
                    <w:rPr>
                      <w:rFonts w:hint="eastAsia" w:ascii="宋体" w:hAnsi="宋体"/>
                      <w:sz w:val="21"/>
                      <w:szCs w:val="21"/>
                      <w:lang w:val="en-US" w:eastAsia="zh-CN"/>
                    </w:rPr>
                    <w:t>1.00t</w:t>
                  </w:r>
                  <w:r>
                    <w:rPr>
                      <w:rFonts w:hint="eastAsia" w:ascii="宋体" w:hAnsi="宋体"/>
                      <w:sz w:val="21"/>
                      <w:szCs w:val="21"/>
                    </w:rPr>
                    <w:t>ce/</w:t>
                  </w:r>
                  <w:r>
                    <w:rPr>
                      <w:rFonts w:hint="eastAsia" w:ascii="宋体" w:hAnsi="宋体"/>
                      <w:sz w:val="21"/>
                      <w:szCs w:val="21"/>
                      <w:lang w:val="en-US" w:eastAsia="zh-CN"/>
                    </w:rPr>
                    <w:t>万</w:t>
                  </w:r>
                  <w:r>
                    <w:rPr>
                      <w:rFonts w:hint="eastAsia" w:ascii="宋体" w:hAnsi="宋体"/>
                      <w:sz w:val="21"/>
                      <w:szCs w:val="21"/>
                    </w:rPr>
                    <w:t>台</w:t>
                  </w:r>
                </w:p>
              </w:tc>
              <w:tc>
                <w:tcPr>
                  <w:tcW w:w="2354" w:type="dxa"/>
                  <w:shd w:val="clear" w:color="auto" w:fill="auto"/>
                  <w:vAlign w:val="center"/>
                </w:tcPr>
                <w:p>
                  <w:pPr>
                    <w:widowControl/>
                    <w:spacing w:before="4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提高产品产量和产品合格率</w:t>
                  </w:r>
                </w:p>
              </w:tc>
              <w:tc>
                <w:tcPr>
                  <w:tcW w:w="1437" w:type="dxa"/>
                  <w:shd w:val="clear" w:color="auto" w:fill="auto"/>
                  <w:vAlign w:val="center"/>
                </w:tcPr>
                <w:p>
                  <w:pPr>
                    <w:widowControl/>
                    <w:spacing w:before="4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生产部</w:t>
                  </w:r>
                </w:p>
              </w:tc>
              <w:tc>
                <w:tcPr>
                  <w:tcW w:w="2486" w:type="dxa"/>
                  <w:shd w:val="clear" w:color="auto" w:fill="auto"/>
                  <w:vAlign w:val="center"/>
                </w:tcPr>
                <w:p>
                  <w:pPr>
                    <w:widowControl/>
                    <w:spacing w:before="40"/>
                    <w:jc w:val="center"/>
                    <w:rPr>
                      <w:rFonts w:hint="eastAsia" w:asciiTheme="minorEastAsia" w:hAnsiTheme="minorEastAsia" w:eastAsiaTheme="minorEastAsia"/>
                      <w:szCs w:val="18"/>
                      <w:lang w:val="en-US" w:eastAsia="zh-CN"/>
                    </w:rPr>
                  </w:pPr>
                  <w:r>
                    <w:rPr>
                      <w:rFonts w:hint="eastAsia" w:asciiTheme="minorEastAsia" w:hAnsiTheme="minorEastAsia" w:eastAsiaTheme="minorEastAsia"/>
                      <w:szCs w:val="18"/>
                      <w:lang w:val="en-US" w:eastAsia="zh-CN"/>
                    </w:rPr>
                    <w:t>未完成指标。</w:t>
                  </w:r>
                </w:p>
                <w:p>
                  <w:pPr>
                    <w:widowControl/>
                    <w:spacing w:before="40"/>
                    <w:rPr>
                      <w:rFonts w:hint="default" w:cs="Times New Roman" w:asciiTheme="minorEastAsia" w:hAnsiTheme="minorEastAsia" w:eastAsiaTheme="minorEastAsia"/>
                      <w:kern w:val="2"/>
                      <w:sz w:val="21"/>
                      <w:szCs w:val="18"/>
                      <w:lang w:val="en-US" w:eastAsia="zh-CN" w:bidi="ar-SA"/>
                    </w:rPr>
                  </w:pPr>
                  <w:r>
                    <w:rPr>
                      <w:rFonts w:hint="eastAsia" w:asciiTheme="minorEastAsia" w:hAnsiTheme="minorEastAsia" w:eastAsiaTheme="minorEastAsia"/>
                      <w:szCs w:val="18"/>
                    </w:rPr>
                    <w:t>2021全年</w:t>
                  </w:r>
                  <w:r>
                    <w:rPr>
                      <w:rFonts w:hint="eastAsia" w:asciiTheme="minorEastAsia" w:hAnsiTheme="minorEastAsia" w:eastAsiaTheme="minorEastAsia"/>
                      <w:szCs w:val="18"/>
                      <w:lang w:val="en-US" w:eastAsia="zh-CN"/>
                    </w:rPr>
                    <w:t>完成</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099t</w:t>
                  </w:r>
                  <w:r>
                    <w:rPr>
                      <w:rFonts w:asciiTheme="minorEastAsia" w:hAnsiTheme="minorEastAsia" w:eastAsiaTheme="minorEastAsia"/>
                      <w:szCs w:val="18"/>
                    </w:rPr>
                    <w:t>ce</w:t>
                  </w:r>
                  <w:r>
                    <w:rPr>
                      <w:rFonts w:hint="eastAsia" w:asciiTheme="minorEastAsia" w:hAnsiTheme="minorEastAsia" w:eastAsiaTheme="minorEastAsia"/>
                      <w:szCs w:val="18"/>
                      <w:lang w:val="en-US" w:eastAsia="zh-CN"/>
                    </w:rPr>
                    <w:t>/万台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jc w:val="left"/>
                  </w:pPr>
                  <w:r>
                    <w:rPr>
                      <w:rFonts w:hint="eastAsia" w:ascii="宋体" w:hAnsi="宋体"/>
                      <w:sz w:val="21"/>
                      <w:szCs w:val="21"/>
                    </w:rPr>
                    <w:t>单位产</w:t>
                  </w:r>
                  <w:r>
                    <w:rPr>
                      <w:rFonts w:hint="eastAsia" w:ascii="宋体" w:hAnsi="宋体"/>
                      <w:sz w:val="21"/>
                      <w:szCs w:val="21"/>
                      <w:lang w:val="en-US" w:eastAsia="zh-CN"/>
                    </w:rPr>
                    <w:t>值</w:t>
                  </w:r>
                  <w:r>
                    <w:rPr>
                      <w:rFonts w:hint="eastAsia" w:ascii="宋体" w:hAnsi="宋体"/>
                      <w:sz w:val="21"/>
                      <w:szCs w:val="21"/>
                    </w:rPr>
                    <w:t>综合能耗</w:t>
                  </w:r>
                  <w:r>
                    <w:rPr>
                      <w:rFonts w:hint="eastAsia" w:ascii="宋体" w:hAnsi="宋体"/>
                      <w:sz w:val="21"/>
                      <w:szCs w:val="21"/>
                      <w:lang w:val="en-US" w:eastAsia="zh-CN"/>
                    </w:rPr>
                    <w:t>16kg</w:t>
                  </w:r>
                  <w:r>
                    <w:rPr>
                      <w:rFonts w:hint="eastAsia" w:ascii="宋体" w:hAnsi="宋体"/>
                      <w:sz w:val="21"/>
                      <w:szCs w:val="21"/>
                    </w:rPr>
                    <w:t>ce/</w:t>
                  </w:r>
                  <w:r>
                    <w:rPr>
                      <w:rFonts w:hint="eastAsia" w:ascii="宋体" w:hAnsi="宋体"/>
                      <w:sz w:val="21"/>
                      <w:szCs w:val="21"/>
                      <w:lang w:val="en-US" w:eastAsia="zh-CN"/>
                    </w:rPr>
                    <w:t>万元</w:t>
                  </w:r>
                </w:p>
              </w:tc>
              <w:tc>
                <w:tcPr>
                  <w:tcW w:w="2354" w:type="dxa"/>
                  <w:shd w:val="clear" w:color="auto" w:fill="auto"/>
                  <w:vAlign w:val="center"/>
                </w:tcPr>
                <w:p>
                  <w:pPr>
                    <w:widowControl/>
                    <w:spacing w:before="4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提升高附加值产品的生产</w:t>
                  </w:r>
                </w:p>
              </w:tc>
              <w:tc>
                <w:tcPr>
                  <w:tcW w:w="1437" w:type="dxa"/>
                  <w:shd w:val="clear" w:color="auto" w:fill="auto"/>
                  <w:vAlign w:val="center"/>
                </w:tcPr>
                <w:p>
                  <w:pPr>
                    <w:widowControl/>
                    <w:spacing w:before="4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管理部/生产部</w:t>
                  </w:r>
                </w:p>
              </w:tc>
              <w:tc>
                <w:tcPr>
                  <w:tcW w:w="2486" w:type="dxa"/>
                  <w:shd w:val="clear" w:color="auto" w:fill="auto"/>
                  <w:vAlign w:val="center"/>
                </w:tcPr>
                <w:p>
                  <w:pPr>
                    <w:widowControl/>
                    <w:spacing w:before="40"/>
                    <w:jc w:val="center"/>
                    <w:rPr>
                      <w:rFonts w:hint="eastAsia" w:asciiTheme="minorEastAsia" w:hAnsiTheme="minorEastAsia" w:eastAsiaTheme="minorEastAsia"/>
                      <w:szCs w:val="18"/>
                      <w:lang w:val="en-US" w:eastAsia="zh-CN"/>
                    </w:rPr>
                  </w:pPr>
                  <w:r>
                    <w:rPr>
                      <w:rFonts w:hint="eastAsia" w:asciiTheme="minorEastAsia" w:hAnsiTheme="minorEastAsia" w:eastAsiaTheme="minorEastAsia"/>
                      <w:szCs w:val="18"/>
                      <w:lang w:val="en-US" w:eastAsia="zh-CN"/>
                    </w:rPr>
                    <w:t>未完成指标。</w:t>
                  </w:r>
                </w:p>
                <w:p>
                  <w:pPr>
                    <w:widowControl/>
                    <w:spacing w:before="40"/>
                    <w:rPr>
                      <w:rFonts w:hint="eastAsia" w:asciiTheme="minorEastAsia" w:hAnsiTheme="minorEastAsia" w:eastAsiaTheme="minorEastAsia"/>
                      <w:szCs w:val="18"/>
                      <w:lang w:val="en-US" w:eastAsia="zh-CN"/>
                    </w:rPr>
                  </w:pPr>
                  <w:r>
                    <w:rPr>
                      <w:rFonts w:hint="eastAsia" w:asciiTheme="minorEastAsia" w:hAnsiTheme="minorEastAsia" w:eastAsiaTheme="minorEastAsia"/>
                      <w:szCs w:val="18"/>
                    </w:rPr>
                    <w:t>2021全年</w:t>
                  </w:r>
                  <w:r>
                    <w:rPr>
                      <w:rFonts w:hint="eastAsia" w:asciiTheme="minorEastAsia" w:hAnsiTheme="minorEastAsia" w:eastAsiaTheme="minorEastAsia"/>
                      <w:szCs w:val="18"/>
                      <w:lang w:val="en-US" w:eastAsia="zh-CN"/>
                    </w:rPr>
                    <w:t>完成</w:t>
                  </w:r>
                </w:p>
                <w:p>
                  <w:pPr>
                    <w:widowControl/>
                    <w:spacing w:before="40"/>
                    <w:rPr>
                      <w:rFonts w:cs="Times New Roman" w:asciiTheme="minorEastAsia" w:hAnsiTheme="minorEastAsia" w:eastAsiaTheme="minorEastAsia"/>
                      <w:kern w:val="2"/>
                      <w:sz w:val="21"/>
                      <w:szCs w:val="18"/>
                      <w:lang w:val="en-US" w:eastAsia="zh-CN" w:bidi="ar-SA"/>
                    </w:rPr>
                  </w:pP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075t</w:t>
                  </w:r>
                  <w:r>
                    <w:rPr>
                      <w:rFonts w:asciiTheme="minorEastAsia" w:hAnsiTheme="minorEastAsia" w:eastAsiaTheme="minorEastAsia"/>
                      <w:szCs w:val="18"/>
                    </w:rPr>
                    <w:t>ce</w:t>
                  </w:r>
                  <w:r>
                    <w:rPr>
                      <w:rFonts w:hint="eastAsia" w:asciiTheme="minorEastAsia" w:hAnsiTheme="minorEastAsia" w:eastAsiaTheme="minorEastAsia"/>
                      <w:szCs w:val="18"/>
                      <w:lang w:val="en-US" w:eastAsia="zh-CN"/>
                    </w:rPr>
                    <w:t>/万元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A3"/>
            </w:r>
            <w:r>
              <w:rPr>
                <w:rFonts w:hint="eastAsia"/>
                <w:highlight w:val="none"/>
              </w:rPr>
              <w:t>目标已实现</w:t>
            </w:r>
            <w:r>
              <w:rPr>
                <w:rFonts w:hint="eastAsia"/>
                <w:highlight w:val="none"/>
                <w:lang w:val="en-US" w:eastAsia="zh-CN"/>
              </w:rPr>
              <w:t>。</w:t>
            </w:r>
          </w:p>
          <w:p>
            <w:pPr>
              <w:shd w:val="clear" w:color="auto" w:fill="EBF1DE" w:themeFill="accent3" w:themeFillTint="32"/>
            </w:pPr>
            <w:r>
              <w:rPr>
                <w:rFonts w:hint="eastAsia" w:ascii="Wingdings" w:hAnsi="Wingdings"/>
                <w:lang w:eastAsia="zh-CN"/>
              </w:rPr>
              <w:sym w:font="Wingdings 2" w:char="0052"/>
            </w:r>
            <w:r>
              <w:rPr>
                <w:rFonts w:hint="eastAsia"/>
              </w:rPr>
              <w:t>目标没有实</w:t>
            </w:r>
            <w:r>
              <w:rPr>
                <w:rFonts w:hint="eastAsia"/>
                <w:highlight w:val="none"/>
              </w:rPr>
              <w:t>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pStyle w:val="4"/>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eastAsia="宋体"/>
                <w:sz w:val="20"/>
                <w:szCs w:val="22"/>
                <w:highlight w:val="none"/>
                <w:lang w:val="en-US" w:eastAsia="zh-CN"/>
              </w:rPr>
            </w:pPr>
            <w:r>
              <w:rPr>
                <w:rFonts w:hint="eastAsia" w:eastAsia="宋体"/>
                <w:sz w:val="20"/>
                <w:szCs w:val="22"/>
                <w:highlight w:val="none"/>
                <w:lang w:val="en-US" w:eastAsia="zh-CN"/>
              </w:rPr>
              <w:t>建筑面积20万平方米；生产管理系统</w:t>
            </w:r>
            <w:r>
              <w:rPr>
                <w:rFonts w:hint="eastAsia"/>
                <w:sz w:val="20"/>
                <w:szCs w:val="22"/>
                <w:lang w:val="en-US" w:eastAsia="zh-CN"/>
              </w:rPr>
              <w:t>（</w:t>
            </w:r>
            <w:r>
              <w:rPr>
                <w:rFonts w:hint="eastAsia"/>
                <w:sz w:val="20"/>
                <w:szCs w:val="22"/>
                <w:highlight w:val="none"/>
                <w:lang w:val="en-US" w:eastAsia="zh-CN"/>
              </w:rPr>
              <w:t>注塑车间、加工车间、装配车间</w:t>
            </w:r>
            <w:r>
              <w:rPr>
                <w:rFonts w:hint="eastAsia"/>
                <w:sz w:val="20"/>
                <w:szCs w:val="22"/>
                <w:lang w:val="en-US" w:eastAsia="zh-CN"/>
              </w:rPr>
              <w:t>）</w:t>
            </w:r>
            <w:r>
              <w:rPr>
                <w:rFonts w:hint="eastAsia" w:eastAsia="宋体"/>
                <w:sz w:val="20"/>
                <w:szCs w:val="22"/>
                <w:highlight w:val="none"/>
                <w:lang w:val="en-US" w:eastAsia="zh-CN"/>
              </w:rPr>
              <w:t>；库房2个（产品、原料）；实验室1个；</w:t>
            </w:r>
          </w:p>
          <w:p>
            <w:pPr>
              <w:shd w:val="clear" w:color="auto" w:fill="EBF1DE" w:themeFill="accent3" w:themeFillTint="32"/>
              <w:rPr>
                <w:u w:val="single"/>
              </w:rPr>
            </w:pPr>
            <w:r>
              <w:rPr>
                <w:rFonts w:hint="eastAsia"/>
              </w:rPr>
              <w:t>主要生产设备有：</w:t>
            </w:r>
            <w:r>
              <w:rPr>
                <w:rFonts w:hint="eastAsia" w:eastAsia="宋体"/>
                <w:u w:val="single"/>
                <w:lang w:val="en-US" w:eastAsia="zh-CN"/>
              </w:rPr>
              <w:t>注塑机</w:t>
            </w:r>
            <w:r>
              <w:rPr>
                <w:rFonts w:hint="eastAsia" w:eastAsia="宋体"/>
                <w:u w:val="single"/>
              </w:rPr>
              <w:t>、</w:t>
            </w:r>
            <w:r>
              <w:rPr>
                <w:rFonts w:hint="eastAsia" w:asciiTheme="minorEastAsia" w:hAnsiTheme="minorEastAsia" w:eastAsiaTheme="minorEastAsia"/>
                <w:u w:val="single"/>
              </w:rPr>
              <w:t>混料机、碎料机</w:t>
            </w:r>
            <w:r>
              <w:rPr>
                <w:rFonts w:hint="eastAsia" w:asciiTheme="minorEastAsia" w:hAnsiTheme="minorEastAsia" w:eastAsiaTheme="minorEastAsia"/>
                <w:u w:val="single"/>
                <w:lang w:eastAsia="zh-CN"/>
              </w:rPr>
              <w:t>、</w:t>
            </w:r>
            <w:r>
              <w:rPr>
                <w:rFonts w:hint="eastAsia" w:eastAsia="宋体"/>
                <w:u w:val="single"/>
                <w:lang w:val="en-US" w:eastAsia="zh-CN"/>
              </w:rPr>
              <w:t>空压机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eastAsia="宋体"/>
                <w:u w:val="single"/>
                <w:lang w:val="en-US" w:eastAsia="zh-CN"/>
              </w:rPr>
              <w:t>空压机、变压器、注塑机</w:t>
            </w:r>
            <w:r>
              <w:rPr>
                <w:rFonts w:hint="eastAsia" w:eastAsia="宋体"/>
                <w:u w:val="single"/>
              </w:rPr>
              <w:t>（</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highlight w:val="none"/>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u w:val="single"/>
                <w:lang w:val="en-US" w:eastAsia="zh-CN"/>
              </w:rPr>
              <w:t>电表、水表、天然气流量计</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highlight w:val="none"/>
                <w:lang w:val="en-US" w:eastAsia="zh-CN"/>
              </w:rPr>
              <w:t>提供</w:t>
            </w:r>
            <w:r>
              <w:rPr>
                <w:rFonts w:hint="eastAsia"/>
                <w:highlight w:val="none"/>
              </w:rPr>
              <w:t>行定期校准/检定</w:t>
            </w:r>
            <w:r>
              <w:rPr>
                <w:rFonts w:hint="eastAsia"/>
                <w:highlight w:val="none"/>
                <w:lang w:val="en-US" w:eastAsia="zh-CN"/>
              </w:rPr>
              <w:t>报告，企业介绍</w:t>
            </w:r>
            <w:r>
              <w:rPr>
                <w:rFonts w:hint="eastAsia"/>
                <w:highlight w:val="none"/>
              </w:rPr>
              <w:t>：</w:t>
            </w:r>
            <w:r>
              <w:rPr>
                <w:rFonts w:hint="eastAsia"/>
                <w:highlight w:val="none"/>
                <w:lang w:val="en-US" w:eastAsia="zh-CN"/>
              </w:rPr>
              <w:t>由供方校验</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rPr>
                <w:rFonts w:hint="default" w:eastAsia="宋体"/>
                <w:lang w:val="en-US" w:eastAsia="zh-CN"/>
              </w:rPr>
            </w:pPr>
            <w:r>
              <w:rPr>
                <w:rFonts w:hint="eastAsia"/>
              </w:rPr>
              <w:sym w:font="Wingdings 2" w:char="00A3"/>
            </w:r>
            <w:r>
              <w:rPr>
                <w:rFonts w:hint="eastAsia"/>
              </w:rPr>
              <w:t>法律法规获取充分，</w:t>
            </w:r>
            <w:r>
              <w:rPr>
                <w:rFonts w:hint="eastAsia"/>
              </w:rPr>
              <w:sym w:font="Wingdings 2" w:char="0052"/>
            </w:r>
            <w:r>
              <w:rPr>
                <w:rFonts w:hint="eastAsia"/>
              </w:rPr>
              <w:t>法律法规获取有遗漏，</w:t>
            </w:r>
            <w:r>
              <w:rPr>
                <w:rFonts w:hint="eastAsia"/>
                <w:lang w:val="en-US" w:eastAsia="zh-CN"/>
              </w:rPr>
              <w:t>已开具不符合，见不符合报告。</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ascii="Times New Roman" w:hAnsi="Times New Roman" w:eastAsia="宋体" w:cs="Times New Roman"/>
                <w:u w:val="single"/>
                <w:lang w:val="en-US" w:eastAsia="zh-CN"/>
              </w:rPr>
              <w:t xml:space="preserve">无 </w:t>
            </w:r>
            <w:r>
              <w:rPr>
                <w:rFonts w:hint="eastAsia" w:ascii="Times New Roman" w:hAnsi="Times New Roman" w:eastAsia="宋体" w:cs="Times New Roman"/>
                <w:color w:val="0000FF"/>
                <w:kern w:val="2"/>
                <w:sz w:val="21"/>
                <w:szCs w:val="22"/>
                <w:lang w:val="en-US" w:eastAsia="zh-CN" w:bidi="ar-SA"/>
              </w:rPr>
              <w:t xml:space="preserve"> </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rPr>
                <w:rFonts w:hint="default" w:eastAsia="宋体"/>
                <w:lang w:val="en-US" w:eastAsia="zh-CN"/>
              </w:rPr>
            </w:pPr>
            <w:r>
              <w:rPr>
                <w:rFonts w:hint="eastAsia"/>
              </w:rPr>
              <w:t>设计和开发的节能措施控制：</w:t>
            </w:r>
            <w:r>
              <w:rPr>
                <w:rFonts w:hint="eastAsia"/>
                <w:lang w:val="en-US" w:eastAsia="zh-CN"/>
              </w:rPr>
              <w:t>。</w:t>
            </w:r>
          </w:p>
          <w:p>
            <w:pPr>
              <w:shd w:val="clear" w:color="auto" w:fill="EBF1DE" w:themeFill="accent3" w:themeFillTint="32"/>
            </w:pP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A3"/>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节约用气</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节能技术的实施</w:t>
            </w:r>
            <w:r>
              <w:rPr>
                <w:rFonts w:hint="eastAsia" w:ascii="Wingdings" w:hAnsi="Wingdings"/>
                <w:lang w:eastAsia="zh-CN"/>
              </w:rPr>
              <w:t>□</w:t>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A3"/>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2022</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10</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default" w:eastAsia="宋体"/>
                <w:highlight w:val="yellow"/>
                <w:lang w:val="en-US" w:eastAsia="zh-CN"/>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highlight w:val="yellow"/>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rPr>
              <w:t>10</w:t>
            </w: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sz w:val="24"/>
          <w:szCs w:val="24"/>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756" w:firstLineChars="400"/>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C736F"/>
    <w:multiLevelType w:val="singleLevel"/>
    <w:tmpl w:val="87CC736F"/>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243094A"/>
    <w:rsid w:val="524D097B"/>
    <w:rsid w:val="5A775009"/>
    <w:rsid w:val="6B2B6930"/>
    <w:rsid w:val="7A766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List Bullet 5"/>
    <w:basedOn w:val="1"/>
    <w:semiHidden/>
    <w:unhideWhenUsed/>
    <w:qFormat/>
    <w:uiPriority w:val="99"/>
    <w:pPr>
      <w:numPr>
        <w:ilvl w:val="0"/>
        <w:numId w:val="1"/>
      </w:numPr>
    </w:pPr>
  </w:style>
  <w:style w:type="paragraph" w:styleId="4">
    <w:name w:val="Body Text Indent"/>
    <w:basedOn w:val="1"/>
    <w:qFormat/>
    <w:uiPriority w:val="0"/>
    <w:pPr>
      <w:snapToGrid w:val="0"/>
      <w:spacing w:line="336" w:lineRule="auto"/>
      <w:ind w:firstLine="630"/>
    </w:pPr>
    <w:rPr>
      <w:sz w:val="32"/>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6</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2022-06-27T05:38:48Z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