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13"/>
        <w:gridCol w:w="948"/>
        <w:gridCol w:w="1312"/>
        <w:gridCol w:w="104"/>
        <w:gridCol w:w="86"/>
        <w:gridCol w:w="892"/>
        <w:gridCol w:w="112"/>
        <w:gridCol w:w="570"/>
        <w:gridCol w:w="700"/>
        <w:gridCol w:w="136"/>
        <w:gridCol w:w="591"/>
        <w:gridCol w:w="354"/>
        <w:gridCol w:w="575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4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无锡市博特电器有限公司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无锡惠山经济开发区玉祁配套区祁北路127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无锡惠山经济开发区玉祁配套区祁北路127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韦婷莛</w:t>
            </w:r>
            <w:bookmarkEnd w:id="3"/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15895319211</w:t>
            </w:r>
            <w:bookmarkEnd w:id="4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chria@aa-cn.com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73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0775-2022-EnMS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9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42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9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42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9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42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42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73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  <w:highlight w:val="none"/>
              </w:rPr>
              <w:t>电暖器、电风扇的生产所涉及的能源管理活动</w:t>
            </w:r>
            <w:bookmarkEnd w:id="16"/>
          </w:p>
        </w:tc>
        <w:tc>
          <w:tcPr>
            <w:tcW w:w="15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GB/T 23331-2020/ISO50001：2018标准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T 108-2013 能源管理体系 家电企业认证要求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2022年06月25日 上午至2022年06月27日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7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42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宋翠琳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2022-N1EnMS-1082241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13257234415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77240" cy="234950"/>
                  <wp:effectExtent l="0" t="0" r="0" b="5715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李永忠</w:t>
            </w:r>
            <w:bookmarkEnd w:id="20"/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2022.6.23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2022.6.23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2022.6.25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10"/>
        <w:gridCol w:w="1147"/>
        <w:gridCol w:w="3664"/>
        <w:gridCol w:w="1427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147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会议号238362620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6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427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法律法规及其它要求的收集及合规性评价、内部审核实施、不符合纠正及纠正措施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/4.2/9.1.2/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生产部（关注倒班）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能源评审、能源绩效参数、能源基准、能源数据收集的策划、运行控制、能源采购（水、电）的控制、能源绩效监视测量、不符合纠正及纠正措施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1/8.3/9.1.1/10.1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现场巡视（关注倒班）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主要用能设备（熔化炉、空压机等）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6-25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6-26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6-26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3664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427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6-26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运行控制、设计及研发技改技措项目的策划实施、不符合纠正及纠正措施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1/8.2/10.1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6-26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继续审核管理部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6-26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6-27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第3天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能源采购、用设备采购、不符合纠正及纠正措施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品管部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测量监视设备、不符合纠正及纠正措施</w:t>
            </w: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/8.1/10.1</w:t>
            </w: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36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14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14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9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会议号680638927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4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4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58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4268D"/>
    <w:rsid w:val="1AEA7EB7"/>
    <w:rsid w:val="3B9E2446"/>
    <w:rsid w:val="462438D7"/>
    <w:rsid w:val="4B15042A"/>
    <w:rsid w:val="5CB37C83"/>
    <w:rsid w:val="74A073B3"/>
    <w:rsid w:val="7F5C7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2022-06-27T04:41:41Z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