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default" w:eastAsia="宋体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  <w:lang w:val="en-US" w:eastAsia="zh-CN"/>
        </w:rPr>
        <w:t>EnMS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无锡市东盛物业管理有限公司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奚敏水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宋翠琳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物业操作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流程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服务过程策划→投标洽谈→签到合同→人员配置→提供物业服务→处理投诉、业主回访→评价、改进服务质量；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能耗种类：电、水、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yellow"/>
                <w:lang w:val="en-US" w:eastAsia="zh-CN" w:bidi="ar-SA"/>
              </w:rPr>
              <w:t>天然气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主要能源使用：电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能源绩效参数：综合能耗tce；单位面积能耗kgce/m</w:t>
            </w:r>
            <w:r>
              <w:rPr>
                <w:rFonts w:hint="eastAsia" w:cs="Times New Roman"/>
                <w:b/>
                <w:kern w:val="2"/>
                <w:sz w:val="20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；单位产值能耗kgce/万元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1"/>
              <w:spacing w:before="181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1、《中华人民共和国电力法》</w:t>
            </w:r>
          </w:p>
          <w:p>
            <w:pPr>
              <w:pStyle w:val="11"/>
              <w:spacing w:before="7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2、《中华人民共和国节约能源法》</w:t>
            </w:r>
          </w:p>
          <w:p>
            <w:pPr>
              <w:pStyle w:val="11"/>
              <w:spacing w:before="71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3、《中华人民共和国清洁生产法》</w:t>
            </w:r>
          </w:p>
          <w:p>
            <w:pPr>
              <w:pStyle w:val="11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4、《中华人民共和国可再生能源法》</w:t>
            </w:r>
          </w:p>
          <w:p>
            <w:pPr>
              <w:pStyle w:val="11"/>
              <w:spacing w:before="6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5、《国家重点节能技术推广目录（1-6 批）》</w:t>
            </w:r>
          </w:p>
          <w:p>
            <w:pPr>
              <w:pStyle w:val="11"/>
              <w:spacing w:before="71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6、《用能单位节能量计算方法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nstrText xml:space="preserve"> HYPERLINK "http://www.csres.com/detail/204647.html" \h </w:instrTex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GB/T 13234-201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8》</w:t>
            </w:r>
          </w:p>
          <w:p>
            <w:pPr>
              <w:pStyle w:val="11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7、《综合能耗计算通则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nstrText xml:space="preserve"> HYPERLINK "http://www.csres.com/detail/56381.html" \h </w:instrTex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GB2589-2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020》</w:t>
            </w:r>
          </w:p>
          <w:p>
            <w:pPr>
              <w:pStyle w:val="11"/>
              <w:spacing w:before="6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 xml:space="preserve">8、《企业能量平衡表编制方法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nstrText xml:space="preserve"> HYPERLINK "http://www.csres.com/detail/227580.html" \h </w:instrTex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GB/T 28751-2012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》</w:t>
            </w:r>
          </w:p>
          <w:p>
            <w:pPr>
              <w:pStyle w:val="11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9、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电力变压器经济运行（GB13462-2008）</w:t>
            </w:r>
          </w:p>
          <w:p>
            <w:pPr>
              <w:pStyle w:val="11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10、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用能单位能源计量器具配备与管理通则（GB/T17167-2006）</w:t>
            </w:r>
          </w:p>
          <w:p>
            <w:pPr>
              <w:pStyle w:val="11"/>
              <w:spacing w:before="70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11、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中华人民共和国物业管理条例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相关审核专业知识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2540</wp:posOffset>
                  </wp:positionV>
                  <wp:extent cx="615315" cy="365760"/>
                  <wp:effectExtent l="0" t="0" r="6985" b="2540"/>
                  <wp:wrapSquare wrapText="bothSides"/>
                  <wp:docPr id="1" name="图片 1" descr="2f54b704c7527a1a46ef16fba640f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f54b704c7527a1a46ef16fba640fc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40640</wp:posOffset>
                  </wp:positionV>
                  <wp:extent cx="982345" cy="319405"/>
                  <wp:effectExtent l="0" t="0" r="0" b="10795"/>
                  <wp:wrapSquare wrapText="bothSides"/>
                  <wp:docPr id="3" name="图片 3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2022.6.13</w:t>
            </w:r>
            <w:bookmarkStart w:id="1" w:name="_GoBack"/>
            <w:bookmarkEnd w:id="1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D406DC9"/>
    <w:rsid w:val="51172D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Table Paragraph"/>
    <w:basedOn w:val="1"/>
    <w:qFormat/>
    <w:uiPriority w:val="1"/>
    <w:pPr>
      <w:spacing w:before="72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2022-06-13T05:21:02Z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