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浙江安露清洗机有限公司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bookmarkStart w:id="1" w:name="初审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2" w:name="再认证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再认证</w:t>
            </w:r>
            <w:bookmarkStart w:id="3" w:name="监督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rFonts w:hint="eastAsia"/>
                <w:b/>
                <w:szCs w:val="21"/>
              </w:rPr>
              <w:t>监督（</w:t>
            </w:r>
            <w:bookmarkStart w:id="4" w:name="监督次数"/>
            <w:bookmarkEnd w:id="4"/>
            <w:r>
              <w:rPr>
                <w:rFonts w:hint="eastAsia"/>
                <w:b/>
                <w:szCs w:val="21"/>
              </w:rPr>
              <w:t>）次□证书转换</w:t>
            </w:r>
            <w:bookmarkStart w:id="5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生产管理中心管理评审的输入内容欠缺相关要求，如能源绩效参数的评审情况，能源基准是否满足要求，能源目标的实现程度等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内审6.3/6.4/6.5条款的审核建议在体系主管部门或能源管理团队部门进行审核；</w:t>
            </w:r>
          </w:p>
          <w:p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2）依据缺少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de-DE" w:eastAsia="zh-CN"/>
              </w:rPr>
              <w:t>RB/T 119-201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5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de-DE" w:eastAsia="zh-CN"/>
              </w:rPr>
              <w:t>能源管理体系 机械制造企业认证要求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企业的能源种类分析中未识别柴油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2022年1-3月份</w:t>
            </w:r>
            <w:r>
              <w:rPr>
                <w:rFonts w:hint="eastAsia"/>
              </w:rPr>
              <w:t>目标没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有实现，企业未及时进行原因分析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6" w:name="_GoBack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建议企业对熔化炉的能效进行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测算</w:t>
            </w:r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能源计量器具台账需完善数量、精度、效验/校准频次等内容，能源计量器具的检定或校准情况未提供（进出主要次级用能单位和主要用能设备）。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0B52"/>
    <w:multiLevelType w:val="singleLevel"/>
    <w:tmpl w:val="24C40B5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27F4F"/>
    <w:rsid w:val="0D0F19A3"/>
    <w:rsid w:val="0FC05B07"/>
    <w:rsid w:val="0FF7250D"/>
    <w:rsid w:val="223A7B13"/>
    <w:rsid w:val="498E4ED1"/>
    <w:rsid w:val="65836785"/>
    <w:rsid w:val="68B75D83"/>
    <w:rsid w:val="6DC61213"/>
    <w:rsid w:val="6F13580A"/>
    <w:rsid w:val="7A7A2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8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2022-06-20T07:49:11Z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