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0784-2022-EnMS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浙江安露清洗机有限公司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5"/>
      </w:pPr>
    </w:p>
    <w:p>
      <w:pPr>
        <w:pStyle w:val="15"/>
      </w:pPr>
    </w:p>
    <w:p>
      <w:pPr>
        <w:pStyle w:val="15"/>
      </w:pPr>
    </w:p>
    <w:p>
      <w:pPr>
        <w:pStyle w:val="15"/>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浙江安露清洗机有限公司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台州市路桥区金清镇金清大道西899号</w:t>
            </w:r>
            <w:bookmarkEnd w:id="6"/>
          </w:p>
        </w:tc>
        <w:tc>
          <w:tcPr>
            <w:tcW w:w="1242" w:type="dxa"/>
            <w:vMerge w:val="restart"/>
            <w:vAlign w:val="center"/>
          </w:tcPr>
          <w:p>
            <w:r>
              <w:rPr>
                <w:rFonts w:hint="eastAsia"/>
              </w:rPr>
              <w:t>邮编</w:t>
            </w:r>
          </w:p>
        </w:tc>
        <w:tc>
          <w:tcPr>
            <w:tcW w:w="1771" w:type="dxa"/>
          </w:tcPr>
          <w:p>
            <w:bookmarkStart w:id="7" w:name="注册邮编"/>
            <w:r>
              <w:t>318050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台州市路桥区金清镇金清大道西899号</w:t>
            </w:r>
            <w:bookmarkEnd w:id="8"/>
          </w:p>
        </w:tc>
        <w:tc>
          <w:tcPr>
            <w:tcW w:w="1242" w:type="dxa"/>
            <w:vMerge w:val="continue"/>
            <w:vAlign w:val="center"/>
          </w:tcPr>
          <w:p/>
        </w:tc>
        <w:tc>
          <w:tcPr>
            <w:tcW w:w="1771" w:type="dxa"/>
          </w:tcPr>
          <w:p>
            <w:bookmarkStart w:id="9" w:name="办公邮编"/>
            <w:r>
              <w:t>318050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周必思</w:t>
            </w:r>
            <w:bookmarkEnd w:id="10"/>
          </w:p>
        </w:tc>
        <w:tc>
          <w:tcPr>
            <w:tcW w:w="1313" w:type="dxa"/>
            <w:vAlign w:val="center"/>
          </w:tcPr>
          <w:p>
            <w:r>
              <w:rPr>
                <w:rFonts w:hint="eastAsia"/>
              </w:rPr>
              <w:t>电话.</w:t>
            </w:r>
          </w:p>
        </w:tc>
        <w:tc>
          <w:tcPr>
            <w:tcW w:w="2180" w:type="dxa"/>
            <w:vAlign w:val="center"/>
          </w:tcPr>
          <w:p>
            <w:bookmarkStart w:id="11" w:name="联系人电话"/>
            <w:r>
              <w:t>13676668042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陈吉明</w:t>
            </w:r>
            <w:bookmarkEnd w:id="13"/>
          </w:p>
        </w:tc>
        <w:tc>
          <w:tcPr>
            <w:tcW w:w="1313" w:type="dxa"/>
            <w:vAlign w:val="center"/>
          </w:tcPr>
          <w:p>
            <w:r>
              <w:rPr>
                <w:rFonts w:hint="eastAsia"/>
              </w:rPr>
              <w:t>管理者代表</w:t>
            </w:r>
          </w:p>
        </w:tc>
        <w:tc>
          <w:tcPr>
            <w:tcW w:w="2180" w:type="dxa"/>
          </w:tcPr>
          <w:p>
            <w:bookmarkStart w:id="14" w:name="管理者代表"/>
            <w:r>
              <w:t>周必思</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w:t>
            </w:r>
            <w:r>
              <w:rPr>
                <w:rFonts w:hint="eastAsia"/>
              </w:rPr>
              <w:sym w:font="Wingdings 2" w:char="0052"/>
            </w:r>
            <w:r>
              <w:rPr>
                <w:rFonts w:hint="eastAsia"/>
              </w:rPr>
              <w:t>三班□其他</w:t>
            </w:r>
          </w:p>
          <w:p>
            <w:r>
              <w:rPr>
                <w:rFonts w:hint="eastAsia"/>
                <w:highlight w:val="cyan"/>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color w:val="000000"/>
                <w:szCs w:val="22"/>
                <w:lang w:val="en-US" w:eastAsia="zh-CN"/>
              </w:rPr>
              <w:t>原材</w:t>
            </w:r>
            <w:r>
              <w:rPr>
                <w:rFonts w:hint="eastAsia" w:ascii="Times New Roman" w:hAnsi="Times New Roman" w:eastAsia="宋体" w:cs="Times New Roman"/>
                <w:color w:val="000000"/>
                <w:szCs w:val="22"/>
                <w:highlight w:val="none"/>
                <w:lang w:val="en-US" w:eastAsia="zh-CN"/>
              </w:rPr>
              <w:t>料检验→下料→机加工→组装→总装→检验</w:t>
            </w:r>
            <w:r>
              <w:rPr>
                <w:rFonts w:hint="eastAsia" w:ascii="Times New Roman" w:hAnsi="Times New Roman" w:eastAsia="宋体" w:cs="Times New Roman"/>
                <w:color w:val="000000"/>
                <w:szCs w:val="22"/>
                <w:lang w:val="en-US" w:eastAsia="zh-CN"/>
              </w:rPr>
              <w:t>→入库；</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2022年06月17日 上午至2022年06月20日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pPr>
              <w:rPr>
                <w:rFonts w:hint="eastAsia" w:ascii="Times New Roman" w:hAnsi="Times New Roman" w:eastAsia="宋体" w:cs="Times New Roman"/>
                <w:lang w:eastAsia="zh-CN"/>
              </w:rPr>
            </w:pPr>
            <w:r>
              <w:rPr>
                <w:rFonts w:hint="eastAsia"/>
                <w:lang w:val="de-DE"/>
              </w:rPr>
              <w:sym w:font="Wingdings 2" w:char="0052"/>
            </w:r>
            <w:r>
              <w:rPr>
                <w:rFonts w:hint="eastAsia" w:ascii="Times New Roman" w:hAnsi="Times New Roman" w:eastAsia="宋体" w:cs="Times New Roman"/>
                <w:lang w:val="de-DE" w:eastAsia="zh-CN"/>
              </w:rPr>
              <w:t xml:space="preserve">RB/T </w:t>
            </w:r>
            <w:r>
              <w:rPr>
                <w:rFonts w:hint="eastAsia" w:ascii="Times New Roman" w:hAnsi="Times New Roman" w:eastAsia="宋体" w:cs="Times New Roman"/>
                <w:lang w:eastAsia="zh-CN"/>
              </w:rPr>
              <w:t>119-2015</w:t>
            </w:r>
            <w:r>
              <w:rPr>
                <w:rFonts w:hint="eastAsia" w:ascii="Times New Roman" w:hAnsi="Times New Roman" w:eastAsia="宋体" w:cs="Times New Roman"/>
                <w:lang w:val="en-US" w:eastAsia="zh-CN"/>
              </w:rPr>
              <w:t>能源管理体系 机械制造企业</w:t>
            </w:r>
            <w:r>
              <w:rPr>
                <w:rFonts w:hint="eastAsia" w:ascii="Times New Roman" w:hAnsi="Times New Roman" w:eastAsia="宋体" w:cs="Times New Roman"/>
                <w:lang w:eastAsia="zh-CN"/>
              </w:rPr>
              <w:t>认证要求</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lang w:val="en-US" w:eastAsia="zh-CN"/>
              </w:rPr>
              <w:t>河北省石家庄市/浙江省杭州市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清洗机、8.2KW及以下通用汽油机和发电机、排气压力≤0.8MPa直联便携式空气压缩机、排气压力≤1.0MPa微型复式空气压缩机的生产所涉及的能源管理活动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86"/>
        <w:gridCol w:w="1460"/>
        <w:gridCol w:w="680"/>
        <w:gridCol w:w="2690"/>
        <w:gridCol w:w="17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986" w:type="dxa"/>
            <w:shd w:val="clear" w:color="auto" w:fill="F3F3F3"/>
            <w:tcMar>
              <w:left w:w="57" w:type="dxa"/>
              <w:right w:w="57" w:type="dxa"/>
            </w:tcMar>
          </w:tcPr>
          <w:p>
            <w:r>
              <w:rPr>
                <w:rFonts w:hint="eastAsia"/>
              </w:rPr>
              <w:t>组织名称及注册场所地址</w:t>
            </w:r>
          </w:p>
        </w:tc>
        <w:tc>
          <w:tcPr>
            <w:tcW w:w="1460" w:type="dxa"/>
            <w:shd w:val="clear" w:color="auto" w:fill="F3F3F3"/>
            <w:tcMar>
              <w:left w:w="57" w:type="dxa"/>
              <w:right w:w="57" w:type="dxa"/>
            </w:tcMar>
          </w:tcPr>
          <w:p>
            <w:r>
              <w:rPr>
                <w:rFonts w:hint="eastAsia"/>
              </w:rPr>
              <w:t>经营场所的地址</w:t>
            </w:r>
          </w:p>
          <w:p>
            <w:r>
              <w:rPr>
                <w:rFonts w:hint="eastAsia"/>
              </w:rPr>
              <w:t>（多现场和临时现场）</w:t>
            </w:r>
          </w:p>
        </w:tc>
        <w:tc>
          <w:tcPr>
            <w:tcW w:w="680" w:type="dxa"/>
            <w:shd w:val="clear" w:color="auto" w:fill="F3F3F3"/>
            <w:tcMar>
              <w:left w:w="57" w:type="dxa"/>
              <w:right w:w="57" w:type="dxa"/>
            </w:tcMar>
          </w:tcPr>
          <w:p>
            <w:r>
              <w:rPr>
                <w:rFonts w:hint="eastAsia"/>
              </w:rPr>
              <w:t>员工人数</w:t>
            </w:r>
          </w:p>
        </w:tc>
        <w:tc>
          <w:tcPr>
            <w:tcW w:w="2690"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76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986"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浙江安露清洗机有限公司</w:t>
            </w:r>
            <w:r>
              <w:rPr>
                <w:rFonts w:hint="eastAsia"/>
                <w:sz w:val="21"/>
                <w:szCs w:val="21"/>
                <w:lang w:val="en-US" w:eastAsia="zh-CN"/>
              </w:rPr>
              <w:t>/</w:t>
            </w:r>
            <w:r>
              <w:rPr>
                <w:sz w:val="21"/>
                <w:szCs w:val="21"/>
              </w:rPr>
              <w:t>台州市路桥区金清镇金清大道西899号</w:t>
            </w:r>
          </w:p>
        </w:tc>
        <w:tc>
          <w:tcPr>
            <w:tcW w:w="1460"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台州市路桥区金清镇金清大道西899号</w:t>
            </w:r>
          </w:p>
        </w:tc>
        <w:tc>
          <w:tcPr>
            <w:tcW w:w="680"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175</w:t>
            </w:r>
          </w:p>
        </w:tc>
        <w:tc>
          <w:tcPr>
            <w:tcW w:w="2690" w:type="dxa"/>
            <w:vAlign w:val="center"/>
          </w:tcPr>
          <w:p>
            <w:pPr>
              <w:pStyle w:val="24"/>
              <w:rPr>
                <w:rFonts w:ascii="Times New Roman" w:hAnsi="Times New Roman" w:eastAsia="黑体" w:cs="Arial"/>
                <w:kern w:val="2"/>
                <w:sz w:val="21"/>
                <w:szCs w:val="21"/>
                <w:lang w:val="en-US" w:eastAsia="ja-JP" w:bidi="ar-SA"/>
              </w:rPr>
            </w:pPr>
            <w:r>
              <w:rPr>
                <w:rFonts w:hint="eastAsia" w:ascii="Times New Roman" w:hAnsi="Times New Roman" w:eastAsia="宋体" w:cs="Times New Roman"/>
                <w:kern w:val="2"/>
                <w:sz w:val="21"/>
                <w:szCs w:val="21"/>
                <w:lang w:val="en-US" w:eastAsia="zh-CN" w:bidi="ar-SA"/>
              </w:rPr>
              <w:t>清洗机、8.2KW及以下通用汽油机和发电机、排气压力≤0.8MPa直联便携式空气压缩机、排气压力≤1.0MPa微型复式空气压缩机的生产所涉及的能源管理活动</w:t>
            </w:r>
          </w:p>
        </w:tc>
        <w:tc>
          <w:tcPr>
            <w:tcW w:w="1761"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RB/T119-2015</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986" w:type="dxa"/>
            <w:vAlign w:val="center"/>
          </w:tcPr>
          <w:p>
            <w:pPr>
              <w:rPr>
                <w:lang w:eastAsia="ja-JP"/>
              </w:rPr>
            </w:pPr>
          </w:p>
        </w:tc>
        <w:tc>
          <w:tcPr>
            <w:tcW w:w="1460" w:type="dxa"/>
            <w:vAlign w:val="center"/>
          </w:tcPr>
          <w:p>
            <w:pPr>
              <w:rPr>
                <w:lang w:eastAsia="ja-JP"/>
              </w:rPr>
            </w:pPr>
          </w:p>
        </w:tc>
        <w:tc>
          <w:tcPr>
            <w:tcW w:w="680" w:type="dxa"/>
            <w:vAlign w:val="center"/>
          </w:tcPr>
          <w:p>
            <w:pPr>
              <w:rPr>
                <w:lang w:eastAsia="ja-JP"/>
              </w:rPr>
            </w:pPr>
          </w:p>
        </w:tc>
        <w:tc>
          <w:tcPr>
            <w:tcW w:w="2690" w:type="dxa"/>
            <w:vAlign w:val="center"/>
          </w:tcPr>
          <w:p>
            <w:pPr>
              <w:rPr>
                <w:lang w:eastAsia="ja-JP"/>
              </w:rPr>
            </w:pPr>
          </w:p>
        </w:tc>
        <w:tc>
          <w:tcPr>
            <w:tcW w:w="176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986" w:type="dxa"/>
            <w:vAlign w:val="center"/>
          </w:tcPr>
          <w:p>
            <w:pPr>
              <w:rPr>
                <w:lang w:eastAsia="ja-JP"/>
              </w:rPr>
            </w:pPr>
          </w:p>
        </w:tc>
        <w:tc>
          <w:tcPr>
            <w:tcW w:w="1460" w:type="dxa"/>
            <w:vAlign w:val="center"/>
          </w:tcPr>
          <w:p>
            <w:pPr>
              <w:rPr>
                <w:lang w:eastAsia="ja-JP"/>
              </w:rPr>
            </w:pPr>
          </w:p>
        </w:tc>
        <w:tc>
          <w:tcPr>
            <w:tcW w:w="680" w:type="dxa"/>
            <w:vAlign w:val="center"/>
          </w:tcPr>
          <w:p>
            <w:pPr>
              <w:rPr>
                <w:lang w:eastAsia="ja-JP"/>
              </w:rPr>
            </w:pPr>
          </w:p>
        </w:tc>
        <w:tc>
          <w:tcPr>
            <w:tcW w:w="2690" w:type="dxa"/>
            <w:vAlign w:val="center"/>
          </w:tcPr>
          <w:p>
            <w:pPr>
              <w:rPr>
                <w:lang w:eastAsia="ja-JP"/>
              </w:rPr>
            </w:pPr>
          </w:p>
        </w:tc>
        <w:tc>
          <w:tcPr>
            <w:tcW w:w="176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王贝</w:t>
            </w:r>
          </w:p>
        </w:tc>
        <w:tc>
          <w:tcPr>
            <w:tcW w:w="1089" w:type="dxa"/>
            <w:vAlign w:val="center"/>
          </w:tcPr>
          <w:p>
            <w:r>
              <w:t>组员</w:t>
            </w:r>
          </w:p>
        </w:tc>
        <w:tc>
          <w:tcPr>
            <w:tcW w:w="711" w:type="dxa"/>
            <w:vAlign w:val="center"/>
          </w:tcPr>
          <w:p>
            <w:r>
              <w:t>男</w:t>
            </w:r>
          </w:p>
        </w:tc>
        <w:tc>
          <w:tcPr>
            <w:tcW w:w="3870" w:type="dxa"/>
            <w:vAlign w:val="center"/>
          </w:tcPr>
          <w:p>
            <w:r>
              <w:t>ISC-JSZJ-539</w:t>
            </w:r>
          </w:p>
          <w:p>
            <w:r>
              <w:t>浙江欧森机械有限公司</w:t>
            </w:r>
          </w:p>
        </w:tc>
        <w:tc>
          <w:tcPr>
            <w:tcW w:w="2179" w:type="dxa"/>
            <w:vAlign w:val="center"/>
          </w:tcPr>
          <w:p>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r>
        <w:rPr>
          <w:rFonts w:hint="eastAsia"/>
        </w:rPr>
        <w:sym w:font="Wingdings 2" w:char="0052"/>
      </w:r>
      <w:r>
        <w:rPr>
          <w:rFonts w:hint="eastAsia"/>
        </w:rPr>
        <w:t>EnMS□FSMS□HACCP的附件）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EnMS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drawing>
                <wp:anchor distT="0" distB="0" distL="114300" distR="114300" simplePos="0" relativeHeight="251660288" behindDoc="0" locked="0" layoutInCell="1" allowOverlap="1">
                  <wp:simplePos x="0" y="0"/>
                  <wp:positionH relativeFrom="column">
                    <wp:posOffset>0</wp:posOffset>
                  </wp:positionH>
                  <wp:positionV relativeFrom="paragraph">
                    <wp:posOffset>71120</wp:posOffset>
                  </wp:positionV>
                  <wp:extent cx="888365" cy="243840"/>
                  <wp:effectExtent l="0" t="0" r="635" b="10160"/>
                  <wp:wrapSquare wrapText="bothSides"/>
                  <wp:docPr id="4"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审核任务\电子签\李丽英电子签名.png"/>
                          <pic:cNvPicPr>
                            <a:picLocks noChangeAspect="1"/>
                          </pic:cNvPicPr>
                        </pic:nvPicPr>
                        <pic:blipFill>
                          <a:blip r:embed="rId6"/>
                          <a:stretch>
                            <a:fillRect/>
                          </a:stretch>
                        </pic:blipFill>
                        <pic:spPr>
                          <a:xfrm>
                            <a:off x="0" y="0"/>
                            <a:ext cx="888365" cy="243840"/>
                          </a:xfrm>
                          <a:prstGeom prst="rect">
                            <a:avLst/>
                          </a:prstGeom>
                          <a:noFill/>
                          <a:ln>
                            <a:noFill/>
                          </a:ln>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2022.6.20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w:t>
            </w:r>
            <w:r>
              <w:rPr>
                <w:rFonts w:hint="eastAsia"/>
              </w:rPr>
              <w:sym w:font="Wingdings 2" w:char="0052"/>
            </w:r>
            <w:r>
              <w:rPr>
                <w:rFonts w:hint="eastAsia"/>
              </w:rPr>
              <w:t>能效监测</w:t>
            </w:r>
            <w:r>
              <w:rPr>
                <w:rFonts w:hint="eastAsia"/>
              </w:rPr>
              <w:sym w:font="Wingdings 2" w:char="0052"/>
            </w:r>
            <w:r>
              <w:rPr>
                <w:rFonts w:hint="eastAsia"/>
              </w:rPr>
              <w:t>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color w:val="000000"/>
                <w:szCs w:val="18"/>
              </w:rPr>
              <w:t>遵守法规  清洁生产  创新改造  提高能效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行政人事中心 </w:t>
            </w:r>
            <w:r>
              <w:rPr>
                <w:rFonts w:hint="eastAsia"/>
              </w:rPr>
              <w:sym w:font="Wingdings 2" w:char="0052"/>
            </w:r>
            <w:r>
              <w:rPr>
                <w:rFonts w:hint="eastAsia"/>
              </w:rPr>
              <w:t>能源管理团队</w:t>
            </w:r>
            <w:r>
              <w:rPr>
                <w:rFonts w:hint="eastAsia"/>
                <w:lang w:eastAsia="zh-CN"/>
              </w:rPr>
              <w:t>——</w:t>
            </w:r>
            <w:r>
              <w:rPr>
                <w:rFonts w:hint="eastAsia"/>
                <w:lang w:val="en-US" w:eastAsia="zh-CN"/>
              </w:rPr>
              <w:t>生产管理中心</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highlight w:val="none"/>
                <w:lang w:val="en-US" w:eastAsia="zh-CN"/>
              </w:rPr>
              <w:t>周必思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w:t>
            </w:r>
            <w:r>
              <w:rPr>
                <w:rFonts w:hint="eastAsia"/>
              </w:rPr>
              <w:sym w:font="Wingdings 2" w:char="0052"/>
            </w:r>
            <w:r>
              <w:rPr>
                <w:rFonts w:hint="eastAsia"/>
              </w:rPr>
              <w:t>天然气□燃料油□燃料气</w:t>
            </w:r>
            <w:r>
              <w:rPr>
                <w:rFonts w:hint="eastAsia"/>
              </w:rPr>
              <w:sym w:font="Wingdings 2" w:char="0052"/>
            </w:r>
            <w:r>
              <w:rPr>
                <w:rFonts w:hint="eastAsia"/>
              </w:rPr>
              <w:t>电力□氮气□风</w:t>
            </w:r>
            <w:r>
              <w:rPr>
                <w:rFonts w:hint="eastAsia"/>
              </w:rPr>
              <w:sym w:font="Wingdings 2" w:char="0052"/>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lang w:val="en-US" w:eastAsia="zh-CN"/>
              </w:rPr>
              <w:t>2022.3</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354"/>
              <w:gridCol w:w="1437"/>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235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43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486"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highlight w:val="yellow"/>
                      <w:lang w:val="en-US" w:eastAsia="zh-CN" w:bidi="ar-SA"/>
                    </w:rPr>
                  </w:pPr>
                  <w:r>
                    <w:rPr>
                      <w:rFonts w:hint="eastAsia" w:ascii="宋体" w:hAnsi="宋体" w:cs="宋体"/>
                      <w:color w:val="auto"/>
                      <w:sz w:val="18"/>
                      <w:szCs w:val="18"/>
                      <w:lang w:val="en-US" w:eastAsia="zh-CN"/>
                    </w:rPr>
                    <w:t>2021单位产值综合能耗下降3%</w:t>
                  </w:r>
                </w:p>
              </w:tc>
              <w:tc>
                <w:tcPr>
                  <w:tcW w:w="2354" w:type="dxa"/>
                  <w:shd w:val="clear" w:color="auto" w:fill="auto"/>
                  <w:vAlign w:val="top"/>
                </w:tcPr>
                <w:p>
                  <w:pPr>
                    <w:widowControl/>
                    <w:spacing w:before="40"/>
                    <w:jc w:val="left"/>
                    <w:rPr>
                      <w:rFonts w:hint="default" w:ascii="Times New Roman" w:hAnsi="Times New Roman" w:eastAsia="宋体" w:cs="Times New Roman"/>
                      <w:kern w:val="2"/>
                      <w:sz w:val="21"/>
                      <w:szCs w:val="24"/>
                      <w:highlight w:val="yellow"/>
                      <w:lang w:val="en-US" w:eastAsia="zh-CN" w:bidi="ar-SA"/>
                    </w:rPr>
                  </w:pPr>
                  <w:r>
                    <w:rPr>
                      <w:rFonts w:hint="eastAsia" w:ascii="宋体" w:hAnsi="宋体" w:cs="宋体"/>
                      <w:color w:val="auto"/>
                      <w:sz w:val="18"/>
                      <w:szCs w:val="18"/>
                      <w:lang w:val="en-US" w:eastAsia="zh-CN"/>
                    </w:rPr>
                    <w:t>加强能源使用管理，合理调整生产运行</w:t>
                  </w:r>
                </w:p>
              </w:tc>
              <w:tc>
                <w:tcPr>
                  <w:tcW w:w="1437" w:type="dxa"/>
                  <w:shd w:val="clear" w:color="auto" w:fill="auto"/>
                  <w:vAlign w:val="top"/>
                </w:tcPr>
                <w:p>
                  <w:pPr>
                    <w:widowControl/>
                    <w:spacing w:before="40"/>
                    <w:jc w:val="left"/>
                    <w:rPr>
                      <w:rFonts w:hint="default" w:ascii="Times New Roman" w:hAnsi="Times New Roman" w:eastAsia="宋体" w:cs="Times New Roman"/>
                      <w:kern w:val="2"/>
                      <w:sz w:val="21"/>
                      <w:szCs w:val="24"/>
                      <w:highlight w:val="yellow"/>
                      <w:lang w:val="en-US" w:eastAsia="zh-CN" w:bidi="ar-SA"/>
                    </w:rPr>
                  </w:pPr>
                  <w:r>
                    <w:rPr>
                      <w:rFonts w:hint="eastAsia" w:ascii="宋体" w:hAnsi="宋体" w:cs="宋体"/>
                      <w:color w:val="auto"/>
                      <w:sz w:val="18"/>
                      <w:szCs w:val="18"/>
                      <w:lang w:val="en-US" w:eastAsia="zh-CN"/>
                    </w:rPr>
                    <w:t>行政人事中心/生产管理中心</w:t>
                  </w:r>
                </w:p>
              </w:tc>
              <w:tc>
                <w:tcPr>
                  <w:tcW w:w="2486" w:type="dxa"/>
                  <w:shd w:val="clear" w:color="auto" w:fill="auto"/>
                  <w:vAlign w:val="top"/>
                </w:tcPr>
                <w:p>
                  <w:pPr>
                    <w:widowControl/>
                    <w:spacing w:before="40"/>
                    <w:jc w:val="left"/>
                    <w:rPr>
                      <w:rFonts w:ascii="宋体" w:hAnsi="宋体" w:eastAsia="宋体" w:cs="Times New Roman"/>
                      <w:kern w:val="2"/>
                      <w:sz w:val="21"/>
                      <w:szCs w:val="24"/>
                      <w:highlight w:val="yellow"/>
                      <w:lang w:val="en-GB" w:eastAsia="zh-CN" w:bidi="ar-SA"/>
                    </w:rPr>
                  </w:pPr>
                  <w:r>
                    <w:rPr>
                      <w:rFonts w:hint="eastAsia" w:ascii="宋体" w:hAnsi="宋体" w:cs="宋体"/>
                      <w:color w:val="auto"/>
                      <w:sz w:val="18"/>
                      <w:szCs w:val="18"/>
                      <w:lang w:val="en-US" w:eastAsia="zh-CN"/>
                    </w:rPr>
                    <w:t>18.95</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，完成指标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120"/>
                    <w:textAlignment w:val="auto"/>
                    <w:rPr>
                      <w:rFonts w:ascii="Times New Roman" w:hAnsi="Times New Roman" w:eastAsia="宋体" w:cs="Times New Roman"/>
                      <w:kern w:val="2"/>
                      <w:sz w:val="21"/>
                      <w:szCs w:val="24"/>
                      <w:highlight w:val="yellow"/>
                      <w:lang w:val="en-US" w:eastAsia="zh-CN" w:bidi="ar-SA"/>
                    </w:rPr>
                  </w:pPr>
                </w:p>
              </w:tc>
              <w:tc>
                <w:tcPr>
                  <w:tcW w:w="2354"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yellow"/>
                      <w:lang w:val="en-US" w:eastAsia="zh-CN" w:bidi="ar-SA"/>
                    </w:rPr>
                  </w:pPr>
                </w:p>
              </w:tc>
              <w:tc>
                <w:tcPr>
                  <w:tcW w:w="1437"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yellow"/>
                      <w:lang w:val="en-US" w:eastAsia="zh-CN" w:bidi="ar-SA"/>
                    </w:rPr>
                  </w:pPr>
                </w:p>
              </w:tc>
              <w:tc>
                <w:tcPr>
                  <w:tcW w:w="2486" w:type="dxa"/>
                  <w:shd w:val="clear" w:color="auto" w:fill="auto"/>
                  <w:vAlign w:val="top"/>
                </w:tcPr>
                <w:p>
                  <w:pPr>
                    <w:pStyle w:val="10"/>
                    <w:ind w:left="0" w:leftChars="0" w:firstLine="0" w:firstLineChars="0"/>
                    <w:rPr>
                      <w:rFonts w:ascii="宋体" w:hAnsi="宋体" w:eastAsia="宋体" w:cs="Times New Roman"/>
                      <w:kern w:val="2"/>
                      <w:sz w:val="21"/>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2354" w:type="dxa"/>
                  <w:shd w:val="clear" w:color="auto" w:fill="auto"/>
                  <w:vAlign w:val="center"/>
                </w:tcPr>
                <w:p>
                  <w:pPr>
                    <w:shd w:val="clear" w:color="auto" w:fill="EBF1DE" w:themeFill="accent3" w:themeFillTint="32"/>
                    <w:rPr>
                      <w:rFonts w:ascii="宋体" w:hAnsi="宋体"/>
                    </w:rPr>
                  </w:pPr>
                </w:p>
              </w:tc>
              <w:tc>
                <w:tcPr>
                  <w:tcW w:w="1437" w:type="dxa"/>
                  <w:shd w:val="clear" w:color="auto" w:fill="auto"/>
                  <w:vAlign w:val="center"/>
                </w:tcPr>
                <w:p>
                  <w:pPr>
                    <w:shd w:val="clear" w:color="auto" w:fill="EBF1DE" w:themeFill="accent3" w:themeFillTint="32"/>
                    <w:rPr>
                      <w:rFonts w:ascii="宋体" w:hAnsi="宋体"/>
                    </w:rPr>
                  </w:pPr>
                </w:p>
              </w:tc>
              <w:tc>
                <w:tcPr>
                  <w:tcW w:w="2486"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目标已实现</w:t>
            </w:r>
            <w:r>
              <w:rPr>
                <w:rFonts w:hint="eastAsia"/>
                <w:highlight w:val="none"/>
                <w:lang w:val="en-US" w:eastAsia="zh-CN"/>
              </w:rPr>
              <w:t>。</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pStyle w:val="4"/>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eastAsia="宋体"/>
                <w:sz w:val="20"/>
                <w:szCs w:val="22"/>
                <w:highlight w:val="none"/>
                <w:lang w:val="en-US" w:eastAsia="zh-CN"/>
              </w:rPr>
            </w:pPr>
            <w:r>
              <w:rPr>
                <w:rFonts w:hint="eastAsia" w:eastAsia="宋体"/>
                <w:sz w:val="20"/>
                <w:szCs w:val="22"/>
                <w:highlight w:val="none"/>
                <w:lang w:val="en-US" w:eastAsia="zh-CN"/>
              </w:rPr>
              <w:t>建筑面积17万平方米；生产管理系统</w:t>
            </w:r>
            <w:r>
              <w:rPr>
                <w:rFonts w:hint="eastAsia"/>
                <w:sz w:val="20"/>
                <w:szCs w:val="22"/>
                <w:lang w:val="en-US" w:eastAsia="zh-CN"/>
              </w:rPr>
              <w:t>（</w:t>
            </w:r>
            <w:r>
              <w:rPr>
                <w:rFonts w:hint="eastAsia"/>
                <w:sz w:val="20"/>
                <w:szCs w:val="22"/>
                <w:highlight w:val="none"/>
                <w:lang w:val="en-US" w:eastAsia="zh-CN"/>
              </w:rPr>
              <w:t>精加工事业部、电机事业部、注塑事业部、压铸事业部、整机事业部</w:t>
            </w:r>
            <w:r>
              <w:rPr>
                <w:rFonts w:hint="eastAsia"/>
                <w:sz w:val="20"/>
                <w:szCs w:val="22"/>
                <w:lang w:val="en-US" w:eastAsia="zh-CN"/>
              </w:rPr>
              <w:t>）</w:t>
            </w:r>
            <w:r>
              <w:rPr>
                <w:rFonts w:hint="eastAsia" w:eastAsia="宋体"/>
                <w:sz w:val="20"/>
                <w:szCs w:val="22"/>
                <w:highlight w:val="none"/>
                <w:lang w:val="en-US" w:eastAsia="zh-CN"/>
              </w:rPr>
              <w:t>；库房2个（产品、原料）；实验室1个；</w:t>
            </w:r>
          </w:p>
          <w:p>
            <w:pPr>
              <w:shd w:val="clear" w:color="auto" w:fill="EBF1DE" w:themeFill="accent3" w:themeFillTint="32"/>
              <w:rPr>
                <w:u w:val="single"/>
              </w:rPr>
            </w:pPr>
            <w:r>
              <w:rPr>
                <w:rFonts w:hint="eastAsia"/>
              </w:rPr>
              <w:t>主要生产设备有：</w:t>
            </w:r>
            <w:r>
              <w:rPr>
                <w:rFonts w:hint="eastAsia" w:eastAsia="宋体"/>
                <w:u w:val="single"/>
                <w:lang w:val="en-US" w:eastAsia="zh-CN"/>
              </w:rPr>
              <w:t>熔化炉</w:t>
            </w:r>
            <w:r>
              <w:rPr>
                <w:rFonts w:hint="eastAsia" w:eastAsia="宋体"/>
                <w:u w:val="single"/>
              </w:rPr>
              <w:t>、</w:t>
            </w:r>
            <w:r>
              <w:rPr>
                <w:rFonts w:hint="eastAsia" w:eastAsia="宋体"/>
                <w:u w:val="single"/>
                <w:lang w:val="en-US" w:eastAsia="zh-CN"/>
              </w:rPr>
              <w:t>空压机</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eastAsia="宋体"/>
                <w:u w:val="single"/>
                <w:lang w:val="en-US" w:eastAsia="zh-CN"/>
              </w:rPr>
              <w:t>空压机、变压器、熔化炉</w:t>
            </w:r>
            <w:r>
              <w:rPr>
                <w:rFonts w:hint="eastAsia" w:eastAsia="宋体"/>
                <w:u w:val="single"/>
              </w:rPr>
              <w:t>（</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highlight w:val="none"/>
              </w:rPr>
              <w:t>叉车</w:t>
            </w:r>
            <w:r>
              <w:rPr>
                <w:rFonts w:hint="eastAsia" w:ascii="Wingdings" w:hAnsi="Wingdings"/>
                <w:lang w:eastAsia="zh-CN"/>
              </w:rPr>
              <w:sym w:font="Wingdings 2" w:char="00A3"/>
            </w:r>
            <w:r>
              <w:rPr>
                <w:rFonts w:hint="eastAsia"/>
              </w:rPr>
              <w:t>行车</w:t>
            </w:r>
            <w:r>
              <w:rPr>
                <w:rFonts w:hint="eastAsia" w:ascii="Wingdings" w:hAnsi="Wingdings"/>
                <w:lang w:eastAsia="zh-CN"/>
              </w:rPr>
              <w:sym w:font="Wingdings 2" w:char="00A3"/>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52"/>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电表、水表、天然气流量计</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highlight w:val="none"/>
                <w:lang w:val="en-US" w:eastAsia="zh-CN"/>
              </w:rPr>
              <w:t>提供</w:t>
            </w:r>
            <w:r>
              <w:rPr>
                <w:rFonts w:hint="eastAsia"/>
                <w:highlight w:val="none"/>
              </w:rPr>
              <w:t>行定期校准/检定</w:t>
            </w:r>
            <w:r>
              <w:rPr>
                <w:rFonts w:hint="eastAsia"/>
                <w:highlight w:val="none"/>
                <w:lang w:val="en-US" w:eastAsia="zh-CN"/>
              </w:rPr>
              <w:t>报告，企业介绍</w:t>
            </w:r>
            <w:r>
              <w:rPr>
                <w:rFonts w:hint="eastAsia"/>
                <w:highlight w:val="none"/>
              </w:rPr>
              <w:t>：</w:t>
            </w:r>
            <w:r>
              <w:rPr>
                <w:rFonts w:hint="eastAsia"/>
                <w:highlight w:val="none"/>
                <w:lang w:val="en-US" w:eastAsia="zh-CN"/>
              </w:rPr>
              <w:t>由供方校验</w:t>
            </w:r>
            <w:r>
              <w:rPr>
                <w:rFonts w:hint="eastAsia"/>
                <w:lang w:val="en-US" w:eastAsia="zh-CN"/>
              </w:rPr>
              <w:t>。只获取到天然气流量计的检定证书，见审核记录。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ascii="Times New Roman" w:hAnsi="Times New Roman" w:eastAsia="宋体" w:cs="Times New Roman"/>
                <w:u w:val="single"/>
                <w:lang w:val="en-US" w:eastAsia="zh-CN"/>
              </w:rPr>
              <w:t xml:space="preserve">APW-VCS </w:t>
            </w:r>
            <w:r>
              <w:rPr>
                <w:rFonts w:hint="eastAsia" w:ascii="Times New Roman" w:hAnsi="Times New Roman" w:eastAsia="宋体" w:cs="Times New Roman"/>
                <w:color w:val="0000FF"/>
                <w:kern w:val="2"/>
                <w:sz w:val="21"/>
                <w:szCs w:val="22"/>
                <w:lang w:val="en-US" w:eastAsia="zh-CN" w:bidi="ar-SA"/>
              </w:rPr>
              <w:t xml:space="preserve"> </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rPr>
                <w:rFonts w:hint="default" w:eastAsia="宋体"/>
                <w:lang w:val="en-US" w:eastAsia="zh-CN"/>
              </w:rPr>
            </w:pPr>
            <w:r>
              <w:rPr>
                <w:rFonts w:hint="eastAsia"/>
              </w:rPr>
              <w:t>设计和开发的节能措施控制：</w:t>
            </w:r>
            <w:r>
              <w:rPr>
                <w:rFonts w:hint="eastAsia"/>
                <w:lang w:val="en-US" w:eastAsia="zh-CN"/>
              </w:rPr>
              <w:t>。</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A3"/>
            </w:r>
            <w:r>
              <w:rPr>
                <w:rFonts w:hint="eastAsia"/>
              </w:rPr>
              <w:t>主要用能设备采购</w:t>
            </w:r>
            <w:r>
              <w:rPr>
                <w:rFonts w:hint="eastAsia" w:ascii="Wingdings" w:hAnsi="Wingdings"/>
                <w:lang w:eastAsia="zh-CN"/>
              </w:rPr>
              <w:sym w:font="Wingdings 2" w:char="0052"/>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节约用气</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2021</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20</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企业目前未开展能效测试</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25-26</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rPr>
              <w:t>10</w:t>
            </w: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sz w:val="24"/>
          <w:szCs w:val="24"/>
        </w:rPr>
      </w:pPr>
      <w:bookmarkStart w:id="34" w:name="_GoBack"/>
      <w:bookmarkEnd w:id="34"/>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756" w:firstLineChars="400"/>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BC864B"/>
    <w:multiLevelType w:val="singleLevel"/>
    <w:tmpl w:val="D8BC864B"/>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021DED"/>
    <w:rsid w:val="437603F2"/>
    <w:rsid w:val="5EC16D4E"/>
    <w:rsid w:val="67CA2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List Bullet 5"/>
    <w:basedOn w:val="1"/>
    <w:semiHidden/>
    <w:unhideWhenUsed/>
    <w:uiPriority w:val="99"/>
    <w:pPr>
      <w:numPr>
        <w:ilvl w:val="0"/>
        <w:numId w:val="1"/>
      </w:numPr>
    </w:pPr>
  </w:style>
  <w:style w:type="paragraph" w:styleId="4">
    <w:name w:val="Body Text Indent"/>
    <w:basedOn w:val="1"/>
    <w:qFormat/>
    <w:uiPriority w:val="0"/>
    <w:pPr>
      <w:snapToGrid w:val="0"/>
      <w:spacing w:line="336" w:lineRule="auto"/>
      <w:ind w:firstLine="630"/>
    </w:pPr>
    <w:rPr>
      <w:sz w:val="32"/>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2"/>
    <w:unhideWhenUsed/>
    <w:qFormat/>
    <w:uiPriority w:val="99"/>
    <w:pPr>
      <w:ind w:firstLine="420" w:firstLineChars="1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7"/>
    <w:qFormat/>
    <w:uiPriority w:val="99"/>
    <w:rPr>
      <w:rFonts w:ascii="Times New Roman" w:hAnsi="Times New Roman" w:eastAsia="宋体" w:cs="Times New Roman"/>
      <w:sz w:val="18"/>
      <w:szCs w:val="18"/>
    </w:rPr>
  </w:style>
  <w:style w:type="character" w:customStyle="1" w:styleId="18">
    <w:name w:val="页脚 Char"/>
    <w:basedOn w:val="13"/>
    <w:link w:val="6"/>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6</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2022-06-20T04:46:22Z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