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0784-2022-EnMS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浙江安露清洗机有限公司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sym w:font="Wingdings 2" w:char="0052"/>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2022年06月10日 下午至2022年06月12日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
            <w:bookmarkStart w:id="10" w:name="QJ勾选Add1"/>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rPr>
              <w:sym w:font="Wingdings 2" w:char="0052"/>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hint="eastAsia"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lang w:val="de-DE"/>
              </w:rPr>
              <w:t>GB/T 23331-202</w:t>
            </w:r>
            <w:r>
              <w:rPr>
                <w:rFonts w:hint="eastAsia" w:ascii="宋体" w:hAnsi="宋体"/>
                <w:b/>
                <w:color w:val="000000"/>
                <w:szCs w:val="21"/>
                <w:lang w:val="en-US" w:eastAsia="zh-CN"/>
              </w:rPr>
              <w:t>0</w:t>
            </w:r>
            <w:r>
              <w:rPr>
                <w:rFonts w:hint="eastAsia" w:ascii="宋体" w:hAnsi="宋体"/>
                <w:b/>
                <w:color w:val="000000"/>
                <w:szCs w:val="21"/>
                <w:lang w:val="de-DE"/>
              </w:rPr>
              <w:t xml:space="preserve"> </w:t>
            </w:r>
          </w:p>
          <w:p>
            <w:pPr>
              <w:rPr>
                <w:rFonts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sz w:val="21"/>
                <w:szCs w:val="21"/>
              </w:rPr>
              <w:t>RB</w:t>
            </w:r>
            <w:r>
              <w:rPr>
                <w:rFonts w:hint="eastAsia" w:ascii="宋体" w:hAnsi="宋体"/>
                <w:b/>
                <w:sz w:val="21"/>
                <w:szCs w:val="21"/>
                <w:lang w:val="en-US" w:eastAsia="zh-CN"/>
              </w:rPr>
              <w:t>/</w:t>
            </w:r>
            <w:r>
              <w:rPr>
                <w:rFonts w:hint="eastAsia" w:ascii="宋体" w:hAnsi="宋体"/>
                <w:b/>
                <w:sz w:val="21"/>
                <w:szCs w:val="21"/>
              </w:rPr>
              <w:t>T 119-2015 能源管理体系 机械制造企业认证要求</w:t>
            </w:r>
          </w:p>
          <w:p>
            <w:pPr>
              <w:rPr>
                <w:rFonts w:ascii="宋体" w:hAnsi="宋体"/>
                <w:b/>
                <w:color w:val="000000"/>
                <w:szCs w:val="21"/>
                <w:lang w:val="de-DE"/>
              </w:rPr>
            </w:pPr>
            <w:r>
              <w:rPr>
                <w:rFonts w:hint="eastAsia" w:ascii="宋体" w:hAnsi="宋体"/>
                <w:b/>
                <w:color w:val="000000"/>
                <w:szCs w:val="21"/>
                <w:lang w:val="de-DE"/>
              </w:rPr>
              <w:t>FSMS：</w:t>
            </w:r>
            <w:bookmarkStart w:id="19" w:name="F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0" w:name="H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河北省石家庄市/浙江省杭州市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2020-N1EnMS-3021820</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王贝</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ISC-JSZJ-539</w:t>
            </w:r>
          </w:p>
          <w:p>
            <w:pPr>
              <w:spacing w:line="240" w:lineRule="exact"/>
              <w:jc w:val="center"/>
              <w:rPr>
                <w:b/>
                <w:color w:val="000000"/>
                <w:szCs w:val="21"/>
              </w:rPr>
            </w:pPr>
            <w:r>
              <w:rPr>
                <w:b/>
                <w:color w:val="000000"/>
                <w:szCs w:val="21"/>
              </w:rPr>
              <w:t>浙江欧森机械有限公司</w:t>
            </w:r>
          </w:p>
        </w:tc>
        <w:tc>
          <w:tcPr>
            <w:tcW w:w="1140" w:type="dxa"/>
            <w:vAlign w:val="center"/>
          </w:tcPr>
          <w:p>
            <w:pPr>
              <w:spacing w:line="240" w:lineRule="exact"/>
              <w:jc w:val="center"/>
              <w:rPr>
                <w:b/>
                <w:color w:val="000000"/>
                <w:szCs w:val="21"/>
              </w:rPr>
            </w:pPr>
            <w:r>
              <w:rPr>
                <w:b/>
                <w:color w:val="000000"/>
                <w:szCs w:val="21"/>
              </w:rPr>
              <w:t>2.7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1" w:name="组织名称Add1"/>
            <w:r>
              <w:rPr>
                <w:rFonts w:ascii="宋体"/>
                <w:b/>
                <w:color w:val="000000"/>
                <w:szCs w:val="21"/>
              </w:rPr>
              <w:t>浙江安露清洗机有限公司</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2" w:name="注册地址"/>
            <w:r>
              <w:rPr>
                <w:rFonts w:ascii="宋体"/>
                <w:b/>
                <w:color w:val="000000"/>
                <w:szCs w:val="21"/>
              </w:rPr>
              <w:t>台州市路桥区金清镇金清大道西899号</w:t>
            </w:r>
            <w:bookmarkEnd w:id="22"/>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3" w:name="注册邮编"/>
            <w:r>
              <w:rPr>
                <w:rFonts w:ascii="宋体"/>
                <w:b/>
                <w:color w:val="000000"/>
                <w:szCs w:val="21"/>
              </w:rPr>
              <w:t>318050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4" w:name="生产地址"/>
            <w:bookmarkStart w:id="25" w:name="办公地址"/>
            <w:r>
              <w:rPr>
                <w:rFonts w:ascii="宋体"/>
                <w:b/>
                <w:color w:val="000000"/>
                <w:szCs w:val="21"/>
              </w:rPr>
              <w:t>台州市路桥区金清镇金清大道西899号</w:t>
            </w:r>
            <w:bookmarkEnd w:id="24"/>
            <w:bookmarkEnd w:id="25"/>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6" w:name="办公邮编"/>
            <w:r>
              <w:rPr>
                <w:rFonts w:ascii="宋体"/>
                <w:b/>
                <w:color w:val="000000"/>
                <w:szCs w:val="21"/>
              </w:rPr>
              <w:t>318050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7" w:name="联系人"/>
            <w:r>
              <w:rPr>
                <w:rFonts w:ascii="宋体"/>
                <w:b/>
                <w:color w:val="000000"/>
                <w:szCs w:val="21"/>
              </w:rPr>
              <w:t>周必思</w:t>
            </w:r>
            <w:bookmarkEnd w:id="27"/>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8" w:name="联系人手机"/>
            <w:r>
              <w:rPr>
                <w:rFonts w:ascii="宋体"/>
                <w:b/>
                <w:color w:val="000000"/>
                <w:szCs w:val="21"/>
              </w:rPr>
              <w:t>13676668042</w:t>
            </w:r>
            <w:bookmarkEnd w:id="28"/>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9" w:name="联系人传真"/>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0" w:name="法人"/>
            <w:r>
              <w:rPr>
                <w:rFonts w:ascii="宋体"/>
                <w:b/>
                <w:color w:val="000000"/>
                <w:szCs w:val="21"/>
              </w:rPr>
              <w:t>陈吉明</w:t>
            </w:r>
            <w:bookmarkEnd w:id="30"/>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1" w:name="管理者代表"/>
            <w:r>
              <w:rPr>
                <w:rFonts w:ascii="宋体"/>
                <w:b/>
                <w:color w:val="000000"/>
                <w:szCs w:val="21"/>
              </w:rPr>
              <w:t>周必思</w:t>
            </w:r>
            <w:bookmarkEnd w:id="31"/>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r>
              <w:rPr>
                <w:rFonts w:hint="eastAsia" w:ascii="Times New Roman" w:hAnsi="Times New Roman" w:eastAsia="宋体" w:cs="Times New Roman"/>
                <w:color w:val="000000"/>
                <w:szCs w:val="21"/>
              </w:rPr>
              <w:t>清洗机、8.2KW及以下通用汽油机和发电机、排气压力≤0.8MPa直联便携式空气压缩机、排气压力≤1.0MPa微型复式空气压缩机</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rPr>
              <w:t>服务：</w:t>
            </w:r>
            <w:r>
              <w:rPr>
                <w:rFonts w:hint="eastAsia" w:ascii="宋体" w:hAnsi="宋体"/>
                <w:b/>
                <w:color w:val="000000"/>
                <w:szCs w:val="21"/>
                <w:lang w:val="en-US" w:eastAsia="zh-CN"/>
              </w:rPr>
              <w:t>产品销售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rPr>
                <w:rFonts w:hint="eastAsia" w:ascii="Times New Roman" w:hAnsi="Times New Roman" w:eastAsia="宋体" w:cs="Times New Roman"/>
                <w:color w:val="000000"/>
                <w:szCs w:val="22"/>
                <w:lang w:val="en-US" w:eastAsia="zh-CN"/>
              </w:rPr>
              <w:t>原材</w:t>
            </w:r>
            <w:r>
              <w:rPr>
                <w:rFonts w:hint="eastAsia" w:ascii="Times New Roman" w:hAnsi="Times New Roman" w:eastAsia="宋体" w:cs="Times New Roman"/>
                <w:color w:val="000000"/>
                <w:szCs w:val="22"/>
                <w:highlight w:val="none"/>
                <w:lang w:val="en-US" w:eastAsia="zh-CN"/>
              </w:rPr>
              <w:t>料检验→下料→机加工→组装→总装→检验</w:t>
            </w:r>
            <w:r>
              <w:rPr>
                <w:rFonts w:hint="eastAsia" w:ascii="Times New Roman" w:hAnsi="Times New Roman" w:eastAsia="宋体" w:cs="Times New Roman"/>
                <w:color w:val="000000"/>
                <w:szCs w:val="22"/>
                <w:lang w:val="en-US" w:eastAsia="zh-CN"/>
              </w:rPr>
              <w:t>→入库；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bookmarkStart w:id="32" w:name="审核范围"/>
            <w:r>
              <w:rPr>
                <w:rFonts w:hint="eastAsia" w:ascii="宋体" w:hAnsi="宋体"/>
                <w:b/>
                <w:sz w:val="21"/>
                <w:szCs w:val="21"/>
              </w:rPr>
              <w:t>清洗机、8.2KW及以下通用汽油机和发电机、排气压力≤0.8MPa直联便携式空气压缩机、排气压力≤1.0MPa微型复式空气压缩机的生产所涉及的能源管理活动</w:t>
            </w:r>
            <w:bookmarkEnd w:id="32"/>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hint="eastAsia" w:ascii="宋体" w:eastAsia="宋体"/>
                <w:color w:val="000000"/>
                <w:spacing w:val="-10"/>
                <w:szCs w:val="21"/>
                <w:lang w:val="en-US" w:eastAsia="zh-CN"/>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sym w:font="Wingdings 2" w:char="0052"/>
            </w:r>
            <w:r>
              <w:rPr>
                <w:rFonts w:hint="eastAsia" w:ascii="宋体" w:hAnsi="宋体"/>
                <w:color w:val="000000"/>
                <w:szCs w:val="21"/>
              </w:rPr>
              <w:t>多班次生产</w:t>
            </w:r>
            <w:r>
              <w:rPr>
                <w:rFonts w:hint="eastAsia" w:ascii="宋体" w:hAnsi="宋体"/>
                <w:color w:val="000000"/>
                <w:szCs w:val="21"/>
                <w:lang w:eastAsia="zh-CN"/>
              </w:rPr>
              <w:t>（</w:t>
            </w:r>
            <w:r>
              <w:rPr>
                <w:rFonts w:hint="eastAsia" w:ascii="宋体" w:hAnsi="宋体"/>
                <w:color w:val="000000"/>
                <w:szCs w:val="21"/>
                <w:lang w:val="en-US" w:eastAsia="zh-CN"/>
              </w:rPr>
              <w:t>三班三倒</w:t>
            </w:r>
            <w:r>
              <w:rPr>
                <w:rFonts w:hint="eastAsia" w:ascii="宋体" w:hAnsi="宋体"/>
                <w:color w:val="000000"/>
                <w:szCs w:val="21"/>
                <w:lang w:eastAsia="zh-CN"/>
              </w:rPr>
              <w:t>）</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962"/>
        <w:gridCol w:w="1619"/>
        <w:gridCol w:w="545"/>
        <w:gridCol w:w="2736"/>
        <w:gridCol w:w="1715"/>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962"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61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45"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736"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715"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962" w:type="dxa"/>
          </w:tcPr>
          <w:p>
            <w:pPr>
              <w:spacing w:before="40" w:after="40"/>
              <w:rPr>
                <w:rFonts w:hint="eastAsia" w:eastAsia="宋体"/>
                <w:szCs w:val="21"/>
                <w:lang w:val="en-US" w:eastAsia="zh-CN"/>
              </w:rPr>
            </w:pPr>
            <w:r>
              <w:rPr>
                <w:sz w:val="21"/>
                <w:szCs w:val="21"/>
              </w:rPr>
              <w:t>浙江安露清洗机有限公司</w:t>
            </w:r>
            <w:r>
              <w:rPr>
                <w:rFonts w:hint="eastAsia"/>
                <w:sz w:val="21"/>
                <w:szCs w:val="21"/>
                <w:lang w:val="en-US" w:eastAsia="zh-CN"/>
              </w:rPr>
              <w:t>/</w:t>
            </w:r>
            <w:r>
              <w:rPr>
                <w:sz w:val="21"/>
                <w:szCs w:val="21"/>
              </w:rPr>
              <w:t>台州市路桥区金清镇金清大道西899号</w:t>
            </w:r>
          </w:p>
        </w:tc>
        <w:tc>
          <w:tcPr>
            <w:tcW w:w="1619" w:type="dxa"/>
          </w:tcPr>
          <w:p>
            <w:pPr>
              <w:spacing w:before="40" w:after="40"/>
              <w:rPr>
                <w:rFonts w:eastAsia="黑体"/>
                <w:szCs w:val="21"/>
                <w:lang w:val="de-DE" w:eastAsia="ja-JP"/>
              </w:rPr>
            </w:pPr>
            <w:r>
              <w:rPr>
                <w:sz w:val="21"/>
                <w:szCs w:val="21"/>
              </w:rPr>
              <w:t>台州市路桥区金清镇金清大道西899号</w:t>
            </w:r>
          </w:p>
        </w:tc>
        <w:tc>
          <w:tcPr>
            <w:tcW w:w="545" w:type="dxa"/>
            <w:vAlign w:val="center"/>
          </w:tcPr>
          <w:p>
            <w:pPr>
              <w:spacing w:before="40" w:after="40"/>
              <w:rPr>
                <w:rFonts w:hint="default" w:eastAsia="黑体"/>
                <w:szCs w:val="21"/>
                <w:lang w:val="en-US" w:eastAsia="zh-CN"/>
              </w:rPr>
            </w:pPr>
            <w:r>
              <w:rPr>
                <w:rFonts w:hint="eastAsia" w:eastAsia="黑体"/>
                <w:szCs w:val="21"/>
                <w:lang w:val="en-US" w:eastAsia="zh-CN"/>
              </w:rPr>
              <w:t>175</w:t>
            </w:r>
          </w:p>
        </w:tc>
        <w:tc>
          <w:tcPr>
            <w:tcW w:w="2736" w:type="dxa"/>
            <w:vAlign w:val="center"/>
          </w:tcPr>
          <w:p>
            <w:pPr>
              <w:pStyle w:val="19"/>
              <w:rPr>
                <w:rFonts w:eastAsia="黑体" w:cs="Arial"/>
                <w:sz w:val="21"/>
                <w:szCs w:val="21"/>
                <w:lang w:val="en-US" w:eastAsia="ja-JP"/>
              </w:rPr>
            </w:pPr>
            <w:r>
              <w:rPr>
                <w:rFonts w:hint="eastAsia" w:ascii="Times New Roman" w:hAnsi="Times New Roman" w:eastAsia="宋体" w:cs="Times New Roman"/>
                <w:kern w:val="2"/>
                <w:sz w:val="21"/>
                <w:szCs w:val="21"/>
                <w:lang w:val="en-US" w:eastAsia="zh-CN" w:bidi="ar-SA"/>
              </w:rPr>
              <w:t>清洗机、8.2KW及以下通用汽油机和发电机、排气压力≤0.8MPa直联便携式空气压缩机、排气压力≤1.0MPa微型复式空气压缩机的生产所涉及的能源管理活动</w:t>
            </w:r>
          </w:p>
        </w:tc>
        <w:tc>
          <w:tcPr>
            <w:tcW w:w="1715" w:type="dxa"/>
            <w:vAlign w:val="center"/>
          </w:tcPr>
          <w:p>
            <w:pPr>
              <w:spacing w:before="40" w:after="40"/>
              <w:rPr>
                <w:rFonts w:hint="eastAsia" w:eastAsia="黑体"/>
                <w:szCs w:val="21"/>
                <w:lang w:val="en-US" w:eastAsia="zh-CN"/>
              </w:rPr>
            </w:pPr>
            <w:r>
              <w:rPr>
                <w:rFonts w:hint="eastAsia" w:eastAsia="黑体"/>
                <w:szCs w:val="21"/>
                <w:lang w:val="en-US" w:eastAsia="zh-CN"/>
              </w:rPr>
              <w:t>GB/T23331-2020</w:t>
            </w:r>
          </w:p>
          <w:p>
            <w:pPr>
              <w:spacing w:before="40" w:after="40"/>
              <w:rPr>
                <w:rFonts w:hint="default" w:eastAsia="黑体"/>
                <w:szCs w:val="21"/>
                <w:lang w:val="en-US" w:eastAsia="zh-CN"/>
              </w:rPr>
            </w:pPr>
            <w:r>
              <w:rPr>
                <w:rFonts w:hint="eastAsia" w:eastAsia="黑体"/>
                <w:szCs w:val="21"/>
                <w:lang w:val="en-US" w:eastAsia="zh-CN"/>
              </w:rPr>
              <w:t>RB/T119-2015</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1962" w:type="dxa"/>
            <w:vAlign w:val="center"/>
          </w:tcPr>
          <w:p>
            <w:pPr>
              <w:spacing w:before="40" w:after="40"/>
              <w:rPr>
                <w:rFonts w:eastAsia="黑体"/>
                <w:szCs w:val="21"/>
                <w:lang w:eastAsia="ja-JP"/>
              </w:rPr>
            </w:pPr>
          </w:p>
        </w:tc>
        <w:tc>
          <w:tcPr>
            <w:tcW w:w="1619" w:type="dxa"/>
            <w:vAlign w:val="center"/>
          </w:tcPr>
          <w:p>
            <w:pPr>
              <w:spacing w:before="40" w:after="40"/>
              <w:rPr>
                <w:rFonts w:eastAsia="黑体"/>
                <w:szCs w:val="21"/>
                <w:lang w:eastAsia="ja-JP"/>
              </w:rPr>
            </w:pPr>
          </w:p>
        </w:tc>
        <w:tc>
          <w:tcPr>
            <w:tcW w:w="545" w:type="dxa"/>
            <w:vAlign w:val="center"/>
          </w:tcPr>
          <w:p>
            <w:pPr>
              <w:spacing w:before="40" w:after="40"/>
              <w:rPr>
                <w:rFonts w:eastAsia="黑体"/>
                <w:szCs w:val="21"/>
                <w:lang w:eastAsia="ja-JP"/>
              </w:rPr>
            </w:pPr>
          </w:p>
        </w:tc>
        <w:tc>
          <w:tcPr>
            <w:tcW w:w="2736" w:type="dxa"/>
            <w:vAlign w:val="center"/>
          </w:tcPr>
          <w:p>
            <w:pPr>
              <w:spacing w:before="40" w:after="40"/>
              <w:rPr>
                <w:rFonts w:eastAsia="黑体"/>
                <w:szCs w:val="21"/>
                <w:lang w:eastAsia="ja-JP"/>
              </w:rPr>
            </w:pPr>
          </w:p>
        </w:tc>
        <w:tc>
          <w:tcPr>
            <w:tcW w:w="1715"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1962" w:type="dxa"/>
            <w:vAlign w:val="center"/>
          </w:tcPr>
          <w:p>
            <w:pPr>
              <w:spacing w:before="40" w:after="40"/>
              <w:rPr>
                <w:rFonts w:eastAsia="黑体"/>
                <w:szCs w:val="21"/>
                <w:lang w:eastAsia="ja-JP"/>
              </w:rPr>
            </w:pPr>
          </w:p>
        </w:tc>
        <w:tc>
          <w:tcPr>
            <w:tcW w:w="1619" w:type="dxa"/>
            <w:vAlign w:val="center"/>
          </w:tcPr>
          <w:p>
            <w:pPr>
              <w:spacing w:before="40" w:after="40"/>
              <w:rPr>
                <w:rFonts w:eastAsia="黑体"/>
                <w:szCs w:val="21"/>
                <w:lang w:eastAsia="ja-JP"/>
              </w:rPr>
            </w:pPr>
          </w:p>
        </w:tc>
        <w:tc>
          <w:tcPr>
            <w:tcW w:w="545" w:type="dxa"/>
            <w:vAlign w:val="center"/>
          </w:tcPr>
          <w:p>
            <w:pPr>
              <w:spacing w:before="40" w:after="40"/>
              <w:rPr>
                <w:rFonts w:eastAsia="黑体"/>
                <w:szCs w:val="21"/>
                <w:lang w:eastAsia="ja-JP"/>
              </w:rPr>
            </w:pPr>
          </w:p>
        </w:tc>
        <w:tc>
          <w:tcPr>
            <w:tcW w:w="2736" w:type="dxa"/>
            <w:vAlign w:val="center"/>
          </w:tcPr>
          <w:p>
            <w:pPr>
              <w:spacing w:before="40" w:after="40"/>
              <w:rPr>
                <w:rFonts w:eastAsia="黑体"/>
                <w:szCs w:val="21"/>
                <w:lang w:eastAsia="ja-JP"/>
              </w:rPr>
            </w:pPr>
          </w:p>
        </w:tc>
        <w:tc>
          <w:tcPr>
            <w:tcW w:w="1715"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1962" w:type="dxa"/>
            <w:vAlign w:val="center"/>
          </w:tcPr>
          <w:p>
            <w:pPr>
              <w:spacing w:before="40" w:after="40"/>
              <w:rPr>
                <w:rFonts w:eastAsia="黑体"/>
                <w:szCs w:val="21"/>
                <w:lang w:eastAsia="ja-JP"/>
              </w:rPr>
            </w:pPr>
          </w:p>
        </w:tc>
        <w:tc>
          <w:tcPr>
            <w:tcW w:w="1619" w:type="dxa"/>
            <w:vAlign w:val="center"/>
          </w:tcPr>
          <w:p>
            <w:pPr>
              <w:spacing w:before="40" w:after="40"/>
              <w:rPr>
                <w:rFonts w:eastAsia="黑体"/>
                <w:szCs w:val="21"/>
                <w:lang w:eastAsia="ja-JP"/>
              </w:rPr>
            </w:pPr>
          </w:p>
        </w:tc>
        <w:tc>
          <w:tcPr>
            <w:tcW w:w="545" w:type="dxa"/>
            <w:vAlign w:val="center"/>
          </w:tcPr>
          <w:p>
            <w:pPr>
              <w:spacing w:before="40" w:after="40"/>
              <w:rPr>
                <w:rFonts w:eastAsia="黑体"/>
                <w:szCs w:val="21"/>
                <w:lang w:eastAsia="ja-JP"/>
              </w:rPr>
            </w:pPr>
          </w:p>
        </w:tc>
        <w:tc>
          <w:tcPr>
            <w:tcW w:w="2736" w:type="dxa"/>
            <w:vAlign w:val="center"/>
          </w:tcPr>
          <w:p>
            <w:pPr>
              <w:spacing w:before="40" w:after="40"/>
              <w:rPr>
                <w:rFonts w:eastAsia="黑体"/>
                <w:szCs w:val="21"/>
                <w:lang w:eastAsia="ja-JP"/>
              </w:rPr>
            </w:pPr>
          </w:p>
        </w:tc>
        <w:tc>
          <w:tcPr>
            <w:tcW w:w="1715"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1962" w:type="dxa"/>
            <w:vAlign w:val="center"/>
          </w:tcPr>
          <w:p>
            <w:pPr>
              <w:spacing w:before="40" w:after="40"/>
              <w:rPr>
                <w:rFonts w:eastAsia="黑体"/>
                <w:szCs w:val="21"/>
                <w:lang w:eastAsia="ja-JP"/>
              </w:rPr>
            </w:pPr>
          </w:p>
        </w:tc>
        <w:tc>
          <w:tcPr>
            <w:tcW w:w="1619" w:type="dxa"/>
            <w:vAlign w:val="center"/>
          </w:tcPr>
          <w:p>
            <w:pPr>
              <w:spacing w:before="40" w:after="40"/>
              <w:rPr>
                <w:rFonts w:eastAsia="黑体"/>
                <w:szCs w:val="21"/>
                <w:lang w:eastAsia="ja-JP"/>
              </w:rPr>
            </w:pPr>
          </w:p>
        </w:tc>
        <w:tc>
          <w:tcPr>
            <w:tcW w:w="545" w:type="dxa"/>
            <w:vAlign w:val="center"/>
          </w:tcPr>
          <w:p>
            <w:pPr>
              <w:spacing w:before="40" w:after="40"/>
              <w:rPr>
                <w:rFonts w:eastAsia="黑体"/>
                <w:szCs w:val="21"/>
                <w:lang w:eastAsia="ja-JP"/>
              </w:rPr>
            </w:pPr>
          </w:p>
        </w:tc>
        <w:tc>
          <w:tcPr>
            <w:tcW w:w="2736" w:type="dxa"/>
            <w:vAlign w:val="center"/>
          </w:tcPr>
          <w:p>
            <w:pPr>
              <w:spacing w:before="40" w:after="40"/>
              <w:rPr>
                <w:rFonts w:eastAsia="黑体"/>
                <w:szCs w:val="21"/>
                <w:lang w:eastAsia="ja-JP"/>
              </w:rPr>
            </w:pPr>
          </w:p>
        </w:tc>
        <w:tc>
          <w:tcPr>
            <w:tcW w:w="1715"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7</w:t>
            </w:r>
            <w:r>
              <w:rPr>
                <w:rFonts w:hint="eastAsia" w:ascii="宋体" w:hAnsi="宋体"/>
                <w:b/>
                <w:color w:val="000000"/>
                <w:szCs w:val="21"/>
                <w:u w:val="single"/>
              </w:rPr>
              <w:t>月</w:t>
            </w:r>
            <w:r>
              <w:rPr>
                <w:rFonts w:hint="eastAsia" w:ascii="宋体" w:hAnsi="宋体"/>
                <w:b/>
                <w:color w:val="000000"/>
                <w:szCs w:val="21"/>
                <w:u w:val="single"/>
                <w:lang w:val="en-US" w:eastAsia="zh-CN"/>
              </w:rPr>
              <w:t>20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highlight w:val="none"/>
                <w:lang w:val="en-US" w:eastAsia="zh-CN"/>
              </w:rPr>
              <w:t>2022</w:t>
            </w:r>
            <w:r>
              <w:rPr>
                <w:rFonts w:hint="eastAsia" w:ascii="宋体" w:hAnsi="宋体"/>
                <w:b/>
                <w:color w:val="000000"/>
                <w:szCs w:val="21"/>
                <w:highlight w:val="none"/>
                <w:u w:val="single"/>
              </w:rPr>
              <w:t>年</w:t>
            </w:r>
            <w:r>
              <w:rPr>
                <w:rFonts w:hint="eastAsia" w:ascii="宋体" w:hAnsi="宋体"/>
                <w:b/>
                <w:color w:val="000000"/>
                <w:szCs w:val="21"/>
                <w:highlight w:val="none"/>
                <w:u w:val="single"/>
                <w:lang w:val="en-US" w:eastAsia="zh-CN"/>
              </w:rPr>
              <w:t>1</w:t>
            </w:r>
            <w:r>
              <w:rPr>
                <w:rFonts w:hint="eastAsia" w:ascii="宋体" w:hAnsi="宋体"/>
                <w:b/>
                <w:color w:val="000000"/>
                <w:szCs w:val="21"/>
                <w:highlight w:val="none"/>
                <w:u w:val="single"/>
              </w:rPr>
              <w:t>月</w:t>
            </w:r>
            <w:r>
              <w:rPr>
                <w:rFonts w:hint="eastAsia" w:ascii="宋体" w:hAnsi="宋体"/>
                <w:b/>
                <w:color w:val="000000"/>
                <w:szCs w:val="21"/>
                <w:highlight w:val="none"/>
                <w:u w:val="single"/>
                <w:lang w:val="en-US" w:eastAsia="zh-CN"/>
              </w:rPr>
              <w:t>25-26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highlight w:val="none"/>
                <w:lang w:val="en-US" w:eastAsia="zh-CN"/>
              </w:rPr>
              <w:t>2022</w:t>
            </w:r>
            <w:r>
              <w:rPr>
                <w:rFonts w:hint="eastAsia" w:ascii="宋体" w:hAnsi="宋体" w:eastAsia="宋体"/>
                <w:color w:val="000000"/>
                <w:sz w:val="21"/>
                <w:szCs w:val="21"/>
                <w:highlight w:val="none"/>
                <w:u w:val="single"/>
                <w:lang w:val="en-US" w:eastAsia="zh-CN"/>
              </w:rPr>
              <w:t>年2月20日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hint="eastAsia" w:ascii="宋体" w:hAnsi="宋体"/>
          <w:b/>
          <w:color w:val="000000"/>
          <w:szCs w:val="21"/>
        </w:rPr>
      </w:pPr>
    </w:p>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hint="default"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r>
              <w:rPr>
                <w:rFonts w:hint="eastAsia" w:ascii="宋体" w:hAnsi="宋体"/>
                <w:color w:val="000000"/>
                <w:sz w:val="20"/>
                <w:szCs w:val="20"/>
                <w:lang w:eastAsia="zh-CN"/>
              </w:rPr>
              <w:t>——</w:t>
            </w:r>
            <w:r>
              <w:rPr>
                <w:rFonts w:hint="eastAsia" w:ascii="宋体" w:hAnsi="宋体"/>
                <w:color w:val="000000"/>
                <w:sz w:val="20"/>
                <w:szCs w:val="20"/>
                <w:lang w:val="en-US" w:eastAsia="zh-CN"/>
              </w:rPr>
              <w:t>不涉及</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hint="default" w:ascii="宋体" w:hAnsi="宋体" w:eastAsia="宋体"/>
                <w:color w:val="000000"/>
                <w:szCs w:val="21"/>
                <w:lang w:val="en-US" w:eastAsia="zh-CN"/>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r>
              <w:rPr>
                <w:rFonts w:hint="eastAsia" w:ascii="宋体" w:hAnsi="宋体"/>
                <w:color w:val="000000"/>
                <w:szCs w:val="21"/>
                <w:lang w:eastAsia="zh-CN"/>
              </w:rPr>
              <w:t>——</w:t>
            </w:r>
            <w:r>
              <w:rPr>
                <w:rFonts w:hint="eastAsia" w:ascii="宋体" w:hAnsi="宋体"/>
                <w:color w:val="000000"/>
                <w:szCs w:val="21"/>
                <w:lang w:val="en-US" w:eastAsia="zh-CN"/>
              </w:rPr>
              <w:t>无</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rPr>
              <w:sym w:font="Wingdings 2" w:char="0052"/>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w:t>
            </w:r>
            <w:r>
              <w:rPr>
                <w:rFonts w:hint="eastAsia" w:ascii="宋体"/>
                <w:color w:val="000000"/>
                <w:szCs w:val="21"/>
              </w:rPr>
              <w:sym w:font="Wingdings 2" w:char="0052"/>
            </w:r>
            <w:r>
              <w:rPr>
                <w:rFonts w:hint="eastAsia" w:ascii="宋体"/>
                <w:color w:val="000000"/>
                <w:szCs w:val="21"/>
              </w:rPr>
              <w:t>是</w:t>
            </w:r>
            <w:r>
              <w:rPr>
                <w:rFonts w:hint="eastAsia" w:ascii="宋体"/>
                <w:color w:val="000000"/>
                <w:szCs w:val="21"/>
              </w:rPr>
              <w:sym w:font="Wingdings 2" w:char="00A3"/>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rPr>
              <w:sym w:font="Wingdings 2" w:char="0052"/>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节能主管部门</w:t>
            </w:r>
            <w:r>
              <w:rPr>
                <w:rFonts w:hint="eastAsia" w:ascii="宋体"/>
                <w:color w:val="000000"/>
                <w:spacing w:val="-10"/>
                <w:szCs w:val="21"/>
                <w:lang w:eastAsia="zh-CN"/>
              </w:rPr>
              <w:t>（</w:t>
            </w:r>
            <w:r>
              <w:rPr>
                <w:rFonts w:hint="eastAsia" w:ascii="宋体"/>
                <w:color w:val="000000"/>
                <w:spacing w:val="-10"/>
                <w:szCs w:val="21"/>
                <w:lang w:val="en-US" w:eastAsia="zh-CN"/>
              </w:rPr>
              <w:t>行政人事中心</w:t>
            </w:r>
            <w:r>
              <w:rPr>
                <w:rFonts w:hint="eastAsia" w:ascii="宋体"/>
                <w:color w:val="000000"/>
                <w:spacing w:val="-10"/>
                <w:szCs w:val="21"/>
                <w:lang w:eastAsia="zh-CN"/>
              </w:rPr>
              <w:t>）</w:t>
            </w:r>
            <w:r>
              <w:rPr>
                <w:rFonts w:hint="eastAsia" w:ascii="宋体"/>
                <w:color w:val="000000"/>
                <w:spacing w:val="-10"/>
                <w:szCs w:val="21"/>
              </w:rPr>
              <w:t>、□动力装置场所、</w:t>
            </w:r>
            <w:r>
              <w:rPr>
                <w:rFonts w:hint="eastAsia" w:ascii="宋体"/>
                <w:color w:val="000000"/>
                <w:spacing w:val="-10"/>
                <w:szCs w:val="21"/>
              </w:rPr>
              <w:sym w:font="Wingdings 2" w:char="0052"/>
            </w:r>
            <w:r>
              <w:rPr>
                <w:rFonts w:hint="eastAsia" w:ascii="宋体"/>
                <w:color w:val="000000"/>
                <w:spacing w:val="-10"/>
                <w:szCs w:val="21"/>
              </w:rPr>
              <w:t>主要用能设备管理、□能源计量管理，□作业现场能源使用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3" w:name="二阶段审核日期"/>
            <w:r>
              <w:rPr>
                <w:rFonts w:hint="eastAsia" w:ascii="宋体"/>
                <w:b/>
                <w:color w:val="000000"/>
                <w:szCs w:val="21"/>
              </w:rPr>
              <w:t>2022-06-</w:t>
            </w:r>
            <w:bookmarkEnd w:id="33"/>
            <w:r>
              <w:rPr>
                <w:rFonts w:hint="eastAsia" w:ascii="宋体"/>
                <w:b/>
                <w:color w:val="000000"/>
                <w:szCs w:val="21"/>
                <w:lang w:val="en-US" w:eastAsia="zh-CN"/>
              </w:rPr>
              <w:t>17</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A3"/>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bookmarkStart w:id="34" w:name="_GoBack"/>
            <w:bookmarkEnd w:id="34"/>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4293235</wp:posOffset>
            </wp:positionH>
            <wp:positionV relativeFrom="paragraph">
              <wp:posOffset>112395</wp:posOffset>
            </wp:positionV>
            <wp:extent cx="792480" cy="585470"/>
            <wp:effectExtent l="0" t="0" r="0" b="0"/>
            <wp:wrapSquare wrapText="bothSides"/>
            <wp:docPr id="2" name="图片 2" descr="53bb5a8fec395d7597f2f7c8d7c7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3bb5a8fec395d7597f2f7c8d7c7178"/>
                    <pic:cNvPicPr>
                      <a:picLocks noChangeAspect="1"/>
                    </pic:cNvPicPr>
                  </pic:nvPicPr>
                  <pic:blipFill>
                    <a:blip r:embed="rId6"/>
                    <a:stretch>
                      <a:fillRect/>
                    </a:stretch>
                  </pic:blipFill>
                  <pic:spPr>
                    <a:xfrm>
                      <a:off x="0" y="0"/>
                      <a:ext cx="792480" cy="58547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inline distT="0" distB="0" distL="114300" distR="114300">
            <wp:extent cx="888365" cy="243840"/>
            <wp:effectExtent l="0" t="0" r="635" b="10160"/>
            <wp:docPr id="3" name="图片 1"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审核任务\电子签\李丽英电子签名.png"/>
                    <pic:cNvPicPr>
                      <a:picLocks noChangeAspect="1"/>
                    </pic:cNvPicPr>
                  </pic:nvPicPr>
                  <pic:blipFill>
                    <a:blip r:embed="rId7"/>
                    <a:stretch>
                      <a:fillRect/>
                    </a:stretch>
                  </pic:blipFill>
                  <pic:spPr>
                    <a:xfrm>
                      <a:off x="0" y="0"/>
                      <a:ext cx="888365" cy="243840"/>
                    </a:xfrm>
                    <a:prstGeom prst="rect">
                      <a:avLst/>
                    </a:prstGeom>
                    <a:noFill/>
                    <a:ln>
                      <a:noFill/>
                    </a:ln>
                  </pic:spPr>
                </pic:pic>
              </a:graphicData>
            </a:graphic>
          </wp:inline>
        </w:drawing>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2022.6.12</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drawing>
                <wp:anchor distT="0" distB="0" distL="114300" distR="114300" simplePos="0" relativeHeight="251661312" behindDoc="0" locked="0" layoutInCell="1" allowOverlap="1">
                  <wp:simplePos x="0" y="0"/>
                  <wp:positionH relativeFrom="column">
                    <wp:posOffset>744220</wp:posOffset>
                  </wp:positionH>
                  <wp:positionV relativeFrom="paragraph">
                    <wp:posOffset>27940</wp:posOffset>
                  </wp:positionV>
                  <wp:extent cx="888365" cy="243840"/>
                  <wp:effectExtent l="0" t="0" r="635" b="10160"/>
                  <wp:wrapSquare wrapText="bothSides"/>
                  <wp:docPr id="5" name="图片 1"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审核任务\电子签\李丽英电子签名.png"/>
                          <pic:cNvPicPr>
                            <a:picLocks noChangeAspect="1"/>
                          </pic:cNvPicPr>
                        </pic:nvPicPr>
                        <pic:blipFill>
                          <a:blip r:embed="rId7"/>
                          <a:stretch>
                            <a:fillRect/>
                          </a:stretch>
                        </pic:blipFill>
                        <pic:spPr>
                          <a:xfrm>
                            <a:off x="0" y="0"/>
                            <a:ext cx="888365" cy="243840"/>
                          </a:xfrm>
                          <a:prstGeom prst="rect">
                            <a:avLst/>
                          </a:prstGeom>
                          <a:noFill/>
                          <a:ln>
                            <a:noFill/>
                          </a:ln>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12</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p>
          <w:p>
            <w:pPr>
              <w:spacing w:line="280" w:lineRule="exact"/>
              <w:rPr>
                <w:b/>
                <w:color w:val="000000"/>
                <w:szCs w:val="21"/>
              </w:rPr>
            </w:pPr>
            <w:r>
              <w:drawing>
                <wp:anchor distT="0" distB="0" distL="114300" distR="114300" simplePos="0" relativeHeight="251662336" behindDoc="0" locked="0" layoutInCell="1" allowOverlap="1">
                  <wp:simplePos x="0" y="0"/>
                  <wp:positionH relativeFrom="column">
                    <wp:posOffset>587375</wp:posOffset>
                  </wp:positionH>
                  <wp:positionV relativeFrom="paragraph">
                    <wp:posOffset>48895</wp:posOffset>
                  </wp:positionV>
                  <wp:extent cx="888365" cy="243840"/>
                  <wp:effectExtent l="0" t="0" r="635" b="10160"/>
                  <wp:wrapSquare wrapText="bothSides"/>
                  <wp:docPr id="6" name="图片 1"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D:\审核任务\电子签\李丽英电子签名.png"/>
                          <pic:cNvPicPr>
                            <a:picLocks noChangeAspect="1"/>
                          </pic:cNvPicPr>
                        </pic:nvPicPr>
                        <pic:blipFill>
                          <a:blip r:embed="rId7"/>
                          <a:stretch>
                            <a:fillRect/>
                          </a:stretch>
                        </pic:blipFill>
                        <pic:spPr>
                          <a:xfrm>
                            <a:off x="0" y="0"/>
                            <a:ext cx="888365" cy="243840"/>
                          </a:xfrm>
                          <a:prstGeom prst="rect">
                            <a:avLst/>
                          </a:prstGeom>
                          <a:noFill/>
                          <a:ln>
                            <a:noFill/>
                          </a:ln>
                        </pic:spPr>
                      </pic:pic>
                    </a:graphicData>
                  </a:graphic>
                </wp:anchor>
              </w:drawing>
            </w:r>
          </w:p>
          <w:p>
            <w:pPr>
              <w:spacing w:line="280" w:lineRule="exact"/>
              <w:rPr>
                <w:b/>
                <w:color w:val="000000"/>
                <w:szCs w:val="21"/>
              </w:rPr>
            </w:pPr>
            <w:r>
              <w:rPr>
                <w:rFonts w:hint="eastAsia"/>
                <w:b/>
                <w:color w:val="000000"/>
                <w:szCs w:val="21"/>
              </w:rPr>
              <w:t>验证人：日期：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6</w:t>
            </w:r>
            <w:r>
              <w:rPr>
                <w:rFonts w:hint="eastAsia"/>
                <w:b/>
                <w:color w:val="000000"/>
                <w:szCs w:val="21"/>
              </w:rPr>
              <w:t>月</w:t>
            </w:r>
            <w:r>
              <w:rPr>
                <w:rFonts w:hint="eastAsia"/>
                <w:b/>
                <w:color w:val="000000"/>
                <w:szCs w:val="21"/>
                <w:lang w:val="en-US" w:eastAsia="zh-CN"/>
              </w:rPr>
              <w:t>12</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1C5416B"/>
    <w:rsid w:val="0A366E3B"/>
    <w:rsid w:val="622D5A3B"/>
    <w:rsid w:val="6D3D46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2</TotalTime>
  <ScaleCrop>false</ScaleCrop>
  <LinksUpToDate>false</LinksUpToDate>
  <CharactersWithSpaces>9461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2022-06-16T07:40:52Z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