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0773-2022-Q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唐山市永信实业有限公司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唐山市永信实业有限公司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河北省唐山市路南区复兴路花园酒家</w:t>
            </w:r>
            <w:bookmarkEnd w:id="6"/>
          </w:p>
        </w:tc>
        <w:tc>
          <w:tcPr>
            <w:tcW w:w="1242" w:type="dxa"/>
            <w:vMerge w:val="restart"/>
            <w:vAlign w:val="center"/>
          </w:tcPr>
          <w:p>
            <w:r>
              <w:rPr>
                <w:rFonts w:hint="eastAsia"/>
              </w:rPr>
              <w:t>邮编</w:t>
            </w:r>
          </w:p>
        </w:tc>
        <w:tc>
          <w:tcPr>
            <w:tcW w:w="1771" w:type="dxa"/>
          </w:tcPr>
          <w:p>
            <w:bookmarkStart w:id="7" w:name="注册邮编"/>
            <w:r>
              <w:t>063000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唐山市路南区吉祥路88号</w:t>
            </w:r>
            <w:bookmarkEnd w:id="8"/>
          </w:p>
        </w:tc>
        <w:tc>
          <w:tcPr>
            <w:tcW w:w="1242" w:type="dxa"/>
            <w:vMerge w:val="continue"/>
            <w:vAlign w:val="center"/>
          </w:tcPr>
          <w:p/>
        </w:tc>
        <w:tc>
          <w:tcPr>
            <w:tcW w:w="1771" w:type="dxa"/>
          </w:tcPr>
          <w:p>
            <w:bookmarkStart w:id="9" w:name="办公邮编"/>
            <w:r>
              <w:t>063000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张勋</w:t>
            </w:r>
            <w:bookmarkEnd w:id="10"/>
          </w:p>
        </w:tc>
        <w:tc>
          <w:tcPr>
            <w:tcW w:w="1313" w:type="dxa"/>
            <w:vAlign w:val="center"/>
          </w:tcPr>
          <w:p>
            <w:r>
              <w:rPr>
                <w:rFonts w:hint="eastAsia"/>
              </w:rPr>
              <w:t>电话.</w:t>
            </w:r>
          </w:p>
        </w:tc>
        <w:tc>
          <w:tcPr>
            <w:tcW w:w="2180" w:type="dxa"/>
            <w:vAlign w:val="center"/>
          </w:tcPr>
          <w:p>
            <w:bookmarkStart w:id="11" w:name="联系人电话"/>
            <w:r>
              <w:t>177 2552 9388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丁永超</w:t>
            </w:r>
            <w:bookmarkEnd w:id="13"/>
          </w:p>
        </w:tc>
        <w:tc>
          <w:tcPr>
            <w:tcW w:w="1313" w:type="dxa"/>
            <w:vAlign w:val="center"/>
          </w:tcPr>
          <w:p>
            <w:r>
              <w:rPr>
                <w:rFonts w:hint="eastAsia"/>
              </w:rPr>
              <w:t>管理者代表</w:t>
            </w:r>
          </w:p>
        </w:tc>
        <w:tc>
          <w:tcPr>
            <w:tcW w:w="2180" w:type="dxa"/>
          </w:tcPr>
          <w:p>
            <w:bookmarkStart w:id="14" w:name="管理者代表"/>
            <w:r>
              <w:t>张勋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原材料采购（半成品）----组装-----成品-----检验-----入库</w:t>
            </w:r>
          </w:p>
          <w:p>
            <w:r>
              <w:rPr>
                <w:rFonts w:hint="eastAsia"/>
              </w:rPr>
              <w:t>业务洽谈-- 签订合同 --产品采购-- 发货至顾客指定地点---结算 --客户验收</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2022年06月12日 上午至2022年06月12日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唐山市路南区吉祥路88号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专用机械设备（通用试验设备、磁悬浮称重试验台、制动部件试验台）的制造；金属材料(除稀贵金属)、五金、交电、化工产品(除资质外)、橡胶制品的销售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19.05.01;29.11.05;29.12.00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769"/>
        <w:gridCol w:w="630"/>
        <w:gridCol w:w="2880"/>
        <w:gridCol w:w="10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69"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3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880"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3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18"/>
                <w:szCs w:val="18"/>
              </w:rPr>
              <w:t>唐山市永信实业有限公司</w:t>
            </w:r>
          </w:p>
        </w:tc>
        <w:tc>
          <w:tcPr>
            <w:tcW w:w="1769" w:type="dxa"/>
          </w:tcPr>
          <w:p>
            <w:pPr>
              <w:spacing w:before="40" w:after="40"/>
              <w:rPr>
                <w:rFonts w:eastAsia="黑体"/>
                <w:szCs w:val="21"/>
                <w:lang w:val="de-DE" w:eastAsia="ja-JP"/>
              </w:rPr>
            </w:pPr>
            <w:r>
              <w:rPr>
                <w:sz w:val="18"/>
                <w:szCs w:val="18"/>
              </w:rPr>
              <w:t>唐山市路南区吉祥路88号</w:t>
            </w:r>
          </w:p>
        </w:tc>
        <w:tc>
          <w:tcPr>
            <w:tcW w:w="630"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80" w:type="dxa"/>
            <w:vAlign w:val="center"/>
          </w:tcPr>
          <w:p>
            <w:pPr>
              <w:pStyle w:val="20"/>
              <w:rPr>
                <w:rFonts w:eastAsia="黑体" w:cs="Arial"/>
                <w:sz w:val="21"/>
                <w:szCs w:val="21"/>
                <w:lang w:val="en-US" w:eastAsia="ja-JP"/>
              </w:rPr>
            </w:pPr>
            <w:r>
              <w:rPr>
                <w:rFonts w:hint="eastAsia" w:eastAsia="黑体" w:cs="Arial"/>
                <w:sz w:val="21"/>
                <w:szCs w:val="21"/>
                <w:lang w:val="en-US" w:eastAsia="ja-JP"/>
              </w:rPr>
              <w:t>专用机械设备（通用试验设备、磁悬浮称重试验台、制动部件试验台）的制造；金属材料(除稀贵金属)、五金、交电、化工产品(除资质外)、橡胶制品的销售</w:t>
            </w:r>
          </w:p>
        </w:tc>
        <w:tc>
          <w:tcPr>
            <w:tcW w:w="1031" w:type="dxa"/>
            <w:vAlign w:val="center"/>
          </w:tcPr>
          <w:p>
            <w:pPr>
              <w:spacing w:before="40" w:after="40"/>
              <w:rPr>
                <w:rFonts w:eastAsia="黑体"/>
                <w:szCs w:val="21"/>
                <w:lang w:eastAsia="ja-JP"/>
              </w:rPr>
            </w:pPr>
            <w:r>
              <w:rPr>
                <w:rFonts w:hint="eastAsia" w:eastAsia="黑体"/>
                <w:szCs w:val="21"/>
                <w:lang w:eastAsia="ja-JP"/>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eastAsia="ja-JP"/>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r>
              <w:rPr>
                <w:sz w:val="18"/>
                <w:szCs w:val="18"/>
              </w:rPr>
              <w:t>河北省唐山市路南区复兴路花园酒家</w:t>
            </w:r>
          </w:p>
        </w:tc>
        <w:tc>
          <w:tcPr>
            <w:tcW w:w="176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2880" w:type="dxa"/>
            <w:vAlign w:val="center"/>
          </w:tcPr>
          <w:p>
            <w:pPr>
              <w:spacing w:before="40" w:after="40"/>
              <w:rPr>
                <w:rFonts w:eastAsia="黑体"/>
                <w:szCs w:val="21"/>
                <w:lang w:eastAsia="ja-JP"/>
              </w:rPr>
            </w:pPr>
          </w:p>
        </w:tc>
        <w:tc>
          <w:tcPr>
            <w:tcW w:w="103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76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2880" w:type="dxa"/>
            <w:vAlign w:val="center"/>
          </w:tcPr>
          <w:p>
            <w:pPr>
              <w:spacing w:before="40" w:after="40"/>
              <w:rPr>
                <w:rFonts w:eastAsia="黑体"/>
                <w:szCs w:val="21"/>
                <w:lang w:eastAsia="ja-JP"/>
              </w:rPr>
            </w:pPr>
          </w:p>
        </w:tc>
        <w:tc>
          <w:tcPr>
            <w:tcW w:w="103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76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2880" w:type="dxa"/>
            <w:vAlign w:val="center"/>
          </w:tcPr>
          <w:p>
            <w:pPr>
              <w:spacing w:before="40" w:after="40"/>
              <w:rPr>
                <w:rFonts w:eastAsia="黑体"/>
                <w:szCs w:val="21"/>
                <w:lang w:eastAsia="ja-JP"/>
              </w:rPr>
            </w:pPr>
          </w:p>
        </w:tc>
        <w:tc>
          <w:tcPr>
            <w:tcW w:w="103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769" w:type="dxa"/>
            <w:vAlign w:val="center"/>
          </w:tcPr>
          <w:p>
            <w:pPr>
              <w:spacing w:before="40" w:after="40"/>
              <w:rPr>
                <w:rFonts w:eastAsia="黑体"/>
                <w:szCs w:val="21"/>
                <w:lang w:eastAsia="ja-JP"/>
              </w:rPr>
            </w:pPr>
          </w:p>
        </w:tc>
        <w:tc>
          <w:tcPr>
            <w:tcW w:w="630" w:type="dxa"/>
            <w:vAlign w:val="center"/>
          </w:tcPr>
          <w:p>
            <w:pPr>
              <w:spacing w:before="40" w:after="40"/>
              <w:rPr>
                <w:rFonts w:eastAsia="黑体"/>
                <w:szCs w:val="21"/>
                <w:lang w:eastAsia="ja-JP"/>
              </w:rPr>
            </w:pPr>
          </w:p>
        </w:tc>
        <w:tc>
          <w:tcPr>
            <w:tcW w:w="2880" w:type="dxa"/>
            <w:vAlign w:val="center"/>
          </w:tcPr>
          <w:p>
            <w:pPr>
              <w:spacing w:before="40" w:after="40"/>
              <w:rPr>
                <w:rFonts w:eastAsia="黑体"/>
                <w:szCs w:val="21"/>
                <w:lang w:eastAsia="ja-JP"/>
              </w:rPr>
            </w:pPr>
          </w:p>
        </w:tc>
        <w:tc>
          <w:tcPr>
            <w:tcW w:w="103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2020-N1QMS-1263722</w:t>
            </w:r>
          </w:p>
        </w:tc>
        <w:tc>
          <w:tcPr>
            <w:tcW w:w="2179" w:type="dxa"/>
            <w:vAlign w:val="center"/>
          </w:tcPr>
          <w:p>
            <w:r>
              <w:t>19.05.01,29.11.05,29.12.00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专用机械设备（通用试验设备、磁悬浮称重试验台、制动部件试验台）的制造；金属材料(除稀贵金属)、五金、交电、化工产品(除资质外)、橡胶制品的销售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drawing>
                <wp:inline distT="0" distB="0" distL="114300" distR="114300">
                  <wp:extent cx="793750" cy="1492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93750" cy="149225"/>
                          </a:xfrm>
                          <a:prstGeom prst="rect">
                            <a:avLst/>
                          </a:prstGeom>
                          <a:noFill/>
                          <a:ln>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lang w:val="en-US" w:eastAsia="zh-CN"/>
              </w:rPr>
            </w:pPr>
            <w:r>
              <w:rPr>
                <w:rFonts w:hint="eastAsia"/>
                <w:lang w:val="en-US" w:eastAsia="zh-CN"/>
              </w:rPr>
              <w:t>2022.6.28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A3"/>
            </w:r>
            <w:r>
              <w:rPr>
                <w:rFonts w:hint="eastAsia"/>
              </w:rPr>
              <w:t xml:space="preserve">原材料订制 </w:t>
            </w:r>
            <w:r>
              <w:rPr>
                <w:rFonts w:hint="eastAsia"/>
              </w:rPr>
              <w:sym w:font="Wingdings 2" w:char="00A3"/>
            </w:r>
            <w:r>
              <w:rPr>
                <w:rFonts w:hint="eastAsia"/>
              </w:rPr>
              <w:t xml:space="preserve">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widowControl/>
              <w:spacing w:before="40"/>
              <w:jc w:val="left"/>
              <w:rPr>
                <w:rFonts w:hint="eastAsia"/>
                <w:color w:val="000000"/>
                <w:szCs w:val="18"/>
                <w:u w:val="single"/>
              </w:rPr>
            </w:pPr>
            <w:r>
              <w:rPr>
                <w:rFonts w:hint="eastAsia"/>
              </w:rPr>
              <w:t>最高管理者制定了文件化的管理体系方针：</w:t>
            </w:r>
            <w:r>
              <w:rPr>
                <w:rFonts w:hint="eastAsia"/>
                <w:u w:val="single"/>
              </w:rPr>
              <w:t xml:space="preserve">  </w:t>
            </w:r>
            <w:r>
              <w:rPr>
                <w:rFonts w:hint="eastAsia"/>
                <w:color w:val="000000"/>
                <w:szCs w:val="18"/>
                <w:u w:val="single"/>
              </w:rPr>
              <w:t>严格管理、不断创新、持续改进、用户满意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rPr>
                <w:rFonts w:hint="default" w:eastAsia="宋体"/>
                <w:lang w:val="en-US" w:eastAsia="zh-CN"/>
              </w:rPr>
            </w:pP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rPr>
            </w:pPr>
          </w:p>
          <w:p>
            <w:pPr>
              <w:shd w:val="clear" w:color="auto" w:fill="C7DAF1" w:themeFill="text2" w:themeFillTint="32"/>
              <w:rPr>
                <w:rFonts w:hint="eastAsia"/>
              </w:rPr>
            </w:pPr>
          </w:p>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rPr>
                  </w:pPr>
                  <w:r>
                    <w:rPr>
                      <w:rFonts w:hint="eastAsia"/>
                    </w:rPr>
                    <w:t>一、1.公司产品配件在铁路区域进行销售，公司对当地国的法律法规是否充分收集评估，并转化为公司制度执行，符合新法规要求；</w:t>
                  </w:r>
                </w:p>
                <w:p>
                  <w:pPr>
                    <w:shd w:val="clear" w:color="auto" w:fill="C7DAF1" w:themeFill="text2" w:themeFillTint="32"/>
                  </w:pPr>
                  <w:r>
                    <w:rPr>
                      <w:rFonts w:hint="eastAsia"/>
                    </w:rPr>
                    <w:t>2.公司现有的制度，是否符合新行业标准的要求；</w:t>
                  </w:r>
                </w:p>
              </w:tc>
              <w:tc>
                <w:tcPr>
                  <w:tcW w:w="3965" w:type="dxa"/>
                </w:tcPr>
                <w:p>
                  <w:pPr>
                    <w:shd w:val="clear" w:color="auto" w:fill="C7DAF1" w:themeFill="text2" w:themeFillTint="32"/>
                    <w:rPr>
                      <w:rFonts w:hint="eastAsia"/>
                    </w:rPr>
                  </w:pPr>
                  <w:r>
                    <w:rPr>
                      <w:rFonts w:hint="eastAsia"/>
                    </w:rPr>
                    <w:t>1.主要职能部门按照要求加强相关产品销售区域所在地法律法规的收集评价；</w:t>
                  </w:r>
                </w:p>
                <w:p>
                  <w:pPr>
                    <w:shd w:val="clear" w:color="auto" w:fill="C7DAF1" w:themeFill="text2" w:themeFillTint="32"/>
                  </w:pPr>
                  <w:r>
                    <w:rPr>
                      <w:rFonts w:hint="eastAsia"/>
                    </w:rPr>
                    <w:t>2.主要职能部门按照要求加强法律法规的收集评价；</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rPr>
                      <w:rFonts w:hint="default" w:eastAsia="宋体"/>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jc w:val="left"/>
                    <w:rPr>
                      <w:rFonts w:hint="default" w:eastAsia="宋体"/>
                      <w:lang w:val="en-US" w:eastAsia="zh-CN"/>
                    </w:rPr>
                  </w:pPr>
                  <w:r>
                    <w:rPr>
                      <w:rFonts w:hint="eastAsia"/>
                    </w:rPr>
                    <w:t>a产品交付合格率99%以上；</w:t>
                  </w:r>
                </w:p>
              </w:tc>
              <w:tc>
                <w:tcPr>
                  <w:tcW w:w="3136" w:type="dxa"/>
                  <w:shd w:val="clear" w:color="auto" w:fill="auto"/>
                  <w:vAlign w:val="center"/>
                </w:tcPr>
                <w:p>
                  <w:pPr>
                    <w:shd w:val="clear" w:color="auto" w:fill="C7DAF1" w:themeFill="text2" w:themeFillTint="32"/>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出厂产品合格数/产品总数*100%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autoSpaceDE w:val="0"/>
                    <w:autoSpaceDN w:val="0"/>
                    <w:adjustRightInd w:val="0"/>
                    <w:jc w:val="left"/>
                    <w:rPr>
                      <w:rFonts w:hint="eastAsia"/>
                    </w:rPr>
                  </w:pPr>
                </w:p>
                <w:p>
                  <w:pPr>
                    <w:shd w:val="clear" w:color="auto" w:fill="C7DAF1" w:themeFill="text2" w:themeFillTint="32"/>
                    <w:autoSpaceDE w:val="0"/>
                    <w:autoSpaceDN w:val="0"/>
                    <w:adjustRightInd w:val="0"/>
                    <w:jc w:val="left"/>
                    <w:rPr>
                      <w:rFonts w:hint="default" w:eastAsia="宋体"/>
                      <w:lang w:val="en-US" w:eastAsia="zh-CN"/>
                    </w:rPr>
                  </w:pPr>
                  <w:r>
                    <w:rPr>
                      <w:rFonts w:hint="eastAsia"/>
                    </w:rPr>
                    <w:t>b、交货期满意率90%以上 </w:t>
                  </w:r>
                </w:p>
              </w:tc>
              <w:tc>
                <w:tcPr>
                  <w:tcW w:w="3136" w:type="dxa"/>
                  <w:shd w:val="clear" w:color="auto" w:fill="auto"/>
                  <w:vAlign w:val="center"/>
                </w:tcPr>
                <w:p>
                  <w:pPr>
                    <w:shd w:val="clear" w:color="auto" w:fill="C7DAF1" w:themeFill="text2" w:themeFillTint="32"/>
                    <w:jc w:val="left"/>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实际交货日期/应交货日期*100%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华文楷体" w:hAnsi="华文楷体" w:eastAsia="华文楷体" w:cs="华文楷体"/>
                      <w:sz w:val="24"/>
                      <w:szCs w:val="24"/>
                    </w:rPr>
                    <w:t>c、相关方满意率95%以上</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eastAsia="宋体" w:cs="宋体"/>
                      <w:kern w:val="0"/>
                      <w:sz w:val="21"/>
                      <w:szCs w:val="21"/>
                      <w:lang w:val="en-US" w:eastAsia="zh-CN" w:bidi="ar"/>
                    </w:rPr>
                    <w:t>满意度调查分数/总分数*100%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cs="宋体"/>
                <w:color w:val="auto"/>
                <w:sz w:val="21"/>
                <w:szCs w:val="21"/>
                <w:lang w:val="en-US" w:eastAsia="zh-CN"/>
              </w:rPr>
              <w:t>约500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冲床、钻床等</w:t>
            </w:r>
            <w:r>
              <w:rPr>
                <w:rFonts w:hint="eastAsia"/>
                <w:u w:val="single"/>
              </w:rPr>
              <w:t>（列举2~4种）</w:t>
            </w:r>
          </w:p>
          <w:p>
            <w:pPr>
              <w:shd w:val="clear" w:color="auto" w:fill="C7DAF1" w:themeFill="text2" w:themeFillTint="32"/>
            </w:pPr>
            <w:r>
              <w:rPr>
                <w:rFonts w:hint="eastAsia"/>
              </w:rPr>
              <w:t xml:space="preserve">特种设备：叉车 行车 锅炉 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 xml:space="preserve">特种设备管理：进行了定期检验  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数字万用表、游标卡尺、钢直尺</w:t>
            </w:r>
            <w:r>
              <w:rPr>
                <w:rFonts w:hint="eastAsia"/>
                <w:u w:val="single"/>
              </w:rPr>
              <w:t xml:space="preserve"> （列举1~4种）</w:t>
            </w:r>
          </w:p>
          <w:p>
            <w:pPr>
              <w:shd w:val="clear" w:color="auto" w:fill="C7DAF1" w:themeFill="text2" w:themeFillTint="32"/>
              <w:rPr>
                <w:u w:val="single"/>
              </w:rPr>
            </w:pPr>
            <w:r>
              <w:rPr>
                <w:rFonts w:hint="eastAsia"/>
              </w:rPr>
              <w:t>计量器具管理：■进行了定期校准/检定 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 ■生产经验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w:t>
            </w:r>
            <w:r>
              <w:rPr>
                <w:rFonts w:hint="eastAsia" w:ascii="Wingdings" w:hAnsi="Wingdings"/>
              </w:rPr>
              <w:t>¨</w:t>
            </w:r>
            <w:r>
              <w:rPr>
                <w:rFonts w:hint="eastAsia"/>
              </w:rPr>
              <w:t xml:space="preserve">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组织的生产和服务提供流程图（见第三条款），</w:t>
            </w:r>
          </w:p>
          <w:p>
            <w:pPr>
              <w:shd w:val="clear" w:color="auto" w:fill="C7DAF1" w:themeFill="text2" w:themeFillTint="32"/>
              <w:jc w:val="left"/>
            </w:pPr>
            <w:r>
              <w:rPr>
                <w:rFonts w:hint="eastAsia" w:ascii="Times New Roman" w:hAnsi="Times New Roman" w:eastAsia="宋体" w:cs="Times New Roman"/>
              </w:rPr>
              <w:t>认证范围内每种产品/服务流程的关键过程及</w:t>
            </w:r>
            <w:r>
              <w:rPr>
                <w:rFonts w:hint="eastAsia"/>
              </w:rPr>
              <w:t>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341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C7DAF1" w:themeFill="text2" w:themeFillTint="32"/>
                    <w:jc w:val="left"/>
                  </w:pPr>
                  <w:r>
                    <w:rPr>
                      <w:rFonts w:hint="eastAsia"/>
                    </w:rPr>
                    <w:t>产品/服务名称</w:t>
                  </w:r>
                </w:p>
              </w:tc>
              <w:tc>
                <w:tcPr>
                  <w:tcW w:w="341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C7DAF1" w:themeFill="text2" w:themeFillTint="32"/>
                    <w:jc w:val="left"/>
                    <w:rPr>
                      <w:rFonts w:hint="default" w:eastAsia="宋体"/>
                      <w:lang w:val="en-US" w:eastAsia="zh-CN"/>
                    </w:rPr>
                  </w:pPr>
                  <w:r>
                    <w:rPr>
                      <w:rFonts w:hint="eastAsia"/>
                      <w:lang w:val="en-US" w:eastAsia="zh-CN"/>
                    </w:rPr>
                    <w:t>通用试验设备</w:t>
                  </w:r>
                </w:p>
              </w:tc>
              <w:tc>
                <w:tcPr>
                  <w:tcW w:w="3416" w:type="dxa"/>
                </w:tcPr>
                <w:p>
                  <w:pPr>
                    <w:shd w:val="clear" w:color="auto" w:fill="C7DAF1" w:themeFill="text2" w:themeFillTint="32"/>
                    <w:jc w:val="left"/>
                    <w:rPr>
                      <w:rFonts w:hint="default" w:eastAsia="宋体"/>
                      <w:lang w:val="en-US" w:eastAsia="zh-CN"/>
                    </w:rPr>
                  </w:pPr>
                  <w:r>
                    <w:rPr>
                      <w:rFonts w:hint="eastAsia"/>
                      <w:lang w:val="en-US" w:eastAsia="zh-CN"/>
                    </w:rPr>
                    <w:t>组装</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外观、质量符合要求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rPr>
                      <w:rFonts w:hint="default" w:eastAsia="宋体"/>
                      <w:lang w:val="en-US" w:eastAsia="zh-CN"/>
                    </w:rPr>
                  </w:pPr>
                  <w:r>
                    <w:rPr>
                      <w:rFonts w:hint="eastAsia" w:ascii="Times New Roman" w:hAnsi="Times New Roman" w:cs="Times New Roman"/>
                      <w:lang w:val="en-US" w:eastAsia="zh-CN"/>
                    </w:rPr>
                    <w:t>磁悬浮称重试验</w:t>
                  </w:r>
                  <w:r>
                    <w:rPr>
                      <w:rFonts w:hint="eastAsia" w:ascii="Times New Roman" w:hAnsi="Times New Roman" w:cs="Times New Roman"/>
                      <w:lang w:val="en-US"/>
                    </w:rPr>
                    <w:t>台</w:t>
                  </w:r>
                </w:p>
              </w:tc>
              <w:tc>
                <w:tcPr>
                  <w:tcW w:w="3416" w:type="dxa"/>
                  <w:vAlign w:val="top"/>
                </w:tcPr>
                <w:p>
                  <w:pPr>
                    <w:shd w:val="clear" w:color="auto" w:fill="C7DAF1" w:themeFill="text2" w:themeFillTint="32"/>
                    <w:jc w:val="left"/>
                    <w:rPr>
                      <w:rFonts w:hint="default" w:eastAsia="宋体"/>
                      <w:lang w:val="en-US" w:eastAsia="zh-CN"/>
                    </w:rPr>
                  </w:pPr>
                  <w:r>
                    <w:rPr>
                      <w:rFonts w:hint="eastAsia"/>
                      <w:lang w:val="en-US" w:eastAsia="zh-CN"/>
                    </w:rPr>
                    <w:t>组装</w:t>
                  </w:r>
                </w:p>
              </w:tc>
              <w:tc>
                <w:tcPr>
                  <w:tcW w:w="3265" w:type="dxa"/>
                  <w:vAlign w:val="top"/>
                </w:tcPr>
                <w:p>
                  <w:pPr>
                    <w:shd w:val="clear" w:color="auto" w:fill="C7DAF1" w:themeFill="text2" w:themeFillTint="32"/>
                    <w:jc w:val="left"/>
                    <w:rPr>
                      <w:rFonts w:hint="default" w:eastAsia="宋体"/>
                      <w:lang w:val="en-US" w:eastAsia="zh-CN"/>
                    </w:rPr>
                  </w:pPr>
                  <w:r>
                    <w:rPr>
                      <w:rFonts w:hint="eastAsia"/>
                      <w:lang w:val="en-US" w:eastAsia="zh-CN"/>
                    </w:rPr>
                    <w:t>外观、质量符合要求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1" w:type="dxa"/>
                </w:tcPr>
                <w:p>
                  <w:pPr>
                    <w:shd w:val="clear" w:color="auto" w:fill="C7DAF1" w:themeFill="text2" w:themeFillTint="32"/>
                    <w:jc w:val="left"/>
                    <w:rPr>
                      <w:rFonts w:hint="default"/>
                      <w:lang w:val="en-US"/>
                    </w:rPr>
                  </w:pPr>
                  <w:r>
                    <w:rPr>
                      <w:rFonts w:hint="default"/>
                      <w:lang w:val="en-US"/>
                    </w:rPr>
                    <w:t>制动部件试验台</w:t>
                  </w:r>
                </w:p>
              </w:tc>
              <w:tc>
                <w:tcPr>
                  <w:tcW w:w="3416" w:type="dxa"/>
                  <w:vAlign w:val="top"/>
                </w:tcPr>
                <w:p>
                  <w:pPr>
                    <w:shd w:val="clear" w:color="auto" w:fill="C7DAF1" w:themeFill="text2" w:themeFillTint="32"/>
                    <w:jc w:val="left"/>
                    <w:rPr>
                      <w:rFonts w:hint="default" w:eastAsia="宋体"/>
                      <w:lang w:val="en-US" w:eastAsia="zh-CN"/>
                    </w:rPr>
                  </w:pPr>
                  <w:r>
                    <w:rPr>
                      <w:rFonts w:hint="eastAsia"/>
                      <w:lang w:val="en-US" w:eastAsia="zh-CN"/>
                    </w:rPr>
                    <w:t>组装</w:t>
                  </w:r>
                </w:p>
              </w:tc>
              <w:tc>
                <w:tcPr>
                  <w:tcW w:w="3265" w:type="dxa"/>
                  <w:vAlign w:val="top"/>
                </w:tcPr>
                <w:p>
                  <w:pPr>
                    <w:shd w:val="clear" w:color="auto" w:fill="C7DAF1" w:themeFill="text2" w:themeFillTint="32"/>
                    <w:jc w:val="left"/>
                    <w:rPr>
                      <w:rFonts w:hint="default" w:eastAsia="宋体"/>
                      <w:lang w:val="en-US" w:eastAsia="zh-CN"/>
                    </w:rPr>
                  </w:pPr>
                  <w:r>
                    <w:rPr>
                      <w:rFonts w:hint="eastAsia"/>
                      <w:lang w:val="en-US" w:eastAsia="zh-CN"/>
                    </w:rPr>
                    <w:t>外观、质量符合要求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C7DAF1" w:themeFill="text2" w:themeFillTint="32"/>
                    <w:jc w:val="left"/>
                    <w:rPr>
                      <w:rFonts w:hint="default"/>
                      <w:szCs w:val="21"/>
                      <w:lang w:val="en-US" w:eastAsia="zh-CN"/>
                    </w:rPr>
                  </w:pPr>
                  <w:r>
                    <w:rPr>
                      <w:rFonts w:hint="default"/>
                      <w:szCs w:val="21"/>
                      <w:lang w:val="en-US" w:eastAsia="zh-CN"/>
                    </w:rPr>
                    <w:t>金属材料(除稀贵金属)、五金、交电、化工产品(除资质外)、橡胶制品的销售</w:t>
                  </w:r>
                </w:p>
              </w:tc>
              <w:tc>
                <w:tcPr>
                  <w:tcW w:w="3416" w:type="dxa"/>
                </w:tcPr>
                <w:p>
                  <w:pPr>
                    <w:shd w:val="clear" w:color="auto" w:fill="C7DAF1" w:themeFill="text2" w:themeFillTint="32"/>
                    <w:jc w:val="left"/>
                    <w:rPr>
                      <w:rFonts w:hint="default" w:eastAsia="宋体"/>
                      <w:lang w:val="en-US" w:eastAsia="zh-CN"/>
                    </w:rPr>
                  </w:pPr>
                  <w:r>
                    <w:rPr>
                      <w:rFonts w:hint="eastAsia"/>
                      <w:lang w:val="en-US" w:eastAsia="zh-CN"/>
                    </w:rPr>
                    <w:t>销售</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 xml:space="preserve"> 信息及时</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组装</w:t>
            </w:r>
            <w:r>
              <w:rPr>
                <w:rFonts w:hint="eastAsia"/>
                <w:u w:val="single"/>
              </w:rPr>
              <w:t xml:space="preserve">  </w:t>
            </w:r>
            <w:r>
              <w:rPr>
                <w:rFonts w:hint="eastAsia"/>
                <w:u w:val="single"/>
                <w:lang w:eastAsia="zh-CN"/>
              </w:rPr>
              <w:t>、</w:t>
            </w:r>
            <w:r>
              <w:rPr>
                <w:rFonts w:hint="eastAsia"/>
                <w:u w:val="single"/>
                <w:lang w:val="en-US" w:eastAsia="zh-CN"/>
              </w:rPr>
              <w:t xml:space="preserve"> 销售</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■原材料 ■设备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 xml:space="preserve">变更控制：符合要求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11-12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lang w:val="en-US" w:eastAsia="zh-CN"/>
              </w:rPr>
              <w:t>26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7"/>
        <w:tblpPr w:leftFromText="180" w:rightFromText="180" w:vertAnchor="text" w:horzAnchor="page" w:tblpX="1187"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0D38723F"/>
    <w:rsid w:val="228961E4"/>
    <w:rsid w:val="255D6C5F"/>
    <w:rsid w:val="49E6371F"/>
    <w:rsid w:val="569E5EB1"/>
    <w:rsid w:val="5DFE42E1"/>
    <w:rsid w:val="70FA3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2022-06-29T09:09:22Z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