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0261-2020-Q-2022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陕西指玄智能科技有限公司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陕西指玄智能科技有限公司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陕西省西安市高新区丈八街办科技二路77号西安光电园C座二单元1202室</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陕西省西安市高新区丈八街办科技二路77号西安光电园C座二单元1202室</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刘嘉雯</w:t>
            </w:r>
            <w:bookmarkEnd w:id="10"/>
          </w:p>
        </w:tc>
        <w:tc>
          <w:tcPr>
            <w:tcW w:w="1313" w:type="dxa"/>
            <w:vAlign w:val="center"/>
          </w:tcPr>
          <w:p>
            <w:r>
              <w:rPr>
                <w:rFonts w:hint="eastAsia"/>
              </w:rPr>
              <w:t>电话.</w:t>
            </w:r>
          </w:p>
        </w:tc>
        <w:tc>
          <w:tcPr>
            <w:tcW w:w="2180" w:type="dxa"/>
            <w:vAlign w:val="center"/>
          </w:tcPr>
          <w:p>
            <w:bookmarkStart w:id="11" w:name="联系人电话"/>
            <w:r>
              <w:t>15191097718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沈荣根</w:t>
            </w:r>
            <w:bookmarkEnd w:id="13"/>
          </w:p>
        </w:tc>
        <w:tc>
          <w:tcPr>
            <w:tcW w:w="1313" w:type="dxa"/>
            <w:vAlign w:val="center"/>
          </w:tcPr>
          <w:p>
            <w:r>
              <w:rPr>
                <w:rFonts w:hint="eastAsia"/>
              </w:rPr>
              <w:t>管理者代表</w:t>
            </w:r>
          </w:p>
        </w:tc>
        <w:tc>
          <w:tcPr>
            <w:tcW w:w="2180" w:type="dxa"/>
          </w:tcPr>
          <w:p>
            <w:bookmarkStart w:id="14" w:name="管理者代表"/>
            <w:r>
              <w:t>张亮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签订服务合同-编制维护计划-日常巡查保养/用户培训-顾客验收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2022年06月13日 上午至2022年06月13日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陕西省西安市高新区丈八街办科技二路77号西安光电园C座二单元1202室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电力行业计算机信息系统的运行维护服务。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33.02.04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陕西指玄智能科技有限公司</w:t>
            </w:r>
            <w:r>
              <w:rPr>
                <w:rFonts w:hint="eastAsia"/>
                <w:lang w:val="en-US" w:eastAsia="zh-CN"/>
              </w:rPr>
              <w:t>/</w:t>
            </w:r>
            <w:r>
              <w:rPr>
                <w:rFonts w:hint="eastAsia"/>
                <w:lang w:val="de-DE" w:eastAsia="ja-JP"/>
              </w:rPr>
              <w:t>陕西省西安市高新区丈八街办科技二路77号西安光电园C座二单元1202室</w:t>
            </w:r>
          </w:p>
        </w:tc>
        <w:tc>
          <w:tcPr>
            <w:tcW w:w="2267" w:type="dxa"/>
          </w:tcPr>
          <w:p>
            <w:pPr>
              <w:rPr>
                <w:rFonts w:hint="eastAsia" w:eastAsia="宋体"/>
                <w:lang w:val="en-US" w:eastAsia="zh-CN"/>
              </w:rPr>
            </w:pPr>
            <w:r>
              <w:rPr>
                <w:rFonts w:hint="eastAsia"/>
                <w:lang w:val="de-DE" w:eastAsia="ja-JP"/>
              </w:rPr>
              <w:t>陕西省西安市高新区丈八街办科技二路77号西安光电园C座二单元1202室</w:t>
            </w:r>
            <w:r>
              <w:rPr>
                <w:rFonts w:hint="eastAsia"/>
                <w:lang w:val="en-US" w:eastAsia="zh-CN"/>
              </w:rPr>
              <w:t>/陕西省西安市尚德路79号陕西电力通信公司</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lang w:eastAsia="ja-JP"/>
              </w:rPr>
            </w:pPr>
            <w:r>
              <w:rPr>
                <w:rFonts w:ascii="宋体" w:hAnsi="宋体" w:cs="宋体"/>
                <w:color w:val="000000"/>
                <w:kern w:val="0"/>
                <w:szCs w:val="21"/>
              </w:rPr>
              <w:t>电力行业计算机信息系统的运行维护服务</w:t>
            </w:r>
          </w:p>
        </w:tc>
        <w:tc>
          <w:tcPr>
            <w:tcW w:w="669" w:type="dxa"/>
            <w:vAlign w:val="center"/>
          </w:tcPr>
          <w:p>
            <w:pPr>
              <w:rPr>
                <w:lang w:eastAsia="ja-JP"/>
              </w:rPr>
            </w:pP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验证了上次审核的整改情况，措施有效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A3"/>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44450</wp:posOffset>
                  </wp:positionH>
                  <wp:positionV relativeFrom="paragraph">
                    <wp:posOffset>-25400</wp:posOffset>
                  </wp:positionV>
                  <wp:extent cx="568960" cy="47180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68960" cy="47180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2022.6.13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最高管理者制定了文件化的管理体系方针：本公司的质量方针：</w:t>
            </w:r>
          </w:p>
          <w:p>
            <w:pPr>
              <w:shd w:val="clear" w:color="auto" w:fill="C7DAF1" w:themeFill="text2" w:themeFillTint="32"/>
              <w:rPr>
                <w:rFonts w:hint="eastAsia"/>
              </w:rPr>
            </w:pPr>
            <w:r>
              <w:rPr>
                <w:rFonts w:hint="eastAsia"/>
              </w:rPr>
              <w:t xml:space="preserve">满足顾客需求，  提供优质服务， </w:t>
            </w:r>
          </w:p>
          <w:p>
            <w:pPr>
              <w:shd w:val="clear" w:color="auto" w:fill="C7DAF1" w:themeFill="text2" w:themeFillTint="32"/>
              <w:rPr>
                <w:rFonts w:hint="eastAsia"/>
              </w:rPr>
            </w:pPr>
            <w:r>
              <w:rPr>
                <w:rFonts w:hint="eastAsia"/>
              </w:rPr>
              <w:t>强化过程管理，  致力持续改进。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宋体" w:hAnsi="宋体" w:eastAsia="宋体" w:cs="Times New Roman"/>
                      <w:lang w:val="en-US" w:eastAsia="zh-CN"/>
                    </w:rPr>
                  </w:pPr>
                  <w:r>
                    <w:rPr>
                      <w:rFonts w:hint="eastAsia"/>
                      <w:color w:val="000000"/>
                      <w:szCs w:val="21"/>
                    </w:rPr>
                    <w:t>1.</w:t>
                  </w:r>
                  <w:r>
                    <w:rPr>
                      <w:rFonts w:hint="eastAsia"/>
                      <w:color w:val="000000"/>
                      <w:szCs w:val="21"/>
                      <w:lang w:eastAsia="zh-CN"/>
                    </w:rPr>
                    <w:t>维护保养服务</w:t>
                  </w:r>
                  <w:r>
                    <w:rPr>
                      <w:rFonts w:hint="eastAsia"/>
                      <w:color w:val="000000"/>
                      <w:szCs w:val="21"/>
                    </w:rPr>
                    <w:t>合格率      100％</w:t>
                  </w:r>
                </w:p>
              </w:tc>
              <w:tc>
                <w:tcPr>
                  <w:tcW w:w="3136" w:type="dxa"/>
                  <w:shd w:val="clear" w:color="auto" w:fill="auto"/>
                  <w:vAlign w:val="center"/>
                </w:tcPr>
                <w:p>
                  <w:pPr>
                    <w:widowControl/>
                    <w:rPr>
                      <w:rFonts w:hint="eastAsia" w:ascii="宋体" w:hAnsi="宋体" w:eastAsia="宋体" w:cs="Times New Roman"/>
                      <w:lang w:val="en-GB" w:eastAsia="zh-CN"/>
                    </w:rPr>
                  </w:pPr>
                  <w:r>
                    <w:rPr>
                      <w:rFonts w:hint="eastAsia"/>
                      <w:color w:val="000000"/>
                      <w:szCs w:val="21"/>
                    </w:rPr>
                    <w:t>项目交付合格数/项目交付数*100%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工程技术部</w:t>
                  </w:r>
                </w:p>
              </w:tc>
              <w:tc>
                <w:tcPr>
                  <w:tcW w:w="1774" w:type="dxa"/>
                  <w:shd w:val="clear" w:color="auto" w:fill="auto"/>
                  <w:vAlign w:val="center"/>
                </w:tcPr>
                <w:p>
                  <w:pPr>
                    <w:tabs>
                      <w:tab w:val="left" w:pos="10080"/>
                    </w:tabs>
                    <w:jc w:val="center"/>
                    <w:rPr>
                      <w:rFonts w:hint="eastAsia" w:ascii="宋体" w:hAnsi="宋体" w:eastAsia="宋体" w:cs="Times New Roman"/>
                      <w:lang w:val="en-GB" w:eastAsia="zh-CN"/>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宋体" w:hAnsi="宋体" w:eastAsia="宋体" w:cs="Times New Roman"/>
                      <w:lang w:val="en-US" w:eastAsia="zh-CN"/>
                    </w:rPr>
                  </w:pPr>
                  <w:r>
                    <w:rPr>
                      <w:rFonts w:hint="eastAsia"/>
                      <w:color w:val="000000"/>
                      <w:szCs w:val="21"/>
                      <w:lang w:val="en-US" w:eastAsia="zh-CN"/>
                    </w:rPr>
                    <w:t>2</w:t>
                  </w:r>
                  <w:r>
                    <w:rPr>
                      <w:rFonts w:hint="eastAsia"/>
                      <w:color w:val="000000"/>
                      <w:szCs w:val="21"/>
                    </w:rPr>
                    <w:t>.顾客满意率            90％</w:t>
                  </w:r>
                </w:p>
              </w:tc>
              <w:tc>
                <w:tcPr>
                  <w:tcW w:w="3136" w:type="dxa"/>
                  <w:shd w:val="clear" w:color="auto" w:fill="auto"/>
                  <w:vAlign w:val="center"/>
                </w:tcPr>
                <w:p>
                  <w:pPr>
                    <w:tabs>
                      <w:tab w:val="left" w:pos="10080"/>
                    </w:tabs>
                    <w:rPr>
                      <w:rFonts w:hint="eastAsia" w:ascii="宋体" w:hAnsi="宋体" w:eastAsia="宋体" w:cs="Times New Roman"/>
                      <w:lang w:val="en-US" w:eastAsia="zh-CN"/>
                    </w:rPr>
                  </w:pPr>
                  <w:r>
                    <w:rPr>
                      <w:rFonts w:hint="eastAsia" w:ascii="宋体" w:hAnsi="宋体"/>
                      <w:szCs w:val="21"/>
                    </w:rPr>
                    <w:t>根据顾客满意度调查结果</w:t>
                  </w:r>
                  <w:r>
                    <w:rPr>
                      <w:rFonts w:hint="eastAsia"/>
                      <w:color w:val="000000"/>
                      <w:szCs w:val="21"/>
                    </w:rPr>
                    <w:t>*100%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经营部</w:t>
                  </w:r>
                </w:p>
              </w:tc>
              <w:tc>
                <w:tcPr>
                  <w:tcW w:w="1774" w:type="dxa"/>
                  <w:shd w:val="clear" w:color="auto" w:fill="auto"/>
                  <w:vAlign w:val="center"/>
                </w:tcPr>
                <w:p>
                  <w:pPr>
                    <w:tabs>
                      <w:tab w:val="left" w:pos="10080"/>
                    </w:tabs>
                    <w:jc w:val="center"/>
                    <w:rPr>
                      <w:rFonts w:hint="eastAsia" w:ascii="宋体" w:hAnsi="宋体" w:eastAsia="宋体" w:cs="Times New Roman"/>
                      <w:lang w:val="en-US" w:eastAsia="zh-CN"/>
                    </w:rPr>
                  </w:pPr>
                  <w:r>
                    <w:rPr>
                      <w:rFonts w:hint="eastAsia"/>
                      <w:szCs w:val="21"/>
                    </w:rPr>
                    <w:t>9</w:t>
                  </w:r>
                  <w:r>
                    <w:rPr>
                      <w:rFonts w:hint="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宋体" w:hAnsi="宋体" w:eastAsia="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w:t>
            </w:r>
            <w:r>
              <w:rPr>
                <w:rFonts w:hint="eastAsia" w:ascii="Times New Roman" w:hAnsi="Times New Roman" w:cs="Times New Roman"/>
              </w:rPr>
              <w:t>积</w:t>
            </w:r>
            <w:r>
              <w:rPr>
                <w:rFonts w:hint="eastAsia" w:ascii="Times New Roman" w:hAnsi="Times New Roman" w:cs="Times New Roman"/>
                <w:lang w:val="en-US" w:eastAsia="zh-CN"/>
              </w:rPr>
              <w:t>112.78</w:t>
            </w:r>
            <w:r>
              <w:rPr>
                <w:rFonts w:hint="eastAsia" w:ascii="Times New Roman" w:hAnsi="Times New Roman" w:cs="Times New Roman"/>
              </w:rPr>
              <w:t>平</w:t>
            </w:r>
            <w:r>
              <w:rPr>
                <w:rFonts w:hint="eastAsia"/>
              </w:rPr>
              <w:t>方米；生产车间个；库房个；实验室</w:t>
            </w:r>
            <w:r>
              <w:rPr>
                <w:rFonts w:hint="eastAsia"/>
                <w:lang w:val="en-US" w:eastAsia="zh-CN"/>
              </w:rPr>
              <w:t>1</w:t>
            </w:r>
            <w:r>
              <w:rPr>
                <w:rFonts w:hint="eastAsia"/>
              </w:rPr>
              <w:t>个；</w:t>
            </w:r>
          </w:p>
          <w:p>
            <w:pPr>
              <w:shd w:val="clear" w:color="auto" w:fill="C7DAF1" w:themeFill="text2" w:themeFillTint="32"/>
              <w:rPr>
                <w:color w:val="auto"/>
                <w:u w:val="single"/>
              </w:rPr>
            </w:pPr>
            <w:r>
              <w:rPr>
                <w:rFonts w:hint="eastAsia"/>
                <w:color w:val="auto"/>
              </w:rPr>
              <w:t>主要生产设备有：</w:t>
            </w:r>
            <w:r>
              <w:rPr>
                <w:rFonts w:hint="eastAsia"/>
                <w:u w:val="single"/>
                <w:lang w:val="en-US" w:eastAsia="zh-CN"/>
              </w:rPr>
              <w:t>维护所用的笔记本电脑、软件</w:t>
            </w:r>
            <w:r>
              <w:rPr>
                <w:rFonts w:hint="eastAsia"/>
                <w:color w:val="auto"/>
                <w:u w:val="single"/>
              </w:rPr>
              <w:t>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宋体" w:hAnsi="宋体" w:eastAsia="宋体" w:cs="宋体"/>
              </w:rPr>
              <w:t>■</w:t>
            </w:r>
            <w:r>
              <w:rPr>
                <w:rFonts w:hint="eastAsia"/>
              </w:rPr>
              <w:t>不适用</w:t>
            </w:r>
            <w:bookmarkStart w:id="34" w:name="_GoBack"/>
            <w:bookmarkEnd w:id="34"/>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lang w:val="en-US" w:eastAsia="zh-CN"/>
              </w:rPr>
              <w:t xml:space="preserve">        </w:t>
            </w:r>
            <w:r>
              <w:rPr>
                <w:rFonts w:hint="eastAsia"/>
                <w:color w:val="auto"/>
                <w:u w:val="single"/>
              </w:rPr>
              <w:t>等</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rPr>
              <w:t>¨</w:t>
            </w:r>
            <w:r>
              <w:rPr>
                <w:rFonts w:hint="eastAsia"/>
              </w:rPr>
              <w:t>进行了定期校准/检定</w:t>
            </w:r>
            <w:r>
              <w:rPr>
                <w:rFonts w:hint="eastAsia"/>
                <w:lang w:val="en-US" w:eastAsia="zh-CN"/>
              </w:rPr>
              <w:t xml:space="preserve">  </w:t>
            </w:r>
            <w:r>
              <w:rPr>
                <w:rFonts w:hint="eastAsia"/>
              </w:rPr>
              <w:t>未进行定期校准/检定的有：</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提供给外部供方的信息符合要求</w:t>
            </w:r>
            <w:r>
              <w:rPr>
                <w:rFonts w:hint="eastAsia" w:ascii="宋体" w:hAnsi="宋体" w:eastAsia="宋体" w:cs="宋体"/>
              </w:rPr>
              <w:t>■</w:t>
            </w:r>
            <w:r>
              <w:rPr>
                <w:rFonts w:hint="eastAsia"/>
              </w:rPr>
              <w:t>存在不足，说明</w:t>
            </w:r>
            <w:r>
              <w:rPr>
                <w:rFonts w:hint="eastAsia"/>
                <w:lang w:eastAsia="zh-CN"/>
              </w:rPr>
              <w:t>：</w:t>
            </w:r>
            <w:r>
              <w:rPr>
                <w:rFonts w:hint="eastAsia"/>
                <w:lang w:val="en-US" w:eastAsia="zh-CN"/>
              </w:rPr>
              <w:t>部分供应商未能完成评价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rPr>
                    <w:t>技术服务</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技术服务过程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eastAsia="宋体"/>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rPr>
                      <w:rFonts w:hint="eastAsia" w:eastAsia="宋体"/>
                      <w:lang w:val="en-US" w:eastAsia="zh-CN"/>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运维服务过程</w:t>
            </w:r>
            <w:r>
              <w:rPr>
                <w:rFonts w:hint="eastAsia"/>
              </w:rPr>
              <w:t>，</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宋体" w:hAnsi="宋体" w:eastAsia="宋体" w:cs="宋体"/>
              </w:rPr>
              <w:t>■</w:t>
            </w:r>
            <w:r>
              <w:rPr>
                <w:rFonts w:hint="eastAsia"/>
              </w:rPr>
              <w:t>标牌</w:t>
            </w:r>
            <w:r>
              <w:rPr>
                <w:rFonts w:hint="eastAsia" w:ascii="宋体" w:hAnsi="宋体" w:eastAsia="宋体" w:cs="宋体"/>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11-12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pPr w:leftFromText="180" w:rightFromText="180" w:vertAnchor="text" w:horzAnchor="page" w:tblpX="1067" w:tblpY="17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65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rFonts w:hint="eastAsia" w:eastAsia="宋体"/>
                <w:lang w:val="en-US" w:eastAsia="zh-CN"/>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313534F5"/>
    <w:rsid w:val="47773BDF"/>
    <w:rsid w:val="52A74B48"/>
    <w:rsid w:val="52E67C2A"/>
    <w:rsid w:val="61412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2022-06-16T08:35:34Z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