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过程与活动、</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涉及</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4"/>
                <w:szCs w:val="24"/>
              </w:rPr>
              <w:t>条款</w:t>
            </w:r>
          </w:p>
        </w:tc>
        <w:tc>
          <w:tcPr>
            <w:tcW w:w="10004"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受审核部门：</w:t>
            </w:r>
            <w:r>
              <w:rPr>
                <w:rFonts w:hint="eastAsia" w:asciiTheme="minorEastAsia" w:hAnsiTheme="minorEastAsia" w:eastAsiaTheme="minorEastAsia" w:cstheme="minorEastAsia"/>
                <w:sz w:val="24"/>
                <w:szCs w:val="24"/>
                <w:lang w:val="en-US" w:eastAsia="zh-CN"/>
              </w:rPr>
              <w:t xml:space="preserve">工程技术部      </w:t>
            </w:r>
            <w:r>
              <w:rPr>
                <w:rFonts w:hint="eastAsia" w:asciiTheme="minorEastAsia" w:hAnsiTheme="minorEastAsia" w:eastAsiaTheme="minorEastAsia" w:cstheme="minorEastAsia"/>
                <w:sz w:val="24"/>
                <w:szCs w:val="24"/>
              </w:rPr>
              <w:t>主管领导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史婷婷      </w:t>
            </w:r>
            <w:r>
              <w:rPr>
                <w:rFonts w:hint="eastAsia" w:asciiTheme="minorEastAsia" w:hAnsiTheme="minorEastAsia" w:eastAsiaTheme="minorEastAsia" w:cstheme="minorEastAsia"/>
                <w:sz w:val="24"/>
                <w:szCs w:val="24"/>
              </w:rPr>
              <w:t>陪同人员</w:t>
            </w:r>
            <w:r>
              <w:rPr>
                <w:rFonts w:hint="eastAsia" w:asciiTheme="minorEastAsia" w:hAnsiTheme="minorEastAsia" w:eastAsiaTheme="minorEastAsia" w:cstheme="minorEastAsia"/>
                <w:sz w:val="24"/>
                <w:szCs w:val="24"/>
                <w:lang w:eastAsia="zh-CN"/>
              </w:rPr>
              <w:t>：丁</w:t>
            </w:r>
            <w:r>
              <w:rPr>
                <w:rFonts w:hint="eastAsia" w:asciiTheme="minorEastAsia" w:hAnsiTheme="minorEastAsia" w:eastAsiaTheme="minorEastAsia" w:cstheme="minorEastAsia"/>
                <w:sz w:val="24"/>
                <w:szCs w:val="24"/>
                <w:lang w:val="en-US" w:eastAsia="zh-CN"/>
              </w:rPr>
              <w:t>晓</w:t>
            </w:r>
            <w:r>
              <w:rPr>
                <w:rFonts w:hint="eastAsia" w:asciiTheme="minorEastAsia" w:hAnsiTheme="minorEastAsia" w:eastAsiaTheme="minorEastAsia" w:cstheme="minorEastAsia"/>
                <w:sz w:val="24"/>
                <w:szCs w:val="24"/>
                <w:lang w:eastAsia="zh-CN"/>
              </w:rPr>
              <w:t>宁</w:t>
            </w:r>
            <w:r>
              <w:rPr>
                <w:rFonts w:hint="eastAsia" w:asciiTheme="minorEastAsia" w:hAnsiTheme="minorEastAsia" w:eastAsiaTheme="minorEastAsia" w:cstheme="minorEastAsia"/>
                <w:sz w:val="24"/>
                <w:szCs w:val="24"/>
                <w:lang w:val="en-US" w:eastAsia="zh-CN"/>
              </w:rPr>
              <w:t xml:space="preserve">  </w:t>
            </w:r>
          </w:p>
        </w:tc>
        <w:tc>
          <w:tcPr>
            <w:tcW w:w="1585" w:type="dxa"/>
            <w:vMerge w:val="restart"/>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9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10004" w:type="dxa"/>
            <w:vAlign w:val="center"/>
          </w:tcPr>
          <w:p>
            <w:pPr>
              <w:keepNext w:val="0"/>
              <w:keepLines w:val="0"/>
              <w:suppressLineNumbers w:val="0"/>
              <w:spacing w:before="120" w:beforeAutospacing="0" w:after="0" w:afterAutospacing="0"/>
              <w:ind w:left="0" w:right="0"/>
              <w:rPr>
                <w:rFonts w:hint="default" w:asciiTheme="minorEastAsia" w:hAnsiTheme="minorEastAsia" w:eastAsiaTheme="minorEastAsia" w:cstheme="minorEastAsia"/>
                <w:szCs w:val="20"/>
                <w:lang w:val="en-US" w:eastAsia="zh-CN"/>
              </w:rPr>
            </w:pPr>
            <w:r>
              <w:rPr>
                <w:rFonts w:hint="eastAsia" w:asciiTheme="minorEastAsia" w:hAnsiTheme="minorEastAsia" w:eastAsiaTheme="minorEastAsia" w:cstheme="minorEastAsia"/>
                <w:sz w:val="24"/>
                <w:szCs w:val="24"/>
              </w:rPr>
              <w:t>审核员：郭力</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审核时间：</w:t>
            </w:r>
            <w:r>
              <w:rPr>
                <w:rFonts w:hint="eastAsia" w:asciiTheme="minorEastAsia" w:hAnsiTheme="minorEastAsia" w:eastAsiaTheme="minorEastAsia" w:cstheme="minorEastAsia"/>
                <w:sz w:val="24"/>
                <w:szCs w:val="24"/>
                <w:lang w:val="en-US" w:eastAsia="zh-CN"/>
              </w:rPr>
              <w:t>2022.6.13</w:t>
            </w:r>
          </w:p>
        </w:tc>
        <w:tc>
          <w:tcPr>
            <w:tcW w:w="1585" w:type="dxa"/>
            <w:vMerge w:val="continue"/>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9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10004"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审核条款：</w:t>
            </w:r>
            <w:r>
              <w:rPr>
                <w:rFonts w:hint="eastAsia" w:asciiTheme="minorEastAsia" w:hAnsiTheme="minorEastAsia" w:eastAsiaTheme="minorEastAsia" w:cstheme="minorEastAsia"/>
                <w:szCs w:val="21"/>
                <w:highlight w:val="none"/>
                <w:lang w:val="en-US" w:eastAsia="zh-CN"/>
              </w:rPr>
              <w:t>Q5.3</w:t>
            </w:r>
            <w:r>
              <w:rPr>
                <w:rFonts w:hint="eastAsia" w:asciiTheme="minorEastAsia" w:hAnsiTheme="minorEastAsia" w:eastAsiaTheme="minorEastAsia" w:cstheme="minorEastAsia"/>
                <w:szCs w:val="21"/>
                <w:highlight w:val="none"/>
              </w:rPr>
              <w:t>组织的岗位、职责的权限</w:t>
            </w:r>
            <w:r>
              <w:rPr>
                <w:rFonts w:hint="eastAsia" w:asciiTheme="minorEastAsia" w:hAnsiTheme="minorEastAsia" w:eastAsiaTheme="minorEastAsia" w:cstheme="minorEastAsia"/>
                <w:szCs w:val="21"/>
                <w:highlight w:val="none"/>
                <w:lang w:val="en-US" w:eastAsia="zh-CN"/>
              </w:rPr>
              <w:t>、6.2</w:t>
            </w:r>
            <w:r>
              <w:rPr>
                <w:rFonts w:hint="eastAsia" w:asciiTheme="minorEastAsia" w:hAnsiTheme="minorEastAsia" w:eastAsiaTheme="minorEastAsia" w:cstheme="minorEastAsia"/>
                <w:szCs w:val="21"/>
                <w:highlight w:val="none"/>
              </w:rPr>
              <w:t>质量、目标及其实现的策划</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7.1.3基础设施</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7.1.4过程运行环境</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7.1.5监视和测量资源</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8.1运行策划和控制</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8.5.1生产和服务提供的控制</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8.5.</w:t>
            </w:r>
            <w:r>
              <w:rPr>
                <w:rFonts w:hint="eastAsia" w:asciiTheme="minorEastAsia" w:hAnsiTheme="minorEastAsia" w:eastAsiaTheme="minorEastAsia" w:cstheme="minorEastAsia"/>
                <w:szCs w:val="21"/>
                <w:highlight w:val="none"/>
                <w:lang w:val="en-US" w:eastAsia="zh-CN"/>
              </w:rPr>
              <w:t>2标识和可追溯性</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8.5.3</w:t>
            </w:r>
            <w:r>
              <w:rPr>
                <w:rFonts w:hint="eastAsia" w:asciiTheme="minorEastAsia" w:hAnsiTheme="minorEastAsia" w:eastAsiaTheme="minorEastAsia" w:cstheme="minorEastAsia"/>
                <w:szCs w:val="21"/>
                <w:highlight w:val="none"/>
                <w:lang w:val="en-US" w:eastAsia="zh-CN"/>
              </w:rPr>
              <w:t>顾客或外部供方的财产</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8.5.4</w:t>
            </w:r>
            <w:r>
              <w:rPr>
                <w:rFonts w:hint="eastAsia" w:asciiTheme="minorEastAsia" w:hAnsiTheme="minorEastAsia" w:eastAsiaTheme="minorEastAsia" w:cstheme="minorEastAsia"/>
                <w:szCs w:val="21"/>
                <w:highlight w:val="none"/>
                <w:lang w:val="en-US" w:eastAsia="zh-CN"/>
              </w:rPr>
              <w:t>防护、</w:t>
            </w:r>
            <w:r>
              <w:rPr>
                <w:rFonts w:hint="eastAsia" w:asciiTheme="minorEastAsia" w:hAnsiTheme="minorEastAsia" w:eastAsiaTheme="minorEastAsia" w:cstheme="minorEastAsia"/>
                <w:szCs w:val="21"/>
                <w:highlight w:val="none"/>
              </w:rPr>
              <w:t>8.5.5交付后活动</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8.5.6 更改控制</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8.6产品和服务的放行</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8.7不合格输出的控制</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9.1.3分析与评价</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10.2不合格与纠正措施</w:t>
            </w:r>
          </w:p>
        </w:tc>
        <w:tc>
          <w:tcPr>
            <w:tcW w:w="1585" w:type="dxa"/>
            <w:vMerge w:val="continue"/>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0"/>
                <w:lang w:val="en-US" w:eastAsia="zh-CN"/>
              </w:rPr>
            </w:pPr>
            <w:r>
              <w:rPr>
                <w:rFonts w:hint="eastAsia" w:asciiTheme="minorEastAsia" w:hAnsiTheme="minorEastAsia" w:eastAsiaTheme="minorEastAsia" w:cstheme="minorEastAsia"/>
                <w:szCs w:val="21"/>
                <w:highlight w:val="none"/>
              </w:rPr>
              <w:t>组织的岗位、职责的权限</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1"/>
                <w:szCs w:val="21"/>
                <w:lang w:val="en-US" w:eastAsia="zh-CN"/>
              </w:rPr>
              <w:t>Q5.3</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根据部门领导介绍，</w:t>
            </w:r>
            <w:r>
              <w:rPr>
                <w:rFonts w:hint="eastAsia" w:asciiTheme="minorEastAsia" w:hAnsiTheme="minorEastAsia" w:eastAsiaTheme="minorEastAsia" w:cstheme="minorEastAsia"/>
                <w:sz w:val="24"/>
                <w:szCs w:val="20"/>
                <w:lang w:eastAsia="zh-CN"/>
              </w:rPr>
              <w:t>工程技术部</w:t>
            </w:r>
            <w:r>
              <w:rPr>
                <w:rFonts w:hint="eastAsia" w:asciiTheme="minorEastAsia" w:hAnsiTheme="minorEastAsia" w:eastAsiaTheme="minorEastAsia" w:cstheme="minorEastAsia"/>
                <w:sz w:val="24"/>
                <w:szCs w:val="20"/>
              </w:rPr>
              <w:t>在公司质量管理体系中的职责及权限在质量手册职能分配表中进行了明确规定。主要负责基础设施、运行环境控制；监视和测量设备管理； Q:</w:t>
            </w:r>
            <w:r>
              <w:rPr>
                <w:rFonts w:hint="eastAsia" w:asciiTheme="minorEastAsia" w:hAnsiTheme="minorEastAsia" w:eastAsiaTheme="minorEastAsia" w:cstheme="minorEastAsia"/>
                <w:sz w:val="24"/>
                <w:szCs w:val="20"/>
                <w:lang w:eastAsia="zh-CN"/>
              </w:rPr>
              <w:t>电力行业计算机信息系统的运行维护服务</w:t>
            </w:r>
            <w:r>
              <w:rPr>
                <w:rFonts w:hint="eastAsia" w:asciiTheme="minorEastAsia" w:hAnsiTheme="minorEastAsia" w:eastAsiaTheme="minorEastAsia" w:cstheme="minorEastAsia"/>
                <w:sz w:val="24"/>
                <w:szCs w:val="20"/>
              </w:rPr>
              <w:t>运行策划、生产和服务提供控制、产品放行和不合格品控制、归口管理公司体系运行的不合格及纠正措施。</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0"/>
              </w:rPr>
              <w:t xml:space="preserve">经交流，部门主管人员对部门分管的过程及管理要求理解正确，部门内部职责分工明确，经培训及内部沟通，部门员工对本岗位的职责已理解，并有明确的考核机制，部门主管对下属员工的职责落实情况进行检查、考核，能够保证部门职责的落实。 </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 w:val="24"/>
                <w:szCs w:val="20"/>
              </w:rPr>
              <w:t>质量目标及其实现和策划</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Q6.2</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查：办公室根据公司质量目标和部门职责，制定了公司各部门质量目标分解表，，经总经理批准。涉及</w:t>
            </w:r>
            <w:r>
              <w:rPr>
                <w:rFonts w:hint="eastAsia" w:asciiTheme="minorEastAsia" w:hAnsiTheme="minorEastAsia" w:eastAsiaTheme="minorEastAsia" w:cstheme="minorEastAsia"/>
                <w:sz w:val="24"/>
                <w:szCs w:val="20"/>
                <w:lang w:eastAsia="zh-CN"/>
              </w:rPr>
              <w:t>工程技术部</w:t>
            </w:r>
            <w:r>
              <w:rPr>
                <w:rFonts w:hint="eastAsia" w:asciiTheme="minorEastAsia" w:hAnsiTheme="minorEastAsia" w:eastAsiaTheme="minorEastAsia" w:cstheme="minorEastAsia"/>
                <w:sz w:val="24"/>
                <w:szCs w:val="20"/>
              </w:rPr>
              <w:t>的质量目标共</w:t>
            </w:r>
            <w:r>
              <w:rPr>
                <w:rFonts w:hint="eastAsia" w:asciiTheme="minorEastAsia" w:hAnsiTheme="minorEastAsia" w:eastAsiaTheme="minorEastAsia" w:cstheme="minorEastAsia"/>
                <w:sz w:val="24"/>
                <w:szCs w:val="20"/>
                <w:lang w:val="en-US" w:eastAsia="zh-CN"/>
              </w:rPr>
              <w:t>1</w:t>
            </w:r>
            <w:r>
              <w:rPr>
                <w:rFonts w:hint="eastAsia" w:asciiTheme="minorEastAsia" w:hAnsiTheme="minorEastAsia" w:eastAsiaTheme="minorEastAsia" w:cstheme="minorEastAsia"/>
                <w:sz w:val="24"/>
                <w:szCs w:val="20"/>
              </w:rPr>
              <w:t>项，办公室制定了质量目标的考核方法和考核频次。</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各部门质量目标由办公室负责考核，查看的</w:t>
            </w:r>
            <w:r>
              <w:rPr>
                <w:rFonts w:hint="eastAsia" w:asciiTheme="minorEastAsia" w:hAnsiTheme="minorEastAsia" w:eastAsiaTheme="minorEastAsia" w:cstheme="minorEastAsia"/>
                <w:sz w:val="24"/>
                <w:szCs w:val="20"/>
                <w:lang w:eastAsia="zh-CN"/>
              </w:rPr>
              <w:t>工程技术部</w:t>
            </w:r>
            <w:r>
              <w:rPr>
                <w:rFonts w:hint="eastAsia"/>
                <w:sz w:val="24"/>
                <w:szCs w:val="24"/>
              </w:rPr>
              <w:t>20</w:t>
            </w:r>
            <w:r>
              <w:rPr>
                <w:rFonts w:hint="eastAsia"/>
                <w:sz w:val="24"/>
                <w:szCs w:val="24"/>
                <w:lang w:val="en-US" w:eastAsia="zh-CN"/>
              </w:rPr>
              <w:t>21</w:t>
            </w:r>
            <w:r>
              <w:rPr>
                <w:rFonts w:hint="eastAsia"/>
                <w:sz w:val="24"/>
                <w:szCs w:val="24"/>
              </w:rPr>
              <w:t>年6月-20</w:t>
            </w:r>
            <w:r>
              <w:rPr>
                <w:rFonts w:hint="eastAsia"/>
                <w:sz w:val="24"/>
                <w:szCs w:val="24"/>
                <w:lang w:val="en-US" w:eastAsia="zh-CN"/>
              </w:rPr>
              <w:t>22</w:t>
            </w:r>
            <w:r>
              <w:rPr>
                <w:rFonts w:hint="eastAsia"/>
                <w:sz w:val="24"/>
                <w:szCs w:val="24"/>
              </w:rPr>
              <w:t>年</w:t>
            </w:r>
            <w:r>
              <w:rPr>
                <w:rFonts w:hint="eastAsia"/>
                <w:sz w:val="24"/>
                <w:szCs w:val="24"/>
                <w:lang w:val="en-US" w:eastAsia="zh-CN"/>
              </w:rPr>
              <w:t>5</w:t>
            </w:r>
            <w:r>
              <w:rPr>
                <w:rFonts w:hint="eastAsia"/>
                <w:sz w:val="24"/>
                <w:szCs w:val="24"/>
              </w:rPr>
              <w:t>月质量目标完成情况统计</w:t>
            </w:r>
            <w:r>
              <w:rPr>
                <w:rFonts w:hint="eastAsia" w:asciiTheme="minorEastAsia" w:hAnsiTheme="minorEastAsia" w:eastAsiaTheme="minorEastAsia" w:cstheme="minorEastAsia"/>
                <w:sz w:val="24"/>
                <w:szCs w:val="20"/>
              </w:rPr>
              <w:t>：</w:t>
            </w:r>
          </w:p>
          <w:p>
            <w:pPr>
              <w:keepNext w:val="0"/>
              <w:keepLines w:val="0"/>
              <w:suppressLineNumbers w:val="0"/>
              <w:spacing w:before="0" w:beforeAutospacing="0" w:after="0" w:afterAutospacing="0" w:line="360" w:lineRule="auto"/>
              <w:ind w:left="0" w:right="0" w:firstLine="840" w:firstLineChars="350"/>
              <w:jc w:val="left"/>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目标值                                 实测值     结论</w:t>
            </w:r>
          </w:p>
          <w:p>
            <w:pPr>
              <w:keepNext w:val="0"/>
              <w:keepLines w:val="0"/>
              <w:suppressLineNumbers w:val="0"/>
              <w:spacing w:before="0" w:beforeAutospacing="0" w:after="0" w:afterAutospacing="0" w:line="360" w:lineRule="auto"/>
              <w:ind w:left="0" w:right="0" w:firstLine="840" w:firstLineChars="350"/>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w:t>
            </w:r>
            <w:r>
              <w:rPr>
                <w:rFonts w:hint="eastAsia" w:asciiTheme="minorEastAsia" w:hAnsiTheme="minorEastAsia" w:eastAsiaTheme="minorEastAsia" w:cstheme="minorEastAsia"/>
                <w:sz w:val="24"/>
                <w:szCs w:val="22"/>
                <w:lang w:val="en-US" w:eastAsia="zh-CN"/>
              </w:rPr>
              <w:t>维护</w:t>
            </w:r>
            <w:r>
              <w:rPr>
                <w:rFonts w:hint="eastAsia" w:asciiTheme="minorEastAsia" w:hAnsiTheme="minorEastAsia" w:eastAsiaTheme="minorEastAsia" w:cstheme="minorEastAsia"/>
                <w:sz w:val="24"/>
                <w:szCs w:val="22"/>
                <w:lang w:eastAsia="zh-CN"/>
              </w:rPr>
              <w:t>服务</w:t>
            </w:r>
            <w:r>
              <w:rPr>
                <w:rFonts w:hint="eastAsia" w:asciiTheme="minorEastAsia" w:hAnsiTheme="minorEastAsia" w:eastAsiaTheme="minorEastAsia" w:cstheme="minorEastAsia"/>
                <w:sz w:val="24"/>
                <w:szCs w:val="22"/>
              </w:rPr>
              <w:t>合格率</w:t>
            </w:r>
            <w:r>
              <w:rPr>
                <w:rFonts w:hint="eastAsia" w:asciiTheme="minorEastAsia" w:hAnsiTheme="minorEastAsia" w:eastAsiaTheme="minorEastAsia" w:cstheme="minorEastAsia"/>
                <w:sz w:val="24"/>
                <w:szCs w:val="22"/>
                <w:lang w:val="en-US" w:eastAsia="zh-CN"/>
              </w:rPr>
              <w:t>100%</w:t>
            </w:r>
            <w:r>
              <w:rPr>
                <w:rFonts w:hint="eastAsia" w:asciiTheme="minorEastAsia" w:hAnsiTheme="minorEastAsia" w:eastAsiaTheme="minorEastAsia" w:cstheme="minorEastAsia"/>
                <w:sz w:val="24"/>
                <w:szCs w:val="22"/>
              </w:rPr>
              <w:t xml:space="preserve">；           </w:t>
            </w:r>
            <w:r>
              <w:rPr>
                <w:rFonts w:hint="eastAsia" w:asciiTheme="minorEastAsia" w:hAnsiTheme="minorEastAsia" w:eastAsiaTheme="minorEastAsia" w:cstheme="minorEastAsia"/>
                <w:sz w:val="24"/>
                <w:szCs w:val="22"/>
                <w:lang w:val="en-US" w:eastAsia="zh-CN"/>
              </w:rPr>
              <w:t xml:space="preserve"> 100</w:t>
            </w:r>
            <w:r>
              <w:rPr>
                <w:rFonts w:hint="eastAsia" w:asciiTheme="minorEastAsia" w:hAnsiTheme="minorEastAsia" w:eastAsiaTheme="minorEastAsia" w:cstheme="minorEastAsia"/>
                <w:sz w:val="24"/>
                <w:szCs w:val="22"/>
              </w:rPr>
              <w:t>%     完成</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4"/>
              </w:rPr>
              <w:t>统计人：刘芳；评价时间：20</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。部门质量体系运行以来</w:t>
            </w:r>
            <w:r>
              <w:rPr>
                <w:rFonts w:hint="eastAsia" w:asciiTheme="minorEastAsia" w:hAnsiTheme="minorEastAsia" w:eastAsiaTheme="minorEastAsia" w:cstheme="minorEastAsia"/>
                <w:sz w:val="24"/>
                <w:szCs w:val="24"/>
                <w:lang w:val="en-US" w:eastAsia="zh-CN"/>
              </w:rPr>
              <w:t>的半年度</w:t>
            </w:r>
            <w:r>
              <w:rPr>
                <w:rFonts w:hint="eastAsia" w:asciiTheme="minorEastAsia" w:hAnsiTheme="minorEastAsia" w:eastAsiaTheme="minorEastAsia" w:cstheme="minorEastAsia"/>
                <w:sz w:val="24"/>
                <w:szCs w:val="24"/>
              </w:rPr>
              <w:t>质量目标已实现。</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
                <w:sz w:val="21"/>
                <w:szCs w:val="20"/>
                <w:lang w:val="en-US" w:eastAsia="zh-CN" w:bidi="ar-SA"/>
              </w:rPr>
            </w:pPr>
            <w:r>
              <w:rPr>
                <w:rFonts w:hint="eastAsia" w:asciiTheme="minorEastAsia" w:hAnsiTheme="minorEastAsia" w:eastAsiaTheme="minorEastAsia" w:cstheme="minorEastAsia"/>
                <w:szCs w:val="21"/>
                <w:highlight w:val="none"/>
              </w:rPr>
              <w:t>基础设施</w:t>
            </w:r>
          </w:p>
        </w:tc>
        <w:tc>
          <w:tcPr>
            <w:tcW w:w="960" w:type="dxa"/>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kern w:val="2"/>
                <w:sz w:val="21"/>
                <w:szCs w:val="20"/>
                <w:lang w:val="en-US" w:eastAsia="zh-CN" w:bidi="ar-SA"/>
              </w:rPr>
            </w:pP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4"/>
                <w:szCs w:val="20"/>
              </w:rPr>
              <w:t>7.1.3</w:t>
            </w:r>
          </w:p>
        </w:tc>
        <w:tc>
          <w:tcPr>
            <w:tcW w:w="10004" w:type="dxa"/>
            <w:vAlign w:val="top"/>
          </w:tcPr>
          <w:p>
            <w:pPr>
              <w:keepNext w:val="0"/>
              <w:keepLines w:val="0"/>
              <w:suppressLineNumbers w:val="0"/>
              <w:tabs>
                <w:tab w:val="left" w:pos="-52"/>
              </w:tabs>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lang w:val="en-US" w:eastAsia="zh-CN"/>
              </w:rPr>
              <w:t>查</w:t>
            </w:r>
            <w:r>
              <w:rPr>
                <w:rFonts w:hint="eastAsia" w:asciiTheme="minorEastAsia" w:hAnsiTheme="minorEastAsia" w:eastAsiaTheme="minorEastAsia" w:cstheme="minorEastAsia"/>
                <w:sz w:val="24"/>
                <w:szCs w:val="20"/>
              </w:rPr>
              <w:t>公司编制的“</w:t>
            </w:r>
            <w:r>
              <w:rPr>
                <w:rFonts w:hint="eastAsia" w:asciiTheme="minorEastAsia" w:hAnsiTheme="minorEastAsia" w:eastAsiaTheme="minorEastAsia" w:cstheme="minorEastAsia"/>
                <w:sz w:val="24"/>
                <w:szCs w:val="20"/>
                <w:lang w:eastAsia="zh-CN"/>
              </w:rPr>
              <w:t>基础设施和过程运行环境控制程序</w:t>
            </w:r>
            <w:r>
              <w:rPr>
                <w:rFonts w:hint="eastAsia" w:asciiTheme="minorEastAsia" w:hAnsiTheme="minorEastAsia" w:eastAsiaTheme="minorEastAsia" w:cstheme="minorEastAsia"/>
                <w:sz w:val="24"/>
                <w:szCs w:val="20"/>
              </w:rPr>
              <w:t>”，规定了基础设施的管理要求。</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经现场查看，公司经营地址位于</w:t>
            </w:r>
            <w:r>
              <w:rPr>
                <w:rFonts w:hint="eastAsia" w:asciiTheme="minorEastAsia" w:hAnsiTheme="minorEastAsia" w:eastAsiaTheme="minorEastAsia" w:cstheme="minorEastAsia"/>
                <w:sz w:val="24"/>
                <w:szCs w:val="20"/>
                <w:lang w:eastAsia="zh-CN"/>
              </w:rPr>
              <w:t>陕西省西安市高新区丈八街办科技二路77号西安光电园C座二单元1202室</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公司办公面积112.78平米，配置了办公电脑7台；打印/复印机2台；传真机一部，办公桌椅、文件柜等。公司设备配置，设备3台/套（主要为服务所用的笔记本电脑）</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rPr>
              <w:t>满足Q:</w:t>
            </w:r>
            <w:r>
              <w:rPr>
                <w:rFonts w:hint="eastAsia" w:asciiTheme="minorEastAsia" w:hAnsiTheme="minorEastAsia" w:eastAsiaTheme="minorEastAsia" w:cstheme="minorEastAsia"/>
                <w:sz w:val="24"/>
                <w:szCs w:val="20"/>
                <w:lang w:eastAsia="zh-CN"/>
              </w:rPr>
              <w:t>电力行业计算机信息系统的运行维护服务</w:t>
            </w:r>
            <w:r>
              <w:rPr>
                <w:rFonts w:hint="eastAsia" w:asciiTheme="minorEastAsia" w:hAnsiTheme="minorEastAsia" w:eastAsiaTheme="minorEastAsia" w:cstheme="minorEastAsia"/>
                <w:sz w:val="24"/>
                <w:szCs w:val="20"/>
              </w:rPr>
              <w:t>需求。</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0"/>
                <w:lang w:eastAsia="zh-CN"/>
              </w:rPr>
              <w:t>工程技术部</w:t>
            </w:r>
            <w:r>
              <w:rPr>
                <w:rFonts w:hint="eastAsia" w:asciiTheme="minorEastAsia" w:hAnsiTheme="minorEastAsia" w:eastAsiaTheme="minorEastAsia" w:cstheme="minorEastAsia"/>
                <w:sz w:val="24"/>
                <w:szCs w:val="20"/>
              </w:rPr>
              <w:t>将设备的日常维护保养落实到具体的操作者</w:t>
            </w:r>
            <w:r>
              <w:rPr>
                <w:rFonts w:hint="eastAsia" w:asciiTheme="minorEastAsia" w:hAnsiTheme="minorEastAsia" w:eastAsiaTheme="minorEastAsia" w:cstheme="minorEastAsia"/>
                <w:sz w:val="24"/>
                <w:szCs w:val="22"/>
                <w:lang w:val="en-US" w:eastAsia="zh-CN"/>
              </w:rPr>
              <w:t>，查看的计算机的“维护保养记录”（2021.12.3、2022.4.2），以上记录均填写完整，清晰，审批签字齐全，设备日常保养符合策划要求。</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0"/>
              </w:rPr>
              <w:t>部门对基础设施的管理符合规定要求。</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过程运行环境</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4"/>
                <w:szCs w:val="20"/>
                <w:lang w:val="en-US" w:eastAsia="zh-CN"/>
              </w:rPr>
              <w:t>Q</w:t>
            </w:r>
            <w:r>
              <w:rPr>
                <w:rFonts w:hint="eastAsia" w:asciiTheme="minorEastAsia" w:hAnsiTheme="minorEastAsia" w:eastAsiaTheme="minorEastAsia" w:cstheme="minorEastAsia"/>
                <w:sz w:val="24"/>
                <w:szCs w:val="20"/>
              </w:rPr>
              <w:t>7.1.4</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软件系统维护服务过程和办公过程对环境要求一般，无特殊要求，办公室环境卫生较好。</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现场巡视：办公环境光照、温度适宜，通风良好，电路布线合理、电气插座完整，未见破损，办公场所物品摆放整齐、有序，未见随意乱放私人物品的情况，未见用电不当等安全隐患及不良影响现象。</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2"/>
                <w:lang w:val="en-US" w:eastAsia="zh-CN"/>
              </w:rPr>
              <w:t>确定并提供了产品要求所需的工作环境，工作环境适宜，现有工作环境能满足提供合格服务的需要。</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监视和测量资源</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0"/>
                <w:lang w:val="en-US" w:eastAsia="zh-CN"/>
              </w:rPr>
              <w:t>Q</w:t>
            </w:r>
            <w:r>
              <w:rPr>
                <w:rFonts w:hint="eastAsia" w:asciiTheme="minorEastAsia" w:hAnsiTheme="minorEastAsia" w:eastAsiaTheme="minorEastAsia" w:cstheme="minorEastAsia"/>
                <w:sz w:val="24"/>
                <w:szCs w:val="20"/>
              </w:rPr>
              <w:t>7.1.5</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4"/>
                <w:szCs w:val="20"/>
              </w:rPr>
              <w:t>经查：公司编制的“</w:t>
            </w:r>
            <w:r>
              <w:rPr>
                <w:rFonts w:hint="eastAsia" w:asciiTheme="minorEastAsia" w:hAnsiTheme="minorEastAsia" w:eastAsiaTheme="minorEastAsia" w:cstheme="minorEastAsia"/>
                <w:color w:val="auto"/>
                <w:sz w:val="24"/>
                <w:szCs w:val="20"/>
                <w:lang w:eastAsia="zh-CN"/>
              </w:rPr>
              <w:t>监视和测量资源控制程序</w:t>
            </w:r>
            <w:r>
              <w:rPr>
                <w:rFonts w:hint="eastAsia" w:asciiTheme="minorEastAsia" w:hAnsiTheme="minorEastAsia" w:eastAsiaTheme="minorEastAsia" w:cstheme="minorEastAsia"/>
                <w:color w:val="auto"/>
                <w:sz w:val="24"/>
                <w:szCs w:val="20"/>
              </w:rPr>
              <w:t>”，规定了监视和测量资源的管理要求。公司</w:t>
            </w:r>
            <w:r>
              <w:rPr>
                <w:rFonts w:hint="eastAsia" w:asciiTheme="minorEastAsia" w:hAnsiTheme="minorEastAsia" w:eastAsiaTheme="minorEastAsia" w:cstheme="minorEastAsia"/>
                <w:color w:val="auto"/>
                <w:sz w:val="24"/>
                <w:szCs w:val="20"/>
                <w:lang w:val="en-US" w:eastAsia="zh-CN"/>
              </w:rPr>
              <w:t>的经营业务为电力行业计算机信息系统的运行维护服务</w:t>
            </w:r>
            <w:r>
              <w:rPr>
                <w:rFonts w:hint="eastAsia" w:asciiTheme="minorEastAsia" w:hAnsiTheme="minorEastAsia" w:eastAsiaTheme="minorEastAsia" w:cstheme="minorEastAsia"/>
                <w:color w:val="auto"/>
                <w:sz w:val="24"/>
                <w:szCs w:val="20"/>
              </w:rPr>
              <w:t>，</w:t>
            </w:r>
            <w:r>
              <w:rPr>
                <w:rFonts w:hint="eastAsia" w:asciiTheme="minorEastAsia" w:hAnsiTheme="minorEastAsia" w:eastAsiaTheme="minorEastAsia" w:cstheme="minorEastAsia"/>
                <w:color w:val="auto"/>
                <w:sz w:val="24"/>
                <w:szCs w:val="20"/>
                <w:lang w:val="en-US" w:eastAsia="zh-CN"/>
              </w:rPr>
              <w:t>暂不需要监视和测量设备</w:t>
            </w:r>
            <w:r>
              <w:rPr>
                <w:rFonts w:hint="eastAsia" w:asciiTheme="minorEastAsia" w:hAnsiTheme="minorEastAsia" w:eastAsiaTheme="minorEastAsia" w:cstheme="minorEastAsia"/>
                <w:color w:val="auto"/>
                <w:sz w:val="24"/>
                <w:szCs w:val="20"/>
              </w:rPr>
              <w:t>。</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color w:val="auto"/>
                <w:sz w:val="24"/>
                <w:szCs w:val="20"/>
              </w:rPr>
              <w:t>公司</w:t>
            </w:r>
            <w:r>
              <w:rPr>
                <w:rFonts w:hint="eastAsia" w:asciiTheme="minorEastAsia" w:hAnsiTheme="minorEastAsia" w:eastAsiaTheme="minorEastAsia" w:cstheme="minorEastAsia"/>
                <w:color w:val="auto"/>
                <w:sz w:val="24"/>
                <w:szCs w:val="20"/>
                <w:lang w:val="en-US" w:eastAsia="zh-CN"/>
              </w:rPr>
              <w:t>所用的</w:t>
            </w:r>
            <w:r>
              <w:rPr>
                <w:rFonts w:hint="eastAsia" w:asciiTheme="minorEastAsia" w:hAnsiTheme="minorEastAsia" w:eastAsiaTheme="minorEastAsia" w:cstheme="minorEastAsia"/>
                <w:color w:val="auto"/>
                <w:sz w:val="24"/>
                <w:szCs w:val="20"/>
              </w:rPr>
              <w:t>计算机软件</w:t>
            </w:r>
            <w:r>
              <w:rPr>
                <w:rFonts w:hint="eastAsia" w:asciiTheme="minorEastAsia" w:hAnsiTheme="minorEastAsia" w:eastAsiaTheme="minorEastAsia" w:cstheme="minorEastAsia"/>
                <w:color w:val="auto"/>
                <w:sz w:val="24"/>
                <w:szCs w:val="20"/>
                <w:lang w:val="en-US" w:eastAsia="zh-CN"/>
              </w:rPr>
              <w:t>为《统一权限管理平台》</w:t>
            </w:r>
            <w:r>
              <w:rPr>
                <w:rFonts w:hint="eastAsia" w:asciiTheme="minorEastAsia" w:hAnsiTheme="minorEastAsia" w:eastAsiaTheme="minorEastAsia" w:cstheme="minorEastAsia"/>
                <w:color w:val="auto"/>
                <w:sz w:val="24"/>
                <w:szCs w:val="20"/>
              </w:rPr>
              <w:t>用于</w:t>
            </w:r>
            <w:r>
              <w:rPr>
                <w:rFonts w:hint="eastAsia" w:asciiTheme="minorEastAsia" w:hAnsiTheme="minorEastAsia" w:eastAsiaTheme="minorEastAsia" w:cstheme="minorEastAsia"/>
                <w:color w:val="auto"/>
                <w:sz w:val="24"/>
                <w:szCs w:val="20"/>
                <w:lang w:val="en-US" w:eastAsia="zh-CN"/>
              </w:rPr>
              <w:t>系统运维服务，此软件由客户提供使用</w:t>
            </w:r>
            <w:r>
              <w:rPr>
                <w:rFonts w:hint="eastAsia" w:asciiTheme="minorEastAsia" w:hAnsiTheme="minorEastAsia" w:eastAsiaTheme="minorEastAsia" w:cstheme="minorEastAsia"/>
                <w:color w:val="auto"/>
                <w:sz w:val="24"/>
                <w:szCs w:val="20"/>
              </w:rPr>
              <w:t>。</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运行策划和控制</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0"/>
                <w:lang w:val="en-US" w:eastAsia="zh-CN"/>
              </w:rPr>
              <w:t>Q</w:t>
            </w:r>
            <w:r>
              <w:rPr>
                <w:rFonts w:hint="eastAsia" w:asciiTheme="minorEastAsia" w:hAnsiTheme="minorEastAsia" w:eastAsiaTheme="minorEastAsia" w:cstheme="minorEastAsia"/>
                <w:sz w:val="24"/>
                <w:szCs w:val="20"/>
              </w:rPr>
              <w:t>8.1</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产品实现的策划主要由</w:t>
            </w:r>
            <w:r>
              <w:rPr>
                <w:rFonts w:hint="eastAsia" w:asciiTheme="minorEastAsia" w:hAnsiTheme="minorEastAsia" w:eastAsiaTheme="minorEastAsia" w:cstheme="minorEastAsia"/>
                <w:sz w:val="24"/>
                <w:szCs w:val="24"/>
                <w:lang w:eastAsia="zh-CN"/>
              </w:rPr>
              <w:t>工程技术部</w:t>
            </w:r>
            <w:r>
              <w:rPr>
                <w:rFonts w:hint="eastAsia" w:asciiTheme="minorEastAsia" w:hAnsiTheme="minorEastAsia" w:eastAsiaTheme="minorEastAsia" w:cstheme="minorEastAsia"/>
                <w:sz w:val="24"/>
                <w:szCs w:val="24"/>
              </w:rPr>
              <w:t>负责人完成，过程策划包含了实现产品所需达到的质量目标和要求，公司主要依据客户技术要求、</w:t>
            </w:r>
            <w:r>
              <w:rPr>
                <w:rFonts w:hint="eastAsia" w:asciiTheme="minorEastAsia" w:hAnsiTheme="minorEastAsia" w:eastAsiaTheme="minorEastAsia" w:cstheme="minorEastAsia"/>
                <w:sz w:val="24"/>
                <w:szCs w:val="24"/>
                <w:lang w:eastAsia="zh-CN"/>
              </w:rPr>
              <w:t>《电力行业数据灾备系统存储监控技术规范》DL/T 1597-2016、《电力行业信息化标准体系》DL/T 398-2010、《电力行业词汇 第11部分：事故、保护、安全和可靠性》DL/T 1033.11-2014、《电力行业词汇 第2部分:电力系统》DL/T 1033.2-2006、《电力行业统计数据接口规范》DL/T 1450-2015</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eastAsiaTheme="minorEastAsia" w:cstheme="minorEastAsia"/>
                <w:sz w:val="24"/>
                <w:szCs w:val="24"/>
              </w:rPr>
              <w:t>进行</w:t>
            </w:r>
            <w:r>
              <w:rPr>
                <w:rFonts w:hint="eastAsia" w:asciiTheme="minorEastAsia" w:hAnsiTheme="minorEastAsia" w:eastAsiaTheme="minorEastAsia" w:cstheme="minorEastAsia"/>
                <w:sz w:val="24"/>
                <w:szCs w:val="24"/>
                <w:lang w:eastAsia="zh-CN"/>
              </w:rPr>
              <w:t>电力行业计算机信息系统的运行维护服务</w:t>
            </w:r>
            <w:r>
              <w:rPr>
                <w:rFonts w:hint="eastAsia" w:asciiTheme="minorEastAsia" w:hAnsiTheme="minorEastAsia" w:eastAsiaTheme="minorEastAsia" w:cstheme="minorEastAsia"/>
                <w:sz w:val="24"/>
                <w:szCs w:val="24"/>
              </w:rPr>
              <w:t>，编制了相应的过程文件：</w:t>
            </w:r>
          </w:p>
          <w:p>
            <w:pPr>
              <w:keepNext w:val="0"/>
              <w:keepLines w:val="0"/>
              <w:widowControl/>
              <w:numPr>
                <w:ilvl w:val="0"/>
                <w:numId w:val="1"/>
              </w:numPr>
              <w:suppressLineNumbers w:val="0"/>
              <w:spacing w:before="0" w:beforeAutospacing="0" w:after="0" w:afterAutospacing="0" w:line="360" w:lineRule="auto"/>
              <w:ind w:right="5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编制了</w:t>
            </w:r>
            <w:r>
              <w:rPr>
                <w:rFonts w:hint="eastAsia" w:asciiTheme="minorEastAsia" w:hAnsiTheme="minorEastAsia" w:eastAsiaTheme="minorEastAsia" w:cstheme="minorEastAsia"/>
                <w:sz w:val="24"/>
                <w:szCs w:val="24"/>
                <w:lang w:val="en-US" w:eastAsia="zh-CN"/>
              </w:rPr>
              <w:t>技术服务</w:t>
            </w:r>
            <w:r>
              <w:rPr>
                <w:rFonts w:hint="eastAsia" w:asciiTheme="minorEastAsia" w:hAnsiTheme="minorEastAsia" w:eastAsiaTheme="minorEastAsia" w:cstheme="minorEastAsia"/>
                <w:sz w:val="24"/>
                <w:szCs w:val="24"/>
              </w:rPr>
              <w:t>过程流程；</w:t>
            </w:r>
          </w:p>
          <w:p>
            <w:pPr>
              <w:keepNext w:val="0"/>
              <w:keepLines w:val="0"/>
              <w:widowControl/>
              <w:numPr>
                <w:ilvl w:val="0"/>
                <w:numId w:val="1"/>
              </w:numPr>
              <w:suppressLineNumbers w:val="0"/>
              <w:spacing w:before="0" w:beforeAutospacing="0" w:after="0" w:afterAutospacing="0" w:line="360" w:lineRule="auto"/>
              <w:ind w:right="5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w:t>
            </w:r>
            <w:r>
              <w:rPr>
                <w:rFonts w:hint="eastAsia" w:asciiTheme="minorEastAsia" w:hAnsiTheme="minorEastAsia" w:eastAsiaTheme="minorEastAsia" w:cstheme="minorEastAsia"/>
                <w:sz w:val="24"/>
                <w:szCs w:val="24"/>
                <w:lang w:val="en-US" w:eastAsia="zh-CN"/>
              </w:rPr>
              <w:t>技术服务</w:t>
            </w:r>
            <w:r>
              <w:rPr>
                <w:rFonts w:hint="eastAsia" w:asciiTheme="minorEastAsia" w:hAnsiTheme="minorEastAsia" w:eastAsiaTheme="minorEastAsia" w:cstheme="minorEastAsia"/>
                <w:sz w:val="24"/>
                <w:szCs w:val="24"/>
              </w:rPr>
              <w:t>过程制定了作业指导书；</w:t>
            </w:r>
          </w:p>
          <w:p>
            <w:pPr>
              <w:keepNext w:val="0"/>
              <w:keepLines w:val="0"/>
              <w:widowControl/>
              <w:numPr>
                <w:ilvl w:val="0"/>
                <w:numId w:val="1"/>
              </w:numPr>
              <w:suppressLineNumbers w:val="0"/>
              <w:spacing w:before="0" w:beforeAutospacing="0" w:after="0" w:afterAutospacing="0" w:line="360" w:lineRule="auto"/>
              <w:ind w:right="5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规定了</w:t>
            </w:r>
            <w:r>
              <w:rPr>
                <w:rFonts w:hint="eastAsia" w:asciiTheme="minorEastAsia" w:hAnsiTheme="minorEastAsia" w:eastAsiaTheme="minorEastAsia" w:cstheme="minorEastAsia"/>
                <w:sz w:val="24"/>
                <w:szCs w:val="24"/>
                <w:lang w:val="en-US" w:eastAsia="zh-CN"/>
              </w:rPr>
              <w:t>服务</w:t>
            </w:r>
            <w:r>
              <w:rPr>
                <w:rFonts w:hint="eastAsia" w:asciiTheme="minorEastAsia" w:hAnsiTheme="minorEastAsia" w:eastAsiaTheme="minorEastAsia" w:cstheme="minorEastAsia"/>
                <w:sz w:val="24"/>
                <w:szCs w:val="24"/>
              </w:rPr>
              <w:t>的检验验收准则；</w:t>
            </w:r>
          </w:p>
          <w:p>
            <w:pPr>
              <w:keepNext w:val="0"/>
              <w:keepLines w:val="0"/>
              <w:widowControl/>
              <w:numPr>
                <w:ilvl w:val="0"/>
                <w:numId w:val="2"/>
              </w:numPr>
              <w:suppressLineNumbers w:val="0"/>
              <w:spacing w:before="0" w:beforeAutospacing="0" w:after="0" w:afterAutospacing="0" w:line="360" w:lineRule="auto"/>
              <w:ind w:left="720" w:leftChars="0" w:right="505" w:righ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对软件系统的技术服务设置了《运维服务方案》、《服务器健康检查记录》、《运维质量考核总结（自查）》、《信息化项目验收报告》等；</w:t>
            </w:r>
          </w:p>
          <w:p>
            <w:pPr>
              <w:keepNext w:val="0"/>
              <w:keepLines w:val="0"/>
              <w:widowControl/>
              <w:numPr>
                <w:ilvl w:val="0"/>
                <w:numId w:val="1"/>
              </w:numPr>
              <w:suppressLineNumbers w:val="0"/>
              <w:spacing w:before="0" w:beforeAutospacing="0" w:after="0" w:afterAutospacing="0" w:line="360" w:lineRule="auto"/>
              <w:ind w:right="5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资源的提供（包括人力、物力、办公设备设施、通讯工具、</w:t>
            </w:r>
            <w:r>
              <w:rPr>
                <w:rFonts w:hint="eastAsia" w:asciiTheme="minorEastAsia" w:hAnsiTheme="minorEastAsia" w:eastAsiaTheme="minorEastAsia" w:cstheme="minorEastAsia"/>
                <w:sz w:val="24"/>
                <w:szCs w:val="24"/>
                <w:lang w:val="en-US" w:eastAsia="zh-CN"/>
              </w:rPr>
              <w:t>软件维护所需的计算机</w:t>
            </w:r>
            <w:r>
              <w:rPr>
                <w:rFonts w:hint="eastAsia" w:asciiTheme="minorEastAsia" w:hAnsiTheme="minorEastAsia" w:eastAsiaTheme="minorEastAsia" w:cstheme="minorEastAsia"/>
                <w:sz w:val="24"/>
                <w:szCs w:val="24"/>
              </w:rPr>
              <w:t>等）。</w:t>
            </w:r>
          </w:p>
          <w:p>
            <w:pPr>
              <w:keepNext w:val="0"/>
              <w:keepLines w:val="0"/>
              <w:suppressLineNumbers w:val="0"/>
              <w:tabs>
                <w:tab w:val="left" w:pos="6597"/>
              </w:tabs>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策划的输出适合于组织的运行。</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4"/>
              </w:rPr>
              <w:t>对于非预期变更，及时进行潜在后果评审，并告知相关人员，目前未发生。经识别企业无外包过程，今后如有发生按照标准8.4条款的要求进行管理控制。</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生产和服务提供的控制</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lang w:val="en-US" w:eastAsia="zh-CN"/>
              </w:rPr>
              <w:t>Q</w:t>
            </w:r>
            <w:r>
              <w:rPr>
                <w:rFonts w:hint="eastAsia" w:asciiTheme="minorEastAsia" w:hAnsiTheme="minorEastAsia" w:eastAsiaTheme="minorEastAsia" w:cstheme="minorEastAsia"/>
                <w:szCs w:val="20"/>
              </w:rPr>
              <w:t>8.5.1</w:t>
            </w:r>
          </w:p>
          <w:p>
            <w:pPr>
              <w:keepNext w:val="0"/>
              <w:keepLines w:val="0"/>
              <w:suppressLineNumbers w:val="0"/>
              <w:spacing w:before="0" w:beforeAutospacing="0" w:after="0" w:afterAutospacing="0" w:line="276" w:lineRule="auto"/>
              <w:ind w:left="0" w:right="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a)、获得生产和服务的信息？</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b）、获得和使用适宜的监视和测量资源？</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c）、实施监视和测量及过程放行的控制？</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line="276" w:lineRule="auto"/>
              <w:ind w:left="0" w:right="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d）、使用适宜的基础设施及工作环境的符性？</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e）、人员的能力能否满足要求？</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line="276" w:lineRule="auto"/>
              <w:ind w:left="0" w:right="0"/>
              <w:rPr>
                <w:rFonts w:hint="eastAsia" w:asciiTheme="minorEastAsia" w:hAnsiTheme="minorEastAsia" w:eastAsiaTheme="minorEastAsia" w:cstheme="minorEastAsia"/>
                <w:szCs w:val="20"/>
                <w:lang w:eastAsia="zh-CN"/>
              </w:rPr>
            </w:pPr>
            <w:r>
              <w:rPr>
                <w:rFonts w:hint="eastAsia" w:asciiTheme="minorEastAsia" w:hAnsiTheme="minorEastAsia" w:eastAsiaTheme="minorEastAsia" w:cstheme="minorEastAsia"/>
                <w:szCs w:val="20"/>
              </w:rPr>
              <w:t>f）、 服务提供需确认过程控制现状的符合性</w:t>
            </w:r>
            <w:r>
              <w:rPr>
                <w:rFonts w:hint="eastAsia" w:asciiTheme="minorEastAsia" w:hAnsiTheme="minorEastAsia" w:eastAsiaTheme="minorEastAsia" w:cstheme="minorEastAsia"/>
                <w:szCs w:val="20"/>
                <w:lang w:eastAsia="zh-CN"/>
              </w:rPr>
              <w:t>？</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eastAsia="zh-CN"/>
              </w:rPr>
            </w:pPr>
          </w:p>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g）、采取措施防止人为错误？</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line="276" w:lineRule="auto"/>
              <w:ind w:left="0" w:right="0"/>
              <w:jc w:val="left"/>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Cs w:val="20"/>
              </w:rPr>
              <w:t>h)、产品放行、交付及交付后的活动？</w:t>
            </w:r>
          </w:p>
        </w:tc>
        <w:tc>
          <w:tcPr>
            <w:tcW w:w="10004" w:type="dxa"/>
          </w:tcPr>
          <w:p>
            <w:pPr>
              <w:keepNext w:val="0"/>
              <w:keepLines w:val="0"/>
              <w:numPr>
                <w:ilvl w:val="0"/>
                <w:numId w:val="0"/>
              </w:numPr>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查公司Q：</w:t>
            </w:r>
            <w:r>
              <w:rPr>
                <w:rFonts w:hint="eastAsia" w:asciiTheme="minorEastAsia" w:hAnsiTheme="minorEastAsia" w:eastAsiaTheme="minorEastAsia" w:cstheme="minorEastAsia"/>
                <w:b/>
                <w:bCs/>
                <w:sz w:val="24"/>
                <w:szCs w:val="24"/>
                <w:lang w:eastAsia="zh-CN"/>
              </w:rPr>
              <w:t>电力行业计算机信息系统的运行维护服务</w:t>
            </w:r>
            <w:r>
              <w:rPr>
                <w:rFonts w:hint="eastAsia" w:asciiTheme="minorEastAsia" w:hAnsiTheme="minorEastAsia" w:eastAsiaTheme="minorEastAsia" w:cstheme="minorEastAsia"/>
                <w:sz w:val="24"/>
                <w:szCs w:val="24"/>
                <w:lang w:val="en-US" w:eastAsia="zh-CN"/>
              </w:rPr>
              <w:t>相关内容如下：</w:t>
            </w:r>
          </w:p>
          <w:p>
            <w:pPr>
              <w:keepNext w:val="0"/>
              <w:keepLines w:val="0"/>
              <w:numPr>
                <w:ilvl w:val="0"/>
                <w:numId w:val="0"/>
              </w:numPr>
              <w:suppressLineNumbers w:val="0"/>
              <w:spacing w:before="0" w:beforeAutospacing="0" w:after="0" w:afterAutospacing="0" w:line="360" w:lineRule="auto"/>
              <w:ind w:left="0" w:right="0" w:firstLine="482" w:firstLineChars="200"/>
              <w:jc w:val="left"/>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b/>
                <w:bCs/>
                <w:sz w:val="24"/>
                <w:szCs w:val="24"/>
              </w:rPr>
              <w:t>a)、</w:t>
            </w:r>
            <w:r>
              <w:rPr>
                <w:rFonts w:hint="eastAsia" w:asciiTheme="minorEastAsia" w:hAnsiTheme="minorEastAsia" w:eastAsiaTheme="minorEastAsia" w:cstheme="minorEastAsia"/>
                <w:sz w:val="24"/>
                <w:szCs w:val="24"/>
                <w:lang w:val="en-US" w:eastAsia="zh-CN"/>
              </w:rPr>
              <w:t>公司从事</w:t>
            </w:r>
            <w:r>
              <w:rPr>
                <w:rFonts w:hint="eastAsia" w:asciiTheme="minorEastAsia" w:hAnsiTheme="minorEastAsia" w:eastAsiaTheme="minorEastAsia" w:cstheme="minorEastAsia"/>
                <w:sz w:val="24"/>
                <w:szCs w:val="24"/>
                <w:lang w:eastAsia="zh-CN"/>
              </w:rPr>
              <w:t>电力行业计算机信息系统的运行维护服务通常依据客户技术要求、《电力行业数据灾备系统存储监控技术规范》DL/T 1597-2016、《电力行业信息化标准体系》DL/T 398-2010、《电力行业词汇 第11部分：事故、保护、安全和可靠性》DL/T 1033.11-2014、《电力行业词汇 第2部分:电力系统》DL/T 1033.2-2006、《电力行业统计数据接口规范》DL/T 1450-2015</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eastAsiaTheme="minorEastAsia" w:cstheme="minorEastAsia"/>
                <w:sz w:val="24"/>
                <w:szCs w:val="24"/>
                <w:lang w:eastAsia="zh-CN"/>
              </w:rPr>
              <w:t>进行</w:t>
            </w:r>
            <w:r>
              <w:rPr>
                <w:rFonts w:hint="eastAsia" w:asciiTheme="minorEastAsia" w:hAnsiTheme="minorEastAsia" w:eastAsiaTheme="minorEastAsia" w:cstheme="minorEastAsia"/>
                <w:sz w:val="24"/>
                <w:szCs w:val="24"/>
                <w:lang w:val="en-US" w:eastAsia="zh-CN"/>
              </w:rPr>
              <w:t>维护服务</w:t>
            </w:r>
            <w:r>
              <w:rPr>
                <w:rFonts w:hint="eastAsia" w:asciiTheme="minorEastAsia" w:hAnsiTheme="minorEastAsia" w:eastAsiaTheme="minorEastAsia" w:cstheme="minorEastAsia"/>
                <w:sz w:val="24"/>
                <w:szCs w:val="20"/>
              </w:rPr>
              <w:t>。</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运行维护服务</w:t>
            </w:r>
            <w:r>
              <w:rPr>
                <w:rFonts w:hint="eastAsia" w:asciiTheme="minorEastAsia" w:hAnsiTheme="minorEastAsia" w:eastAsiaTheme="minorEastAsia" w:cstheme="minorEastAsia"/>
                <w:sz w:val="24"/>
                <w:szCs w:val="24"/>
              </w:rPr>
              <w:t>基本流程是：</w:t>
            </w:r>
            <w:r>
              <w:rPr>
                <w:rFonts w:hint="eastAsia" w:asciiTheme="minorEastAsia" w:hAnsiTheme="minorEastAsia" w:eastAsiaTheme="minorEastAsia" w:cstheme="minorEastAsia"/>
                <w:sz w:val="24"/>
                <w:szCs w:val="24"/>
                <w:lang w:eastAsia="zh-CN"/>
              </w:rPr>
              <w:t>签订服务合同-编制维护</w:t>
            </w:r>
            <w:r>
              <w:rPr>
                <w:rFonts w:hint="eastAsia" w:asciiTheme="minorEastAsia" w:hAnsiTheme="minorEastAsia" w:eastAsiaTheme="minorEastAsia" w:cstheme="minorEastAsia"/>
                <w:sz w:val="24"/>
                <w:szCs w:val="24"/>
                <w:lang w:val="en-US" w:eastAsia="zh-CN"/>
              </w:rPr>
              <w:t>方案</w:t>
            </w:r>
            <w:r>
              <w:rPr>
                <w:rFonts w:hint="eastAsia" w:asciiTheme="minorEastAsia" w:hAnsiTheme="minorEastAsia" w:eastAsiaTheme="minorEastAsia" w:cstheme="minorEastAsia"/>
                <w:sz w:val="24"/>
                <w:szCs w:val="24"/>
                <w:lang w:eastAsia="zh-CN"/>
              </w:rPr>
              <w:t>-日常巡查保养-顾客验收</w:t>
            </w:r>
            <w:r>
              <w:rPr>
                <w:rFonts w:hint="eastAsia" w:asciiTheme="minorEastAsia" w:hAnsiTheme="minorEastAsia" w:eastAsiaTheme="minorEastAsia" w:cstheme="minorEastAsia"/>
                <w:sz w:val="24"/>
                <w:szCs w:val="24"/>
              </w:rPr>
              <w:t>。</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4"/>
              </w:rPr>
              <w:t>公司编制有</w:t>
            </w:r>
            <w:r>
              <w:rPr>
                <w:rFonts w:hint="eastAsia" w:asciiTheme="minorEastAsia" w:hAnsiTheme="minorEastAsia" w:eastAsiaTheme="minorEastAsia" w:cstheme="minorEastAsia"/>
                <w:sz w:val="24"/>
                <w:szCs w:val="24"/>
                <w:lang w:val="en-US" w:eastAsia="zh-CN"/>
              </w:rPr>
              <w:t>《运维服务方案》、《服务器健康检查记录》、《运维质量考核总结（自查）》、《信息化项目验收报告》</w:t>
            </w:r>
            <w:r>
              <w:rPr>
                <w:rFonts w:hint="eastAsia" w:asciiTheme="minorEastAsia" w:hAnsiTheme="minorEastAsia" w:eastAsiaTheme="minorEastAsia" w:cstheme="minorEastAsia"/>
                <w:sz w:val="24"/>
                <w:szCs w:val="24"/>
              </w:rPr>
              <w:t>可以指导并规范员工的实际操作。</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rPr>
              <w:t>查看</w:t>
            </w:r>
            <w:r>
              <w:rPr>
                <w:rFonts w:hint="eastAsia" w:asciiTheme="minorEastAsia" w:hAnsiTheme="minorEastAsia" w:eastAsiaTheme="minorEastAsia" w:cstheme="minorEastAsia"/>
                <w:sz w:val="24"/>
                <w:szCs w:val="24"/>
                <w:lang w:val="en-US" w:eastAsia="zh-CN"/>
              </w:rPr>
              <w:t>公司与客户</w:t>
            </w:r>
            <w:r>
              <w:rPr>
                <w:rFonts w:hint="eastAsia"/>
                <w:sz w:val="24"/>
                <w:szCs w:val="24"/>
                <w:lang w:val="en-US" w:eastAsia="zh-CN"/>
              </w:rPr>
              <w:t>上海格蒂电力科技有限公司</w:t>
            </w:r>
            <w:r>
              <w:rPr>
                <w:rFonts w:hint="eastAsia" w:asciiTheme="minorEastAsia" w:hAnsiTheme="minorEastAsia" w:eastAsiaTheme="minorEastAsia" w:cstheme="minorEastAsia"/>
                <w:color w:val="auto"/>
                <w:sz w:val="24"/>
                <w:szCs w:val="24"/>
                <w:lang w:val="en-US" w:eastAsia="zh-CN"/>
              </w:rPr>
              <w:t>签订的《</w:t>
            </w:r>
            <w:r>
              <w:rPr>
                <w:rFonts w:hint="eastAsia"/>
                <w:sz w:val="24"/>
                <w:szCs w:val="24"/>
                <w:lang w:val="en-US" w:eastAsia="zh-CN"/>
              </w:rPr>
              <w:t>2021年国网榆林供电公司事物资产数据一致性对应项目</w:t>
            </w:r>
            <w:r>
              <w:rPr>
                <w:rFonts w:hint="eastAsia" w:asciiTheme="minorEastAsia" w:hAnsiTheme="minorEastAsia" w:eastAsiaTheme="minorEastAsia" w:cstheme="minorEastAsia"/>
                <w:color w:val="auto"/>
                <w:sz w:val="24"/>
                <w:szCs w:val="24"/>
                <w:lang w:val="en-US" w:eastAsia="zh-CN"/>
              </w:rPr>
              <w:t>》，明确规定了运行维护服务需完成的工作内容及进度节点安排。</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再查公司于</w:t>
            </w:r>
            <w:r>
              <w:rPr>
                <w:rFonts w:hint="eastAsia"/>
                <w:sz w:val="24"/>
                <w:szCs w:val="24"/>
                <w:lang w:val="en-US" w:eastAsia="zh-CN"/>
              </w:rPr>
              <w:t>陕西朗知方林电子科技有限公司</w:t>
            </w:r>
            <w:r>
              <w:rPr>
                <w:rFonts w:hint="eastAsia"/>
                <w:sz w:val="24"/>
                <w:szCs w:val="24"/>
              </w:rPr>
              <w:t>拟</w:t>
            </w:r>
            <w:r>
              <w:rPr>
                <w:rFonts w:hint="eastAsia"/>
                <w:sz w:val="24"/>
                <w:szCs w:val="24"/>
                <w:lang w:val="en-US" w:eastAsia="zh-CN"/>
              </w:rPr>
              <w:t>签订</w:t>
            </w:r>
            <w:r>
              <w:rPr>
                <w:rFonts w:hint="eastAsia"/>
                <w:sz w:val="24"/>
                <w:szCs w:val="24"/>
              </w:rPr>
              <w:t>：</w:t>
            </w:r>
            <w:r>
              <w:rPr>
                <w:rFonts w:hint="eastAsia"/>
                <w:sz w:val="24"/>
                <w:szCs w:val="24"/>
                <w:lang w:eastAsia="zh-CN"/>
              </w:rPr>
              <w:t>《</w:t>
            </w:r>
            <w:r>
              <w:rPr>
                <w:rFonts w:hint="eastAsia"/>
                <w:sz w:val="24"/>
                <w:szCs w:val="24"/>
              </w:rPr>
              <w:t>新疆地区</w:t>
            </w:r>
            <w:r>
              <w:rPr>
                <w:rFonts w:hint="eastAsia"/>
                <w:sz w:val="24"/>
                <w:szCs w:val="24"/>
                <w:lang w:val="en-US" w:eastAsia="zh-CN"/>
              </w:rPr>
              <w:t>访客身份管理及应用延申项目》</w:t>
            </w:r>
            <w:r>
              <w:rPr>
                <w:rFonts w:hint="eastAsia" w:asciiTheme="minorEastAsia" w:hAnsiTheme="minorEastAsia" w:eastAsiaTheme="minorEastAsia" w:cstheme="minorEastAsia"/>
                <w:color w:val="auto"/>
                <w:sz w:val="24"/>
                <w:szCs w:val="24"/>
                <w:lang w:val="en-US" w:eastAsia="zh-CN"/>
              </w:rPr>
              <w:t>，明确规定了运行维护服务需完成的工作内容及进度节点安排。</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sz w:val="24"/>
                <w:szCs w:val="24"/>
                <w:lang w:val="en-US" w:eastAsia="zh-CN"/>
              </w:rPr>
              <w:t>b)、公司编制的“监视和测量资源控制程序”，规定了监视和测</w:t>
            </w:r>
            <w:r>
              <w:rPr>
                <w:rFonts w:hint="eastAsia" w:asciiTheme="minorEastAsia" w:hAnsiTheme="minorEastAsia" w:eastAsiaTheme="minorEastAsia" w:cstheme="minorEastAsia"/>
                <w:sz w:val="24"/>
                <w:szCs w:val="20"/>
              </w:rPr>
              <w:t>量资源的管理要求。公司为</w:t>
            </w:r>
            <w:r>
              <w:rPr>
                <w:rFonts w:hint="eastAsia" w:asciiTheme="minorEastAsia" w:hAnsiTheme="minorEastAsia" w:eastAsiaTheme="minorEastAsia" w:cstheme="minorEastAsia"/>
                <w:sz w:val="24"/>
                <w:szCs w:val="20"/>
                <w:lang w:val="en-US" w:eastAsia="zh-CN"/>
              </w:rPr>
              <w:t>软件</w:t>
            </w:r>
            <w:r>
              <w:rPr>
                <w:rFonts w:hint="eastAsia" w:asciiTheme="minorEastAsia" w:hAnsiTheme="minorEastAsia" w:eastAsiaTheme="minorEastAsia" w:cstheme="minorEastAsia"/>
                <w:sz w:val="24"/>
                <w:szCs w:val="20"/>
              </w:rPr>
              <w:t>检测配置了相应</w:t>
            </w:r>
            <w:r>
              <w:rPr>
                <w:rFonts w:hint="eastAsia" w:asciiTheme="minorEastAsia" w:hAnsiTheme="minorEastAsia" w:eastAsiaTheme="minorEastAsia" w:cstheme="minorEastAsia"/>
                <w:sz w:val="24"/>
                <w:szCs w:val="20"/>
                <w:lang w:val="en-US" w:eastAsia="zh-CN"/>
              </w:rPr>
              <w:t>监测软件</w:t>
            </w:r>
            <w:r>
              <w:rPr>
                <w:rFonts w:hint="eastAsia" w:asciiTheme="minorEastAsia" w:hAnsiTheme="minorEastAsia" w:eastAsiaTheme="minorEastAsia" w:cstheme="minorEastAsia"/>
                <w:sz w:val="24"/>
                <w:szCs w:val="20"/>
              </w:rPr>
              <w:t>。</w:t>
            </w:r>
          </w:p>
          <w:p>
            <w:pPr>
              <w:keepNext w:val="0"/>
              <w:keepLines w:val="0"/>
              <w:suppressLineNumbers w:val="0"/>
              <w:tabs>
                <w:tab w:val="left" w:pos="-52"/>
              </w:tabs>
              <w:spacing w:before="0" w:beforeAutospacing="0" w:after="0" w:afterAutospacing="0" w:line="360" w:lineRule="auto"/>
              <w:ind w:left="0" w:right="0" w:firstLine="120" w:firstLineChars="50"/>
              <w:rPr>
                <w:rFonts w:hint="eastAsia"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sz w:val="24"/>
                <w:szCs w:val="20"/>
                <w:lang w:val="en-US" w:eastAsia="zh-CN"/>
              </w:rPr>
              <w:t xml:space="preserve">  </w:t>
            </w:r>
            <w:r>
              <w:rPr>
                <w:rFonts w:hint="eastAsia" w:asciiTheme="minorEastAsia" w:hAnsiTheme="minorEastAsia" w:eastAsiaTheme="minorEastAsia" w:cstheme="minorEastAsia"/>
                <w:color w:val="auto"/>
                <w:sz w:val="24"/>
                <w:szCs w:val="20"/>
              </w:rPr>
              <w:t>查看的用于Q:</w:t>
            </w:r>
            <w:r>
              <w:rPr>
                <w:rFonts w:hint="eastAsia" w:asciiTheme="minorEastAsia" w:hAnsiTheme="minorEastAsia" w:eastAsiaTheme="minorEastAsia" w:cstheme="minorEastAsia"/>
                <w:b/>
                <w:bCs/>
                <w:color w:val="auto"/>
                <w:sz w:val="24"/>
                <w:szCs w:val="24"/>
                <w:lang w:eastAsia="zh-CN"/>
              </w:rPr>
              <w:t>电力行业计算机信息系统的运行维护服务</w:t>
            </w:r>
            <w:r>
              <w:rPr>
                <w:rFonts w:hint="eastAsia" w:asciiTheme="minorEastAsia" w:hAnsiTheme="minorEastAsia" w:eastAsiaTheme="minorEastAsia" w:cstheme="minorEastAsia"/>
                <w:color w:val="auto"/>
                <w:sz w:val="24"/>
                <w:szCs w:val="20"/>
              </w:rPr>
              <w:t>用的</w:t>
            </w:r>
            <w:r>
              <w:rPr>
                <w:rFonts w:hint="eastAsia" w:asciiTheme="minorEastAsia" w:hAnsiTheme="minorEastAsia" w:eastAsiaTheme="minorEastAsia" w:cstheme="minorEastAsia"/>
                <w:color w:val="auto"/>
                <w:sz w:val="24"/>
                <w:szCs w:val="20"/>
                <w:lang w:val="en-US" w:eastAsia="zh-CN"/>
              </w:rPr>
              <w:t>软件为客户提供的《统一权限管理平台》</w:t>
            </w:r>
            <w:r>
              <w:rPr>
                <w:rFonts w:hint="eastAsia" w:asciiTheme="minorEastAsia" w:hAnsiTheme="minorEastAsia" w:eastAsiaTheme="minorEastAsia" w:cstheme="minorEastAsia"/>
                <w:color w:val="auto"/>
                <w:sz w:val="24"/>
                <w:szCs w:val="20"/>
              </w:rPr>
              <w:t>，</w:t>
            </w:r>
            <w:r>
              <w:rPr>
                <w:rFonts w:hint="eastAsia" w:asciiTheme="minorEastAsia" w:hAnsiTheme="minorEastAsia" w:eastAsiaTheme="minorEastAsia" w:cstheme="minorEastAsia"/>
                <w:color w:val="auto"/>
                <w:sz w:val="24"/>
                <w:szCs w:val="20"/>
                <w:lang w:val="en-US" w:eastAsia="zh-CN"/>
              </w:rPr>
              <w:t>软件经过工程技术部的确认</w:t>
            </w:r>
            <w:r>
              <w:rPr>
                <w:rFonts w:hint="eastAsia" w:asciiTheme="minorEastAsia" w:hAnsiTheme="minorEastAsia" w:eastAsiaTheme="minorEastAsia" w:cstheme="minorEastAsia"/>
                <w:color w:val="auto"/>
                <w:sz w:val="24"/>
                <w:szCs w:val="20"/>
              </w:rPr>
              <w:t>上述监视和测量设备</w:t>
            </w:r>
            <w:r>
              <w:rPr>
                <w:rFonts w:hint="eastAsia" w:asciiTheme="minorEastAsia" w:hAnsiTheme="minorEastAsia" w:eastAsiaTheme="minorEastAsia" w:cstheme="minorEastAsia"/>
                <w:color w:val="auto"/>
                <w:sz w:val="24"/>
                <w:szCs w:val="20"/>
                <w:lang w:val="en-US" w:eastAsia="zh-CN"/>
              </w:rPr>
              <w:t>能</w:t>
            </w:r>
            <w:r>
              <w:rPr>
                <w:rFonts w:hint="eastAsia" w:asciiTheme="minorEastAsia" w:hAnsiTheme="minorEastAsia" w:eastAsiaTheme="minorEastAsia" w:cstheme="minorEastAsia"/>
                <w:color w:val="auto"/>
                <w:sz w:val="24"/>
                <w:szCs w:val="20"/>
              </w:rPr>
              <w:t>满足产品测量需求。</w:t>
            </w:r>
          </w:p>
          <w:p>
            <w:pPr>
              <w:keepNext w:val="0"/>
              <w:keepLines w:val="0"/>
              <w:suppressLineNumbers w:val="0"/>
              <w:tabs>
                <w:tab w:val="left" w:pos="-52"/>
              </w:tabs>
              <w:spacing w:before="0" w:beforeAutospacing="0" w:after="0" w:afterAutospacing="0" w:line="360" w:lineRule="auto"/>
              <w:ind w:left="0" w:right="0" w:firstLine="361" w:firstLineChars="15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sz w:val="24"/>
                <w:szCs w:val="24"/>
                <w:lang w:val="en-US" w:eastAsia="zh-CN"/>
              </w:rPr>
              <w:t>c</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val="0"/>
                <w:bCs w:val="0"/>
                <w:sz w:val="24"/>
                <w:szCs w:val="24"/>
                <w:lang w:val="en-US" w:eastAsia="zh-CN"/>
              </w:rPr>
              <w:t>查</w:t>
            </w:r>
            <w:r>
              <w:rPr>
                <w:rFonts w:hint="eastAsia"/>
                <w:sz w:val="24"/>
                <w:szCs w:val="24"/>
                <w:lang w:val="en-US" w:eastAsia="zh-CN"/>
              </w:rPr>
              <w:t>2021年国网榆林供电公司事物资产数据一致性对应项目</w:t>
            </w:r>
            <w:r>
              <w:rPr>
                <w:rFonts w:hint="eastAsia" w:asciiTheme="minorEastAsia" w:hAnsiTheme="minorEastAsia" w:eastAsiaTheme="minorEastAsia" w:cstheme="minorEastAsia"/>
                <w:b w:val="0"/>
                <w:bCs w:val="0"/>
                <w:color w:val="auto"/>
                <w:sz w:val="24"/>
                <w:szCs w:val="24"/>
                <w:lang w:val="en-US" w:eastAsia="zh-CN"/>
              </w:rPr>
              <w:t>的《</w:t>
            </w:r>
            <w:r>
              <w:rPr>
                <w:rFonts w:hint="eastAsia"/>
                <w:sz w:val="24"/>
                <w:szCs w:val="24"/>
                <w:lang w:val="en-US" w:eastAsia="zh-CN"/>
              </w:rPr>
              <w:t>2021年国网榆林供电公司事物资产数据一致性对应实施</w:t>
            </w:r>
            <w:r>
              <w:rPr>
                <w:rFonts w:hint="eastAsia" w:ascii="宋体" w:hAnsi="宋体"/>
                <w:color w:val="auto"/>
                <w:sz w:val="24"/>
                <w:szCs w:val="24"/>
                <w:lang w:val="en-US" w:eastAsia="zh-CN"/>
              </w:rPr>
              <w:t>方案</w:t>
            </w:r>
            <w:r>
              <w:rPr>
                <w:rFonts w:hint="eastAsia" w:asciiTheme="minorEastAsia" w:hAnsiTheme="minorEastAsia" w:eastAsiaTheme="minorEastAsia" w:cstheme="minorEastAsia"/>
                <w:b w:val="0"/>
                <w:bCs w:val="0"/>
                <w:color w:val="auto"/>
                <w:sz w:val="24"/>
                <w:szCs w:val="24"/>
                <w:lang w:val="en-US" w:eastAsia="zh-CN"/>
              </w:rPr>
              <w:t>》，工程技术部负责人史婷婷编制，由客户项目负责人王腾飞审核。</w:t>
            </w:r>
          </w:p>
          <w:p>
            <w:pPr>
              <w:pStyle w:val="2"/>
              <w:keepNext w:val="0"/>
              <w:keepLines w:val="0"/>
              <w:suppressLineNumbers w:val="0"/>
              <w:spacing w:before="0" w:beforeAutospacing="0" w:after="0" w:afterAutospacing="0"/>
              <w:ind w:left="0" w:right="0"/>
              <w:rPr>
                <w:rFonts w:hint="default"/>
                <w:color w:val="auto"/>
                <w:szCs w:val="20"/>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宋体" w:hAnsi="宋体"/>
                <w:color w:val="auto"/>
                <w:sz w:val="24"/>
                <w:szCs w:val="24"/>
                <w:lang w:val="en-US" w:eastAsia="zh-CN"/>
              </w:rPr>
              <w:t>运维服务方案主要包含：运维人员组织架构、具体运维内容和服务范围、运维管理流程和管理办法、系统运维级别和服务时间。</w:t>
            </w:r>
          </w:p>
          <w:p>
            <w:pPr>
              <w:keepNext w:val="0"/>
              <w:keepLines w:val="0"/>
              <w:suppressLineNumbers w:val="0"/>
              <w:spacing w:before="0" w:beforeAutospacing="0" w:after="0" w:afterAutospacing="0" w:line="360" w:lineRule="auto"/>
              <w:ind w:left="0" w:right="0" w:firstLine="424" w:firstLineChars="202"/>
              <w:rPr>
                <w:rFonts w:hint="eastAsia" w:asciiTheme="minorEastAsia" w:hAnsiTheme="minorEastAsia" w:eastAsiaTheme="minorEastAsia" w:cstheme="minorEastAsia"/>
                <w:b w:val="0"/>
                <w:bCs w:val="0"/>
                <w:sz w:val="24"/>
                <w:szCs w:val="24"/>
                <w:lang w:val="en-US" w:eastAsia="zh-CN"/>
              </w:rPr>
            </w:pPr>
            <w:r>
              <w:drawing>
                <wp:anchor distT="0" distB="0" distL="114300" distR="114300" simplePos="0" relativeHeight="251661312" behindDoc="0" locked="0" layoutInCell="1" allowOverlap="1">
                  <wp:simplePos x="0" y="0"/>
                  <wp:positionH relativeFrom="column">
                    <wp:posOffset>1873250</wp:posOffset>
                  </wp:positionH>
                  <wp:positionV relativeFrom="paragraph">
                    <wp:posOffset>15240</wp:posOffset>
                  </wp:positionV>
                  <wp:extent cx="2348865" cy="3241040"/>
                  <wp:effectExtent l="0" t="0" r="635" b="101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348865" cy="3241040"/>
                          </a:xfrm>
                          <a:prstGeom prst="rect">
                            <a:avLst/>
                          </a:prstGeom>
                          <a:noFill/>
                          <a:ln>
                            <a:noFill/>
                          </a:ln>
                        </pic:spPr>
                      </pic:pic>
                    </a:graphicData>
                  </a:graphic>
                </wp:anchor>
              </w:drawing>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sz w:val="24"/>
                <w:szCs w:val="24"/>
                <w:lang w:val="en-US" w:eastAsia="zh-CN"/>
              </w:rPr>
            </w:pPr>
          </w:p>
          <w:p>
            <w:pPr>
              <w:keepNext w:val="0"/>
              <w:keepLines w:val="0"/>
              <w:suppressLineNumbers w:val="0"/>
              <w:spacing w:before="0" w:beforeAutospacing="0" w:after="0" w:afterAutospacing="0" w:line="360" w:lineRule="auto"/>
              <w:ind w:left="0" w:right="0" w:firstLine="484" w:firstLineChars="202"/>
              <w:rPr>
                <w:rFonts w:hint="eastAsia" w:asciiTheme="minorEastAsia" w:hAnsiTheme="minorEastAsia" w:eastAsiaTheme="minorEastAsia" w:cstheme="minorEastAsia"/>
                <w:b w:val="0"/>
                <w:bCs w:val="0"/>
                <w:sz w:val="24"/>
                <w:szCs w:val="24"/>
                <w:lang w:val="en-US" w:eastAsia="zh-CN"/>
              </w:rPr>
            </w:pPr>
          </w:p>
          <w:p>
            <w:pPr>
              <w:pStyle w:val="2"/>
              <w:rPr>
                <w:rFonts w:hint="eastAsia" w:asciiTheme="minorEastAsia" w:hAnsiTheme="minorEastAsia" w:eastAsiaTheme="minorEastAsia" w:cstheme="minorEastAsia"/>
                <w:b w:val="0"/>
                <w:bCs w:val="0"/>
                <w:sz w:val="24"/>
                <w:szCs w:val="24"/>
                <w:lang w:val="en-US" w:eastAsia="zh-CN"/>
              </w:rPr>
            </w:pPr>
          </w:p>
          <w:p>
            <w:pPr>
              <w:pStyle w:val="2"/>
              <w:rPr>
                <w:rFonts w:hint="eastAsia" w:asciiTheme="minorEastAsia" w:hAnsiTheme="minorEastAsia" w:eastAsiaTheme="minorEastAsia" w:cstheme="minorEastAsia"/>
                <w:b w:val="0"/>
                <w:bCs w:val="0"/>
                <w:sz w:val="24"/>
                <w:szCs w:val="24"/>
                <w:lang w:val="en-US" w:eastAsia="zh-CN"/>
              </w:rPr>
            </w:pPr>
          </w:p>
          <w:p>
            <w:pPr>
              <w:pStyle w:val="2"/>
              <w:rPr>
                <w:rFonts w:hint="eastAsia" w:asciiTheme="minorEastAsia" w:hAnsiTheme="minorEastAsia" w:eastAsiaTheme="minorEastAsia" w:cstheme="minorEastAsia"/>
                <w:b w:val="0"/>
                <w:bCs w:val="0"/>
                <w:sz w:val="24"/>
                <w:szCs w:val="24"/>
                <w:lang w:val="en-US" w:eastAsia="zh-CN"/>
              </w:rPr>
            </w:pPr>
          </w:p>
          <w:p>
            <w:pPr>
              <w:pStyle w:val="2"/>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r>
              <w:drawing>
                <wp:anchor distT="0" distB="0" distL="114300" distR="114300" simplePos="0" relativeHeight="251662336" behindDoc="0" locked="0" layoutInCell="1" allowOverlap="1">
                  <wp:simplePos x="0" y="0"/>
                  <wp:positionH relativeFrom="column">
                    <wp:posOffset>1028700</wp:posOffset>
                  </wp:positionH>
                  <wp:positionV relativeFrom="paragraph">
                    <wp:posOffset>1248410</wp:posOffset>
                  </wp:positionV>
                  <wp:extent cx="3790950" cy="4110355"/>
                  <wp:effectExtent l="0" t="0" r="6350"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790950" cy="4110355"/>
                          </a:xfrm>
                          <a:prstGeom prst="rect">
                            <a:avLst/>
                          </a:prstGeom>
                          <a:noFill/>
                          <a:ln>
                            <a:noFill/>
                          </a:ln>
                        </pic:spPr>
                      </pic:pic>
                    </a:graphicData>
                  </a:graphic>
                </wp:anchor>
              </w:drawing>
            </w:r>
            <w:r>
              <w:rPr>
                <w:rFonts w:hint="eastAsia" w:asciiTheme="minorEastAsia" w:hAnsiTheme="minorEastAsia" w:eastAsiaTheme="minorEastAsia" w:cstheme="minorEastAsia"/>
                <w:b w:val="0"/>
                <w:bCs w:val="0"/>
                <w:sz w:val="24"/>
                <w:szCs w:val="24"/>
                <w:lang w:val="en-US" w:eastAsia="zh-CN"/>
              </w:rPr>
              <w:t>运维服务的内容：1.对榆林实物资产在 ERP系统与 PMS 系统中的台账管理不一致性，数据进行整改，并出具日常整改方案;2.对榆林 ERP系统设备主数据应用、相应实用化指标和其他指标不合格数据进行梳理，治理整改;3.配合处理上级单位下发的临时性实物数据资产相关工作;4.配合业务部门专责开展设备台账的完整性、有效性、与 PMS 系统数据一致性数据质量提升工作。</w:t>
            </w: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pStyle w:val="2"/>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val="0"/>
                <w:sz w:val="24"/>
                <w:szCs w:val="24"/>
                <w:lang w:val="en-US" w:eastAsia="zh-CN"/>
              </w:rPr>
            </w:pPr>
          </w:p>
          <w:p>
            <w:pPr>
              <w:keepNext w:val="0"/>
              <w:keepLines w:val="0"/>
              <w:numPr>
                <w:ilvl w:val="0"/>
                <w:numId w:val="3"/>
              </w:numPr>
              <w:suppressLineNumbers w:val="0"/>
              <w:spacing w:before="0" w:beforeAutospacing="0" w:after="0" w:afterAutospacing="0" w:line="360" w:lineRule="auto"/>
              <w:ind w:left="0" w:right="0" w:firstLine="484" w:firstLineChars="20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查2022年5月的《linux服务器健康检查记录》，服务器管理IP：10.218.1.120。</w:t>
            </w:r>
          </w:p>
          <w:p>
            <w:pPr>
              <w:keepNext w:val="0"/>
              <w:keepLines w:val="0"/>
              <w:numPr>
                <w:ilvl w:val="0"/>
                <w:numId w:val="0"/>
              </w:numPr>
              <w:suppressLineNumbers w:val="0"/>
              <w:spacing w:before="0" w:beforeAutospacing="0" w:after="0" w:afterAutospacing="0" w:line="360" w:lineRule="auto"/>
              <w:ind w:left="0" w:right="0" w:firstLine="480"/>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检查结论：系统运行正常。</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sz w:val="24"/>
                <w:szCs w:val="24"/>
                <w:lang w:val="en-US" w:eastAsia="zh-CN"/>
              </w:rPr>
            </w:pPr>
          </w:p>
          <w:tbl>
            <w:tblPr>
              <w:tblStyle w:val="7"/>
              <w:tblW w:w="90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4"/>
              <w:gridCol w:w="1150"/>
              <w:gridCol w:w="1730"/>
              <w:gridCol w:w="2310"/>
              <w:gridCol w:w="1077"/>
              <w:gridCol w:w="1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4" w:type="dxa"/>
                  <w:noWrap w:val="0"/>
                  <w:vAlign w:val="top"/>
                </w:tcPr>
                <w:p>
                  <w:pPr>
                    <w:keepNext w:val="0"/>
                    <w:keepLines w:val="0"/>
                    <w:suppressLineNumbers w:val="0"/>
                    <w:spacing w:before="0" w:beforeAutospacing="0" w:after="0" w:afterAutospacing="0"/>
                    <w:ind w:left="0" w:right="0"/>
                    <w:jc w:val="center"/>
                    <w:rPr>
                      <w:rFonts w:hint="eastAsia" w:ascii="宋体" w:hAnsi="宋体"/>
                      <w:b/>
                      <w:sz w:val="18"/>
                      <w:szCs w:val="18"/>
                    </w:rPr>
                  </w:pPr>
                  <w:r>
                    <w:rPr>
                      <w:rFonts w:hint="eastAsia" w:ascii="宋体" w:hAnsi="宋体"/>
                      <w:b/>
                      <w:sz w:val="18"/>
                      <w:szCs w:val="18"/>
                    </w:rPr>
                    <w:t>检查大类</w:t>
                  </w:r>
                </w:p>
              </w:tc>
              <w:tc>
                <w:tcPr>
                  <w:tcW w:w="1150" w:type="dxa"/>
                  <w:noWrap w:val="0"/>
                  <w:vAlign w:val="top"/>
                </w:tcPr>
                <w:p>
                  <w:pPr>
                    <w:keepNext w:val="0"/>
                    <w:keepLines w:val="0"/>
                    <w:suppressLineNumbers w:val="0"/>
                    <w:spacing w:before="0" w:beforeAutospacing="0" w:after="0" w:afterAutospacing="0"/>
                    <w:ind w:left="0" w:right="0"/>
                    <w:jc w:val="center"/>
                    <w:rPr>
                      <w:rFonts w:hint="eastAsia" w:ascii="宋体" w:hAnsi="宋体"/>
                      <w:b/>
                      <w:sz w:val="18"/>
                      <w:szCs w:val="18"/>
                    </w:rPr>
                  </w:pPr>
                  <w:r>
                    <w:rPr>
                      <w:rFonts w:hint="eastAsia" w:ascii="宋体" w:hAnsi="宋体"/>
                      <w:b/>
                      <w:sz w:val="18"/>
                      <w:szCs w:val="18"/>
                    </w:rPr>
                    <w:t>检查项</w:t>
                  </w:r>
                </w:p>
              </w:tc>
              <w:tc>
                <w:tcPr>
                  <w:tcW w:w="1730" w:type="dxa"/>
                  <w:noWrap w:val="0"/>
                  <w:vAlign w:val="top"/>
                </w:tcPr>
                <w:p>
                  <w:pPr>
                    <w:keepNext w:val="0"/>
                    <w:keepLines w:val="0"/>
                    <w:suppressLineNumbers w:val="0"/>
                    <w:spacing w:before="0" w:beforeAutospacing="0" w:after="0" w:afterAutospacing="0"/>
                    <w:ind w:left="0" w:right="0"/>
                    <w:jc w:val="center"/>
                    <w:rPr>
                      <w:rFonts w:hint="eastAsia" w:ascii="宋体" w:hAnsi="宋体"/>
                      <w:b/>
                      <w:sz w:val="18"/>
                      <w:szCs w:val="18"/>
                    </w:rPr>
                  </w:pPr>
                  <w:r>
                    <w:rPr>
                      <w:rFonts w:hint="eastAsia" w:ascii="宋体" w:hAnsi="宋体"/>
                      <w:b/>
                      <w:sz w:val="18"/>
                      <w:szCs w:val="18"/>
                    </w:rPr>
                    <w:t>检查方法</w:t>
                  </w:r>
                </w:p>
              </w:tc>
              <w:tc>
                <w:tcPr>
                  <w:tcW w:w="2310" w:type="dxa"/>
                  <w:noWrap w:val="0"/>
                  <w:vAlign w:val="top"/>
                </w:tcPr>
                <w:p>
                  <w:pPr>
                    <w:keepNext w:val="0"/>
                    <w:keepLines w:val="0"/>
                    <w:suppressLineNumbers w:val="0"/>
                    <w:spacing w:before="0" w:beforeAutospacing="0" w:after="0" w:afterAutospacing="0"/>
                    <w:ind w:left="0" w:right="0"/>
                    <w:jc w:val="center"/>
                    <w:rPr>
                      <w:rFonts w:hint="eastAsia" w:ascii="宋体" w:hAnsi="宋体"/>
                      <w:b/>
                      <w:sz w:val="18"/>
                      <w:szCs w:val="18"/>
                    </w:rPr>
                  </w:pPr>
                  <w:r>
                    <w:rPr>
                      <w:rFonts w:hint="eastAsia" w:ascii="宋体" w:hAnsi="宋体"/>
                      <w:b/>
                      <w:sz w:val="18"/>
                      <w:szCs w:val="18"/>
                    </w:rPr>
                    <w:t>正常标准</w:t>
                  </w:r>
                </w:p>
              </w:tc>
              <w:tc>
                <w:tcPr>
                  <w:tcW w:w="1077" w:type="dxa"/>
                  <w:noWrap w:val="0"/>
                  <w:vAlign w:val="top"/>
                </w:tcPr>
                <w:p>
                  <w:pPr>
                    <w:keepNext w:val="0"/>
                    <w:keepLines w:val="0"/>
                    <w:suppressLineNumbers w:val="0"/>
                    <w:spacing w:before="0" w:beforeAutospacing="0" w:after="0" w:afterAutospacing="0"/>
                    <w:ind w:left="0" w:right="0"/>
                    <w:jc w:val="center"/>
                    <w:rPr>
                      <w:rFonts w:hint="eastAsia" w:ascii="宋体" w:hAnsi="宋体"/>
                      <w:b/>
                      <w:sz w:val="18"/>
                      <w:szCs w:val="18"/>
                    </w:rPr>
                  </w:pPr>
                  <w:r>
                    <w:rPr>
                      <w:rFonts w:hint="eastAsia" w:ascii="宋体" w:hAnsi="宋体"/>
                      <w:b/>
                      <w:sz w:val="18"/>
                      <w:szCs w:val="18"/>
                    </w:rPr>
                    <w:t>检查结果</w:t>
                  </w:r>
                </w:p>
              </w:tc>
              <w:tc>
                <w:tcPr>
                  <w:tcW w:w="1635" w:type="dxa"/>
                  <w:noWrap w:val="0"/>
                  <w:vAlign w:val="top"/>
                </w:tcPr>
                <w:p>
                  <w:pPr>
                    <w:keepNext w:val="0"/>
                    <w:keepLines w:val="0"/>
                    <w:suppressLineNumbers w:val="0"/>
                    <w:spacing w:before="0" w:beforeAutospacing="0" w:after="0" w:afterAutospacing="0"/>
                    <w:ind w:left="0" w:right="0"/>
                    <w:jc w:val="center"/>
                    <w:rPr>
                      <w:rFonts w:hint="eastAsia" w:ascii="宋体" w:hAnsi="宋体"/>
                      <w:b/>
                      <w:sz w:val="18"/>
                      <w:szCs w:val="18"/>
                    </w:rPr>
                  </w:pPr>
                  <w:r>
                    <w:rPr>
                      <w:rFonts w:hint="eastAsia" w:ascii="宋体" w:hAnsi="宋体"/>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4" w:type="dxa"/>
                  <w:vMerge w:val="restart"/>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设备外观</w:t>
                  </w:r>
                </w:p>
              </w:tc>
              <w:tc>
                <w:tcPr>
                  <w:tcW w:w="115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前面板报警灯</w:t>
                  </w:r>
                </w:p>
              </w:tc>
              <w:tc>
                <w:tcPr>
                  <w:tcW w:w="173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目视检查</w:t>
                  </w:r>
                </w:p>
              </w:tc>
              <w:tc>
                <w:tcPr>
                  <w:tcW w:w="231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灯灭</w:t>
                  </w:r>
                </w:p>
              </w:tc>
              <w:tc>
                <w:tcPr>
                  <w:tcW w:w="1077"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正常 ■</w:t>
                  </w:r>
                </w:p>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异常 □</w:t>
                  </w:r>
                </w:p>
              </w:tc>
              <w:tc>
                <w:tcPr>
                  <w:tcW w:w="1635"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4" w:type="dxa"/>
                  <w:vMerge w:val="continue"/>
                  <w:noWrap w:val="0"/>
                  <w:vAlign w:val="top"/>
                </w:tcPr>
                <w:p>
                  <w:pPr>
                    <w:keepNext w:val="0"/>
                    <w:keepLines w:val="0"/>
                    <w:suppressLineNumbers w:val="0"/>
                    <w:spacing w:before="0" w:beforeAutospacing="0" w:after="0" w:afterAutospacing="0"/>
                    <w:ind w:left="0" w:right="0"/>
                    <w:rPr>
                      <w:rFonts w:hint="eastAsia" w:ascii="宋体" w:hAnsi="宋体"/>
                      <w:sz w:val="18"/>
                      <w:szCs w:val="18"/>
                    </w:rPr>
                  </w:pPr>
                </w:p>
              </w:tc>
              <w:tc>
                <w:tcPr>
                  <w:tcW w:w="115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电源灯</w:t>
                  </w:r>
                </w:p>
              </w:tc>
              <w:tc>
                <w:tcPr>
                  <w:tcW w:w="173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目视检查</w:t>
                  </w:r>
                </w:p>
              </w:tc>
              <w:tc>
                <w:tcPr>
                  <w:tcW w:w="231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常绿</w:t>
                  </w:r>
                </w:p>
              </w:tc>
              <w:tc>
                <w:tcPr>
                  <w:tcW w:w="1077"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正常 ■</w:t>
                  </w:r>
                </w:p>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异常 □</w:t>
                  </w:r>
                </w:p>
              </w:tc>
              <w:tc>
                <w:tcPr>
                  <w:tcW w:w="1635"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4" w:type="dxa"/>
                  <w:vMerge w:val="continue"/>
                  <w:noWrap w:val="0"/>
                  <w:vAlign w:val="top"/>
                </w:tcPr>
                <w:p>
                  <w:pPr>
                    <w:keepNext w:val="0"/>
                    <w:keepLines w:val="0"/>
                    <w:suppressLineNumbers w:val="0"/>
                    <w:spacing w:before="0" w:beforeAutospacing="0" w:after="0" w:afterAutospacing="0"/>
                    <w:ind w:left="0" w:right="0"/>
                    <w:rPr>
                      <w:rFonts w:hint="eastAsia" w:ascii="宋体" w:hAnsi="宋体"/>
                      <w:sz w:val="18"/>
                      <w:szCs w:val="18"/>
                    </w:rPr>
                  </w:pPr>
                </w:p>
              </w:tc>
              <w:tc>
                <w:tcPr>
                  <w:tcW w:w="115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设备外观</w:t>
                  </w:r>
                </w:p>
              </w:tc>
              <w:tc>
                <w:tcPr>
                  <w:tcW w:w="173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目视检查</w:t>
                  </w:r>
                </w:p>
              </w:tc>
              <w:tc>
                <w:tcPr>
                  <w:tcW w:w="231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无损坏</w:t>
                  </w:r>
                </w:p>
              </w:tc>
              <w:tc>
                <w:tcPr>
                  <w:tcW w:w="1077"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正常 ■</w:t>
                  </w:r>
                </w:p>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异常 □</w:t>
                  </w:r>
                </w:p>
              </w:tc>
              <w:tc>
                <w:tcPr>
                  <w:tcW w:w="1635"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4" w:type="dxa"/>
                  <w:vMerge w:val="continue"/>
                  <w:noWrap w:val="0"/>
                  <w:vAlign w:val="top"/>
                </w:tcPr>
                <w:p>
                  <w:pPr>
                    <w:keepNext w:val="0"/>
                    <w:keepLines w:val="0"/>
                    <w:suppressLineNumbers w:val="0"/>
                    <w:spacing w:before="0" w:beforeAutospacing="0" w:after="0" w:afterAutospacing="0"/>
                    <w:ind w:left="0" w:right="0"/>
                    <w:rPr>
                      <w:rFonts w:hint="eastAsia" w:ascii="宋体" w:hAnsi="宋体"/>
                      <w:sz w:val="18"/>
                      <w:szCs w:val="18"/>
                    </w:rPr>
                  </w:pPr>
                </w:p>
              </w:tc>
              <w:tc>
                <w:tcPr>
                  <w:tcW w:w="115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声音</w:t>
                  </w:r>
                </w:p>
              </w:tc>
              <w:tc>
                <w:tcPr>
                  <w:tcW w:w="173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听</w:t>
                  </w:r>
                </w:p>
              </w:tc>
              <w:tc>
                <w:tcPr>
                  <w:tcW w:w="231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没有异响</w:t>
                  </w:r>
                </w:p>
              </w:tc>
              <w:tc>
                <w:tcPr>
                  <w:tcW w:w="1077"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正常 ■</w:t>
                  </w:r>
                </w:p>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异常 □</w:t>
                  </w:r>
                </w:p>
              </w:tc>
              <w:tc>
                <w:tcPr>
                  <w:tcW w:w="1635"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4"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软件版本检查</w:t>
                  </w:r>
                </w:p>
              </w:tc>
              <w:tc>
                <w:tcPr>
                  <w:tcW w:w="115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linux版本</w:t>
                  </w:r>
                </w:p>
              </w:tc>
              <w:tc>
                <w:tcPr>
                  <w:tcW w:w="173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default" w:ascii="Tahoma" w:hAnsi="Tahoma" w:cs="Tahoma"/>
                      <w:color w:val="000000"/>
                      <w:kern w:val="0"/>
                      <w:sz w:val="18"/>
                      <w:szCs w:val="18"/>
                    </w:rPr>
                    <w:t>uname –</w:t>
                  </w:r>
                  <w:r>
                    <w:rPr>
                      <w:rFonts w:hint="eastAsia" w:ascii="Tahoma" w:hAnsi="Tahoma" w:cs="Tahoma"/>
                      <w:color w:val="000000"/>
                      <w:kern w:val="0"/>
                      <w:sz w:val="18"/>
                      <w:szCs w:val="18"/>
                    </w:rPr>
                    <w:t>a或more /etc/redhat-release</w:t>
                  </w:r>
                </w:p>
              </w:tc>
              <w:tc>
                <w:tcPr>
                  <w:tcW w:w="231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稳定版本，例如</w:t>
                  </w:r>
                  <w:r>
                    <w:rPr>
                      <w:rFonts w:hint="default" w:ascii="宋体" w:hAnsi="宋体"/>
                      <w:sz w:val="18"/>
                      <w:szCs w:val="18"/>
                    </w:rPr>
                    <w:t>RedHat Enterprise Linux Server release 5.4 (Tikanga)</w:t>
                  </w:r>
                </w:p>
              </w:tc>
              <w:tc>
                <w:tcPr>
                  <w:tcW w:w="1077"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正常 ■</w:t>
                  </w:r>
                </w:p>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异常 □</w:t>
                  </w:r>
                </w:p>
              </w:tc>
              <w:tc>
                <w:tcPr>
                  <w:tcW w:w="1635"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4" w:type="dxa"/>
                  <w:noWrap w:val="0"/>
                  <w:vAlign w:val="top"/>
                </w:tcPr>
                <w:p>
                  <w:pPr>
                    <w:keepNext w:val="0"/>
                    <w:keepLines w:val="0"/>
                    <w:suppressLineNumbers w:val="0"/>
                    <w:spacing w:before="0" w:beforeAutospacing="0" w:after="0" w:afterAutospacing="0"/>
                    <w:ind w:left="0" w:right="0"/>
                    <w:rPr>
                      <w:rFonts w:hint="default" w:ascii="宋体" w:hAnsi="宋体"/>
                      <w:sz w:val="18"/>
                      <w:szCs w:val="18"/>
                    </w:rPr>
                  </w:pPr>
                </w:p>
              </w:tc>
              <w:tc>
                <w:tcPr>
                  <w:tcW w:w="115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查看文件系统</w:t>
                  </w:r>
                </w:p>
              </w:tc>
              <w:tc>
                <w:tcPr>
                  <w:tcW w:w="1730" w:type="dxa"/>
                  <w:noWrap w:val="0"/>
                  <w:vAlign w:val="top"/>
                </w:tcPr>
                <w:p>
                  <w:pPr>
                    <w:keepNext w:val="0"/>
                    <w:keepLines w:val="0"/>
                    <w:suppressLineNumbers w:val="0"/>
                    <w:spacing w:before="0" w:beforeAutospacing="0" w:after="0" w:afterAutospacing="0"/>
                    <w:ind w:left="0" w:right="0"/>
                    <w:rPr>
                      <w:rFonts w:hint="default" w:ascii="Tahoma" w:hAnsi="Tahoma" w:cs="Tahoma"/>
                      <w:color w:val="000000"/>
                      <w:kern w:val="0"/>
                      <w:sz w:val="18"/>
                      <w:szCs w:val="18"/>
                    </w:rPr>
                  </w:pPr>
                  <w:r>
                    <w:rPr>
                      <w:rFonts w:hint="eastAsia" w:ascii="Tahoma" w:hAnsi="Tahoma" w:cs="Tahoma"/>
                      <w:color w:val="000000"/>
                      <w:kern w:val="0"/>
                      <w:sz w:val="18"/>
                      <w:szCs w:val="18"/>
                    </w:rPr>
                    <w:t xml:space="preserve">df </w:t>
                  </w:r>
                  <w:r>
                    <w:rPr>
                      <w:rFonts w:hint="default" w:ascii="Tahoma" w:hAnsi="Tahoma" w:cs="Tahoma"/>
                      <w:color w:val="000000"/>
                      <w:kern w:val="0"/>
                      <w:sz w:val="18"/>
                      <w:szCs w:val="18"/>
                    </w:rPr>
                    <w:t>–</w:t>
                  </w:r>
                  <w:r>
                    <w:rPr>
                      <w:rFonts w:hint="eastAsia" w:ascii="Tahoma" w:hAnsi="Tahoma" w:cs="Tahoma"/>
                      <w:color w:val="000000"/>
                      <w:kern w:val="0"/>
                      <w:sz w:val="18"/>
                      <w:szCs w:val="18"/>
                    </w:rPr>
                    <w:t>h</w:t>
                  </w:r>
                </w:p>
              </w:tc>
              <w:tc>
                <w:tcPr>
                  <w:tcW w:w="2310" w:type="dxa"/>
                  <w:noWrap w:val="0"/>
                  <w:vAlign w:val="top"/>
                </w:tcPr>
                <w:p>
                  <w:pPr>
                    <w:keepNext w:val="0"/>
                    <w:keepLines w:val="0"/>
                    <w:suppressLineNumbers w:val="0"/>
                    <w:spacing w:before="0" w:beforeAutospacing="0" w:after="0" w:afterAutospacing="0"/>
                    <w:ind w:left="0" w:right="0"/>
                    <w:jc w:val="left"/>
                    <w:rPr>
                      <w:rFonts w:hint="eastAsia" w:ascii="宋体" w:hAnsi="宋体"/>
                      <w:sz w:val="18"/>
                      <w:szCs w:val="18"/>
                    </w:rPr>
                  </w:pPr>
                  <w:r>
                    <w:rPr>
                      <w:rFonts w:hint="eastAsia" w:ascii="宋体" w:hAnsi="宋体"/>
                      <w:sz w:val="18"/>
                      <w:szCs w:val="18"/>
                    </w:rPr>
                    <w:t>占用率小于90%或剩余空间大于50M</w:t>
                  </w:r>
                </w:p>
              </w:tc>
              <w:tc>
                <w:tcPr>
                  <w:tcW w:w="1077"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正常 ■</w:t>
                  </w:r>
                </w:p>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异常 □</w:t>
                  </w:r>
                </w:p>
              </w:tc>
              <w:tc>
                <w:tcPr>
                  <w:tcW w:w="1635"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4" w:type="dxa"/>
                  <w:noWrap w:val="0"/>
                  <w:vAlign w:val="top"/>
                </w:tcPr>
                <w:p>
                  <w:pPr>
                    <w:keepNext w:val="0"/>
                    <w:keepLines w:val="0"/>
                    <w:suppressLineNumbers w:val="0"/>
                    <w:spacing w:before="0" w:beforeAutospacing="0" w:after="0" w:afterAutospacing="0"/>
                    <w:ind w:left="0" w:right="0"/>
                    <w:rPr>
                      <w:rFonts w:hint="default" w:ascii="宋体" w:hAnsi="宋体"/>
                      <w:sz w:val="18"/>
                      <w:szCs w:val="18"/>
                    </w:rPr>
                  </w:pPr>
                </w:p>
              </w:tc>
              <w:tc>
                <w:tcPr>
                  <w:tcW w:w="115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查看性能</w:t>
                  </w:r>
                </w:p>
              </w:tc>
              <w:tc>
                <w:tcPr>
                  <w:tcW w:w="1730" w:type="dxa"/>
                  <w:noWrap w:val="0"/>
                  <w:vAlign w:val="top"/>
                </w:tcPr>
                <w:p>
                  <w:pPr>
                    <w:keepNext w:val="0"/>
                    <w:keepLines w:val="0"/>
                    <w:suppressLineNumbers w:val="0"/>
                    <w:spacing w:before="0" w:beforeAutospacing="0" w:after="0" w:afterAutospacing="0"/>
                    <w:ind w:left="0" w:right="0"/>
                    <w:rPr>
                      <w:rFonts w:hint="default" w:ascii="Tahoma" w:hAnsi="Tahoma" w:cs="Tahoma"/>
                      <w:color w:val="000000"/>
                      <w:kern w:val="0"/>
                      <w:sz w:val="18"/>
                      <w:szCs w:val="18"/>
                    </w:rPr>
                  </w:pPr>
                  <w:r>
                    <w:rPr>
                      <w:rFonts w:hint="eastAsia" w:ascii="Tahoma" w:hAnsi="Tahoma" w:cs="Tahoma"/>
                      <w:color w:val="000000"/>
                      <w:kern w:val="0"/>
                      <w:sz w:val="18"/>
                      <w:szCs w:val="18"/>
                    </w:rPr>
                    <w:t>vmstat 1 10</w:t>
                  </w:r>
                </w:p>
              </w:tc>
              <w:tc>
                <w:tcPr>
                  <w:tcW w:w="2310" w:type="dxa"/>
                  <w:noWrap w:val="0"/>
                  <w:vAlign w:val="top"/>
                </w:tcPr>
                <w:p>
                  <w:pPr>
                    <w:keepNext w:val="0"/>
                    <w:keepLines w:val="0"/>
                    <w:suppressLineNumbers w:val="0"/>
                    <w:spacing w:before="0" w:beforeAutospacing="0" w:after="0" w:afterAutospacing="0"/>
                    <w:ind w:left="0" w:right="0"/>
                    <w:jc w:val="left"/>
                    <w:rPr>
                      <w:rFonts w:hint="eastAsia" w:ascii="宋体" w:hAnsi="宋体"/>
                      <w:sz w:val="18"/>
                      <w:szCs w:val="18"/>
                    </w:rPr>
                  </w:pPr>
                  <w:r>
                    <w:rPr>
                      <w:rFonts w:hint="eastAsia" w:ascii="宋体" w:hAnsi="宋体"/>
                      <w:sz w:val="18"/>
                      <w:szCs w:val="18"/>
                    </w:rPr>
                    <w:t>CPU id大于30%且procs中r状态都小于5；</w:t>
                  </w:r>
                </w:p>
                <w:p>
                  <w:pPr>
                    <w:keepNext w:val="0"/>
                    <w:keepLines w:val="0"/>
                    <w:suppressLineNumbers w:val="0"/>
                    <w:spacing w:before="0" w:beforeAutospacing="0" w:after="0" w:afterAutospacing="0"/>
                    <w:ind w:left="0" w:right="0"/>
                    <w:jc w:val="left"/>
                    <w:rPr>
                      <w:rFonts w:hint="eastAsia" w:ascii="宋体" w:hAnsi="宋体"/>
                      <w:sz w:val="18"/>
                      <w:szCs w:val="18"/>
                    </w:rPr>
                  </w:pPr>
                  <w:r>
                    <w:rPr>
                      <w:rFonts w:hint="default" w:ascii="宋体" w:hAnsi="宋体"/>
                      <w:sz w:val="18"/>
                      <w:szCs w:val="18"/>
                    </w:rPr>
                    <w:t>K</w:t>
                  </w:r>
                  <w:r>
                    <w:rPr>
                      <w:rFonts w:hint="eastAsia" w:ascii="宋体" w:hAnsi="宋体"/>
                      <w:sz w:val="18"/>
                      <w:szCs w:val="18"/>
                    </w:rPr>
                    <w:t>thr中b状态为0大于7次；</w:t>
                  </w:r>
                </w:p>
                <w:p>
                  <w:pPr>
                    <w:keepNext w:val="0"/>
                    <w:keepLines w:val="0"/>
                    <w:suppressLineNumbers w:val="0"/>
                    <w:spacing w:before="0" w:beforeAutospacing="0" w:after="0" w:afterAutospacing="0"/>
                    <w:ind w:left="0" w:right="0"/>
                    <w:jc w:val="left"/>
                    <w:rPr>
                      <w:rFonts w:hint="eastAsia" w:ascii="宋体" w:hAnsi="宋体"/>
                      <w:sz w:val="18"/>
                      <w:szCs w:val="18"/>
                    </w:rPr>
                  </w:pPr>
                  <w:r>
                    <w:rPr>
                      <w:rFonts w:hint="eastAsia" w:ascii="宋体" w:hAnsi="宋体"/>
                      <w:sz w:val="18"/>
                      <w:szCs w:val="18"/>
                    </w:rPr>
                    <w:t>si和so为0大于7次；</w:t>
                  </w:r>
                </w:p>
              </w:tc>
              <w:tc>
                <w:tcPr>
                  <w:tcW w:w="1077"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正常 ■</w:t>
                  </w:r>
                </w:p>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异常 □</w:t>
                  </w:r>
                </w:p>
              </w:tc>
              <w:tc>
                <w:tcPr>
                  <w:tcW w:w="1635"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4" w:type="dxa"/>
                  <w:noWrap w:val="0"/>
                  <w:vAlign w:val="top"/>
                </w:tcPr>
                <w:p>
                  <w:pPr>
                    <w:keepNext w:val="0"/>
                    <w:keepLines w:val="0"/>
                    <w:suppressLineNumbers w:val="0"/>
                    <w:spacing w:before="0" w:beforeAutospacing="0" w:after="0" w:afterAutospacing="0"/>
                    <w:ind w:left="0" w:right="0"/>
                    <w:rPr>
                      <w:rFonts w:hint="default" w:ascii="宋体" w:hAnsi="宋体"/>
                      <w:sz w:val="18"/>
                      <w:szCs w:val="18"/>
                    </w:rPr>
                  </w:pPr>
                </w:p>
              </w:tc>
              <w:tc>
                <w:tcPr>
                  <w:tcW w:w="115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记录设备启动时间</w:t>
                  </w:r>
                </w:p>
              </w:tc>
              <w:tc>
                <w:tcPr>
                  <w:tcW w:w="1730" w:type="dxa"/>
                  <w:noWrap w:val="0"/>
                  <w:vAlign w:val="top"/>
                </w:tcPr>
                <w:p>
                  <w:pPr>
                    <w:keepNext w:val="0"/>
                    <w:keepLines w:val="0"/>
                    <w:suppressLineNumbers w:val="0"/>
                    <w:spacing w:before="0" w:beforeAutospacing="0" w:after="0" w:afterAutospacing="0"/>
                    <w:ind w:left="0" w:right="0"/>
                    <w:rPr>
                      <w:rFonts w:hint="default" w:ascii="Tahoma" w:hAnsi="Tahoma" w:cs="Tahoma"/>
                      <w:color w:val="000000"/>
                      <w:kern w:val="0"/>
                      <w:sz w:val="18"/>
                      <w:szCs w:val="18"/>
                    </w:rPr>
                  </w:pPr>
                  <w:r>
                    <w:rPr>
                      <w:rFonts w:hint="eastAsia" w:ascii="Tahoma" w:hAnsi="Tahoma" w:cs="Tahoma"/>
                      <w:color w:val="000000"/>
                      <w:kern w:val="0"/>
                      <w:sz w:val="18"/>
                      <w:szCs w:val="18"/>
                    </w:rPr>
                    <w:t>uptime</w:t>
                  </w:r>
                </w:p>
              </w:tc>
              <w:tc>
                <w:tcPr>
                  <w:tcW w:w="2310" w:type="dxa"/>
                  <w:noWrap w:val="0"/>
                  <w:vAlign w:val="top"/>
                </w:tcPr>
                <w:p>
                  <w:pPr>
                    <w:keepNext w:val="0"/>
                    <w:keepLines w:val="0"/>
                    <w:suppressLineNumbers w:val="0"/>
                    <w:spacing w:before="0" w:beforeAutospacing="0" w:after="0" w:afterAutospacing="0"/>
                    <w:ind w:left="0" w:right="0"/>
                    <w:jc w:val="left"/>
                    <w:rPr>
                      <w:rFonts w:hint="eastAsia" w:ascii="宋体" w:hAnsi="宋体"/>
                      <w:sz w:val="18"/>
                      <w:szCs w:val="18"/>
                    </w:rPr>
                  </w:pPr>
                  <w:r>
                    <w:rPr>
                      <w:rFonts w:hint="eastAsia" w:ascii="宋体" w:hAnsi="宋体"/>
                      <w:sz w:val="18"/>
                      <w:szCs w:val="18"/>
                    </w:rPr>
                    <w:t>自上次已知重启时间起连续</w:t>
                  </w:r>
                </w:p>
              </w:tc>
              <w:tc>
                <w:tcPr>
                  <w:tcW w:w="1077"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正常 ■</w:t>
                  </w:r>
                </w:p>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异常 □</w:t>
                  </w:r>
                </w:p>
              </w:tc>
              <w:tc>
                <w:tcPr>
                  <w:tcW w:w="1635"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4" w:type="dxa"/>
                  <w:noWrap w:val="0"/>
                  <w:vAlign w:val="top"/>
                </w:tcPr>
                <w:p>
                  <w:pPr>
                    <w:keepNext w:val="0"/>
                    <w:keepLines w:val="0"/>
                    <w:suppressLineNumbers w:val="0"/>
                    <w:spacing w:before="0" w:beforeAutospacing="0" w:after="0" w:afterAutospacing="0"/>
                    <w:ind w:left="0" w:right="0"/>
                    <w:rPr>
                      <w:rFonts w:hint="default" w:ascii="宋体" w:hAnsi="宋体"/>
                      <w:sz w:val="18"/>
                      <w:szCs w:val="18"/>
                    </w:rPr>
                  </w:pPr>
                </w:p>
              </w:tc>
              <w:tc>
                <w:tcPr>
                  <w:tcW w:w="1150"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查看用户登录</w:t>
                  </w:r>
                </w:p>
              </w:tc>
              <w:tc>
                <w:tcPr>
                  <w:tcW w:w="1730" w:type="dxa"/>
                  <w:noWrap w:val="0"/>
                  <w:vAlign w:val="top"/>
                </w:tcPr>
                <w:p>
                  <w:pPr>
                    <w:keepNext w:val="0"/>
                    <w:keepLines w:val="0"/>
                    <w:suppressLineNumbers w:val="0"/>
                    <w:spacing w:before="0" w:beforeAutospacing="0" w:after="0" w:afterAutospacing="0"/>
                    <w:ind w:left="0" w:right="0"/>
                    <w:rPr>
                      <w:rFonts w:hint="eastAsia" w:ascii="Tahoma" w:hAnsi="Tahoma" w:cs="Tahoma"/>
                      <w:color w:val="000000"/>
                      <w:kern w:val="0"/>
                      <w:sz w:val="18"/>
                      <w:szCs w:val="18"/>
                    </w:rPr>
                  </w:pPr>
                  <w:r>
                    <w:rPr>
                      <w:rFonts w:hint="eastAsia" w:ascii="Tahoma" w:hAnsi="Tahoma" w:cs="Tahoma"/>
                      <w:color w:val="000000"/>
                      <w:kern w:val="0"/>
                      <w:sz w:val="18"/>
                      <w:szCs w:val="18"/>
                    </w:rPr>
                    <w:t>last</w:t>
                  </w:r>
                </w:p>
              </w:tc>
              <w:tc>
                <w:tcPr>
                  <w:tcW w:w="2310" w:type="dxa"/>
                  <w:noWrap w:val="0"/>
                  <w:vAlign w:val="top"/>
                </w:tcPr>
                <w:p>
                  <w:pPr>
                    <w:keepNext w:val="0"/>
                    <w:keepLines w:val="0"/>
                    <w:suppressLineNumbers w:val="0"/>
                    <w:spacing w:before="0" w:beforeAutospacing="0" w:after="0" w:afterAutospacing="0"/>
                    <w:ind w:left="0" w:right="0"/>
                    <w:jc w:val="left"/>
                    <w:rPr>
                      <w:rFonts w:hint="eastAsia" w:ascii="宋体" w:hAnsi="宋体"/>
                      <w:sz w:val="18"/>
                      <w:szCs w:val="18"/>
                    </w:rPr>
                  </w:pPr>
                  <w:r>
                    <w:rPr>
                      <w:rFonts w:hint="eastAsia" w:ascii="宋体" w:hAnsi="宋体"/>
                      <w:sz w:val="18"/>
                      <w:szCs w:val="18"/>
                    </w:rPr>
                    <w:t>没有异常IP、用户登录，登录时间没有异常</w:t>
                  </w:r>
                </w:p>
              </w:tc>
              <w:tc>
                <w:tcPr>
                  <w:tcW w:w="1077"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正常 ■</w:t>
                  </w:r>
                </w:p>
                <w:p>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异常 □</w:t>
                  </w:r>
                </w:p>
              </w:tc>
              <w:tc>
                <w:tcPr>
                  <w:tcW w:w="1635" w:type="dxa"/>
                  <w:noWrap w:val="0"/>
                  <w:vAlign w:val="top"/>
                </w:tcPr>
                <w:p>
                  <w:pPr>
                    <w:keepNext w:val="0"/>
                    <w:keepLines w:val="0"/>
                    <w:suppressLineNumbers w:val="0"/>
                    <w:spacing w:before="0" w:beforeAutospacing="0" w:after="0" w:afterAutospacing="0"/>
                    <w:ind w:left="0" w:right="0"/>
                    <w:rPr>
                      <w:rFonts w:hint="eastAsia" w:ascii="宋体" w:hAnsi="宋体"/>
                      <w:sz w:val="18"/>
                      <w:szCs w:val="18"/>
                    </w:rPr>
                  </w:pPr>
                </w:p>
              </w:tc>
            </w:tr>
          </w:tbl>
          <w:p>
            <w:pPr>
              <w:keepNext w:val="0"/>
              <w:keepLines w:val="0"/>
              <w:numPr>
                <w:ilvl w:val="0"/>
                <w:numId w:val="3"/>
              </w:numPr>
              <w:suppressLineNumbers w:val="0"/>
              <w:spacing w:before="0" w:beforeAutospacing="0" w:after="0" w:afterAutospacing="0" w:line="360" w:lineRule="auto"/>
              <w:ind w:left="0" w:leftChars="0" w:right="0" w:firstLine="484" w:firstLineChars="20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查2021年12月编</w:t>
            </w:r>
            <w:r>
              <w:rPr>
                <w:rFonts w:hint="eastAsia" w:asciiTheme="minorEastAsia" w:hAnsiTheme="minorEastAsia" w:eastAsiaTheme="minorEastAsia" w:cstheme="minorEastAsia"/>
                <w:b w:val="0"/>
                <w:bCs w:val="0"/>
                <w:color w:val="auto"/>
                <w:sz w:val="24"/>
                <w:szCs w:val="24"/>
                <w:lang w:val="en-US" w:eastAsia="zh-CN"/>
              </w:rPr>
              <w:t>制</w:t>
            </w:r>
            <w:r>
              <w:rPr>
                <w:rFonts w:hint="eastAsia" w:asciiTheme="minorEastAsia" w:hAnsiTheme="minorEastAsia" w:eastAsiaTheme="minorEastAsia" w:cstheme="minorEastAsia"/>
                <w:b w:val="0"/>
                <w:bCs w:val="0"/>
                <w:sz w:val="24"/>
                <w:szCs w:val="24"/>
                <w:lang w:val="en-US" w:eastAsia="zh-CN"/>
              </w:rPr>
              <w:t>的《</w:t>
            </w:r>
            <w:r>
              <w:rPr>
                <w:rFonts w:hint="eastAsia"/>
                <w:sz w:val="24"/>
                <w:szCs w:val="24"/>
              </w:rPr>
              <w:t>新疆地区</w:t>
            </w:r>
            <w:r>
              <w:rPr>
                <w:rFonts w:hint="eastAsia"/>
                <w:sz w:val="24"/>
                <w:szCs w:val="24"/>
                <w:lang w:val="en-US" w:eastAsia="zh-CN"/>
              </w:rPr>
              <w:t>访客身份管理及应用延申项目</w:t>
            </w:r>
            <w:r>
              <w:rPr>
                <w:rFonts w:hint="eastAsia" w:asciiTheme="minorEastAsia" w:hAnsiTheme="minorEastAsia" w:eastAsiaTheme="minorEastAsia" w:cstheme="minorEastAsia"/>
                <w:b w:val="0"/>
                <w:bCs w:val="0"/>
                <w:sz w:val="24"/>
                <w:szCs w:val="24"/>
                <w:lang w:val="en-US" w:eastAsia="zh-CN"/>
              </w:rPr>
              <w:t>》，其中完成月度巡检12次，参与配合检修10次；全年企业门户系统运行稳定，未发生信息系统安全事故。报告人：史婷婷，客户技术经理：王腾飞。</w:t>
            </w:r>
          </w:p>
          <w:p>
            <w:pPr>
              <w:pStyle w:val="2"/>
              <w:keepNext w:val="0"/>
              <w:keepLines w:val="0"/>
              <w:numPr>
                <w:ilvl w:val="0"/>
                <w:numId w:val="3"/>
              </w:numPr>
              <w:suppressLineNumbers w:val="0"/>
              <w:spacing w:before="0" w:beforeAutospacing="0" w:after="0" w:afterAutospacing="0"/>
              <w:ind w:left="0" w:leftChars="0" w:right="0" w:firstLine="484" w:firstLineChars="202"/>
              <w:rPr>
                <w:rFonts w:hint="default"/>
                <w:szCs w:val="20"/>
                <w:lang w:val="en-US" w:eastAsia="zh-CN"/>
              </w:rPr>
            </w:pPr>
            <w:r>
              <w:rPr>
                <w:rFonts w:hint="eastAsia"/>
                <w:szCs w:val="20"/>
                <w:lang w:val="en-US" w:eastAsia="zh-CN"/>
              </w:rPr>
              <w:t>查</w:t>
            </w:r>
            <w:r>
              <w:rPr>
                <w:rFonts w:hint="eastAsia" w:asciiTheme="minorEastAsia" w:hAnsiTheme="minorEastAsia" w:eastAsiaTheme="minorEastAsia" w:cstheme="minorEastAsia"/>
                <w:b w:val="0"/>
                <w:bCs w:val="0"/>
                <w:sz w:val="24"/>
                <w:szCs w:val="24"/>
                <w:lang w:val="en-US" w:eastAsia="zh-CN"/>
              </w:rPr>
              <w:t>2021年项目使用方国网新疆电力有限公司组织的项目验收，结论为：项目建设内容完整，通过各项测评。项目验收小组一致同意项目验收通过。</w:t>
            </w: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r>
              <w:drawing>
                <wp:anchor distT="0" distB="0" distL="114300" distR="114300" simplePos="0" relativeHeight="251663360" behindDoc="0" locked="0" layoutInCell="1" allowOverlap="1">
                  <wp:simplePos x="0" y="0"/>
                  <wp:positionH relativeFrom="column">
                    <wp:posOffset>1504950</wp:posOffset>
                  </wp:positionH>
                  <wp:positionV relativeFrom="paragraph">
                    <wp:posOffset>71120</wp:posOffset>
                  </wp:positionV>
                  <wp:extent cx="2969260" cy="3811905"/>
                  <wp:effectExtent l="0" t="0" r="2540" b="1079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2969260" cy="3811905"/>
                          </a:xfrm>
                          <a:prstGeom prst="rect">
                            <a:avLst/>
                          </a:prstGeom>
                          <a:noFill/>
                          <a:ln>
                            <a:noFill/>
                          </a:ln>
                        </pic:spPr>
                      </pic:pic>
                    </a:graphicData>
                  </a:graphic>
                </wp:anchor>
              </w:drawing>
            </w: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pStyle w:val="2"/>
              <w:keepNext w:val="0"/>
              <w:keepLines w:val="0"/>
              <w:widowControl w:val="0"/>
              <w:numPr>
                <w:ilvl w:val="0"/>
                <w:numId w:val="0"/>
              </w:numPr>
              <w:suppressLineNumbers w:val="0"/>
              <w:spacing w:before="0" w:beforeAutospacing="0" w:after="0" w:afterAutospacing="0" w:line="420" w:lineRule="exact"/>
              <w:ind w:left="0" w:right="0"/>
              <w:jc w:val="both"/>
              <w:rPr>
                <w:rFonts w:hint="eastAsia" w:asciiTheme="minorEastAsia" w:hAnsiTheme="minorEastAsia" w:eastAsiaTheme="minorEastAsia" w:cstheme="minorEastAsia"/>
                <w:b w:val="0"/>
                <w:bCs w:val="0"/>
                <w:sz w:val="24"/>
                <w:szCs w:val="24"/>
                <w:lang w:val="en-US" w:eastAsia="zh-CN"/>
              </w:rPr>
            </w:pP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组织的实施监视和测量及过程放行的控制基本符合规定的要求</w:t>
            </w:r>
            <w:r>
              <w:rPr>
                <w:rFonts w:hint="eastAsia" w:asciiTheme="minorEastAsia" w:hAnsiTheme="minorEastAsia" w:eastAsiaTheme="minorEastAsia" w:cstheme="minorEastAsia"/>
                <w:color w:val="auto"/>
                <w:sz w:val="24"/>
                <w:szCs w:val="24"/>
                <w:lang w:eastAsia="zh-CN"/>
              </w:rPr>
              <w:t>。</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color w:val="FF0000"/>
                <w:sz w:val="24"/>
                <w:szCs w:val="24"/>
                <w:lang w:eastAsia="zh-CN"/>
              </w:rPr>
            </w:pPr>
          </w:p>
          <w:p>
            <w:pPr>
              <w:keepNext w:val="0"/>
              <w:keepLines w:val="0"/>
              <w:suppressLineNumbers w:val="0"/>
              <w:tabs>
                <w:tab w:val="left" w:pos="0"/>
              </w:tabs>
              <w:spacing w:before="0" w:beforeAutospacing="0" w:after="0" w:afterAutospacing="0" w:line="360" w:lineRule="auto"/>
              <w:ind w:left="0" w:right="-28" w:firstLine="482" w:firstLineChars="200"/>
              <w:jc w:val="left"/>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b/>
                <w:bCs/>
                <w:sz w:val="24"/>
                <w:szCs w:val="24"/>
                <w:lang w:val="en-US" w:eastAsia="zh-CN"/>
              </w:rPr>
              <w:t>d</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0"/>
              </w:rPr>
              <w:t>公司</w:t>
            </w:r>
            <w:r>
              <w:rPr>
                <w:rFonts w:hint="eastAsia" w:asciiTheme="minorEastAsia" w:hAnsiTheme="minorEastAsia" w:eastAsiaTheme="minorEastAsia" w:cstheme="minorEastAsia"/>
                <w:sz w:val="24"/>
                <w:szCs w:val="20"/>
                <w:lang w:val="en-US" w:eastAsia="zh-CN"/>
              </w:rPr>
              <w:t>设备配置</w:t>
            </w:r>
            <w:r>
              <w:rPr>
                <w:rFonts w:hint="eastAsia" w:asciiTheme="minorEastAsia" w:hAnsiTheme="minorEastAsia" w:eastAsiaTheme="minorEastAsia" w:cstheme="minorEastAsia"/>
                <w:sz w:val="24"/>
                <w:szCs w:val="20"/>
              </w:rPr>
              <w:t>，设备</w:t>
            </w:r>
            <w:r>
              <w:rPr>
                <w:rFonts w:hint="eastAsia" w:asciiTheme="minorEastAsia" w:hAnsiTheme="minorEastAsia" w:eastAsiaTheme="minorEastAsia" w:cstheme="minorEastAsia"/>
                <w:sz w:val="24"/>
                <w:szCs w:val="20"/>
                <w:lang w:val="en-US" w:eastAsia="zh-CN"/>
              </w:rPr>
              <w:t>5</w:t>
            </w:r>
            <w:r>
              <w:rPr>
                <w:rFonts w:hint="eastAsia" w:asciiTheme="minorEastAsia" w:hAnsiTheme="minorEastAsia" w:eastAsiaTheme="minorEastAsia" w:cstheme="minorEastAsia"/>
                <w:sz w:val="24"/>
                <w:szCs w:val="20"/>
              </w:rPr>
              <w:t>台（主要为</w:t>
            </w:r>
            <w:r>
              <w:rPr>
                <w:rFonts w:hint="eastAsia" w:asciiTheme="minorEastAsia" w:hAnsiTheme="minorEastAsia" w:eastAsiaTheme="minorEastAsia" w:cstheme="minorEastAsia"/>
                <w:sz w:val="24"/>
                <w:szCs w:val="20"/>
                <w:lang w:val="en-US" w:eastAsia="zh-CN"/>
              </w:rPr>
              <w:t>运维所需的计算机</w:t>
            </w:r>
            <w:r>
              <w:rPr>
                <w:rFonts w:hint="eastAsia" w:asciiTheme="minorEastAsia" w:hAnsiTheme="minorEastAsia" w:eastAsiaTheme="minorEastAsia" w:cstheme="minorEastAsia"/>
                <w:sz w:val="24"/>
                <w:szCs w:val="20"/>
              </w:rPr>
              <w:t>），监视和测量设备</w:t>
            </w:r>
            <w:r>
              <w:rPr>
                <w:rFonts w:hint="eastAsia" w:asciiTheme="minorEastAsia" w:hAnsiTheme="minorEastAsia" w:eastAsiaTheme="minorEastAsia" w:cstheme="minorEastAsia"/>
                <w:sz w:val="24"/>
                <w:szCs w:val="20"/>
                <w:lang w:val="en-US" w:eastAsia="zh-CN"/>
              </w:rPr>
              <w:t>主要为软件系统监测软件</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rPr>
              <w:t>状态完好</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rPr>
              <w:t>满足Q:</w:t>
            </w:r>
            <w:r>
              <w:rPr>
                <w:rFonts w:hint="eastAsia" w:asciiTheme="minorEastAsia" w:hAnsiTheme="minorEastAsia" w:eastAsiaTheme="minorEastAsia" w:cstheme="minorEastAsia"/>
                <w:b/>
                <w:bCs/>
                <w:sz w:val="24"/>
                <w:szCs w:val="24"/>
                <w:lang w:eastAsia="zh-CN"/>
              </w:rPr>
              <w:t>电力行业计算机信息系统的运行维护服务</w:t>
            </w:r>
            <w:r>
              <w:rPr>
                <w:rFonts w:hint="eastAsia" w:asciiTheme="minorEastAsia" w:hAnsiTheme="minorEastAsia" w:eastAsiaTheme="minorEastAsia" w:cstheme="minorEastAsia"/>
                <w:sz w:val="24"/>
                <w:szCs w:val="20"/>
              </w:rPr>
              <w:t>需求。</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视频巡视：办公环境光照、温度适宜，通风良好，电路布线合理、电气插座完整，未见破损，办公场所物品摆放整齐、有序，未见随意乱放私人物品的情况，未见用电不当等安全隐患及不良影响现象。</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确定并提供了产品要求所需的工作环境，工作环境适宜，现有工作环境能满足提供合格服务的需要。</w:t>
            </w:r>
          </w:p>
          <w:p>
            <w:pPr>
              <w:pStyle w:val="2"/>
              <w:keepNext w:val="0"/>
              <w:keepLines w:val="0"/>
              <w:suppressLineNumbers w:val="0"/>
              <w:spacing w:before="0" w:beforeAutospacing="0" w:after="0" w:afterAutospacing="0"/>
              <w:ind w:left="0" w:right="0"/>
              <w:rPr>
                <w:rFonts w:hint="eastAsia"/>
                <w:szCs w:val="20"/>
                <w:lang w:val="en-US" w:eastAsia="zh-CN"/>
              </w:rPr>
            </w:pPr>
          </w:p>
          <w:p>
            <w:pPr>
              <w:keepNext w:val="0"/>
              <w:keepLines w:val="0"/>
              <w:suppressLineNumbers w:val="0"/>
              <w:tabs>
                <w:tab w:val="left" w:pos="-52"/>
              </w:tabs>
              <w:spacing w:before="0" w:beforeAutospacing="0" w:after="0" w:afterAutospacing="0" w:line="360" w:lineRule="auto"/>
              <w:ind w:left="0" w:right="0" w:firstLine="482" w:firstLineChars="200"/>
              <w:rPr>
                <w:rFonts w:hint="eastAsia"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b/>
                <w:bCs/>
                <w:sz w:val="24"/>
                <w:szCs w:val="24"/>
                <w:lang w:val="en-US" w:eastAsia="zh-CN"/>
              </w:rPr>
              <w:t>e</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0"/>
              </w:rPr>
              <w:t>根据部门</w:t>
            </w:r>
            <w:r>
              <w:rPr>
                <w:rFonts w:hint="eastAsia" w:asciiTheme="minorEastAsia" w:hAnsiTheme="minorEastAsia" w:eastAsiaTheme="minorEastAsia" w:cstheme="minorEastAsia"/>
                <w:sz w:val="24"/>
                <w:szCs w:val="22"/>
              </w:rPr>
              <w:t>领导介绍及查证，公司目前现有一支专业的</w:t>
            </w:r>
            <w:r>
              <w:rPr>
                <w:rFonts w:hint="eastAsia" w:asciiTheme="minorEastAsia" w:hAnsiTheme="minorEastAsia" w:eastAsiaTheme="minorEastAsia" w:cstheme="minorEastAsia"/>
                <w:sz w:val="24"/>
                <w:szCs w:val="22"/>
                <w:lang w:val="en-US" w:eastAsia="zh-CN"/>
              </w:rPr>
              <w:t>计算机软件运行维护</w:t>
            </w:r>
            <w:r>
              <w:rPr>
                <w:rFonts w:hint="eastAsia" w:asciiTheme="minorEastAsia" w:hAnsiTheme="minorEastAsia" w:eastAsiaTheme="minorEastAsia" w:cstheme="minorEastAsia"/>
                <w:sz w:val="24"/>
                <w:szCs w:val="22"/>
              </w:rPr>
              <w:t>人员，</w:t>
            </w:r>
            <w:r>
              <w:rPr>
                <w:rFonts w:hint="eastAsia" w:asciiTheme="minorEastAsia" w:hAnsiTheme="minorEastAsia" w:eastAsiaTheme="minorEastAsia" w:cstheme="minorEastAsia"/>
                <w:sz w:val="24"/>
                <w:szCs w:val="22"/>
                <w:lang w:val="en-US" w:eastAsia="zh-CN"/>
              </w:rPr>
              <w:t>其中工程技术部工程师史婷婷具有</w:t>
            </w:r>
            <w:r>
              <w:rPr>
                <w:rFonts w:hint="eastAsia" w:asciiTheme="minorEastAsia" w:hAnsiTheme="minorEastAsia" w:eastAsiaTheme="minorEastAsia" w:cstheme="minorEastAsia"/>
                <w:color w:val="auto"/>
                <w:sz w:val="24"/>
                <w:szCs w:val="22"/>
                <w:lang w:val="en-US" w:eastAsia="zh-CN"/>
              </w:rPr>
              <w:t>本科信息管理与信息系统专业，毕业证书编号：107481201405001837，工程师张亮具有计算机信息管理专业，毕业证书编号：517005201206000111，工程师乔辉具有移动通信技术专业，毕业证书编号：137275201606000234</w:t>
            </w:r>
            <w:r>
              <w:rPr>
                <w:rFonts w:hint="eastAsia" w:asciiTheme="minorEastAsia" w:hAnsiTheme="minorEastAsia" w:eastAsiaTheme="minorEastAsia" w:cstheme="minorEastAsia"/>
                <w:color w:val="auto"/>
                <w:sz w:val="24"/>
                <w:szCs w:val="22"/>
                <w:lang w:eastAsia="zh-CN"/>
              </w:rPr>
              <w:t>，</w:t>
            </w:r>
            <w:r>
              <w:rPr>
                <w:rFonts w:hint="eastAsia" w:asciiTheme="minorEastAsia" w:hAnsiTheme="minorEastAsia" w:eastAsiaTheme="minorEastAsia" w:cstheme="minorEastAsia"/>
                <w:color w:val="auto"/>
                <w:sz w:val="24"/>
                <w:szCs w:val="22"/>
              </w:rPr>
              <w:t>可满足</w:t>
            </w:r>
            <w:r>
              <w:rPr>
                <w:rFonts w:hint="eastAsia" w:asciiTheme="minorEastAsia" w:hAnsiTheme="minorEastAsia" w:eastAsiaTheme="minorEastAsia" w:cstheme="minorEastAsia"/>
                <w:color w:val="auto"/>
                <w:sz w:val="24"/>
                <w:szCs w:val="22"/>
                <w:lang w:val="en-US" w:eastAsia="zh-CN"/>
              </w:rPr>
              <w:t>运行维护服务</w:t>
            </w:r>
            <w:r>
              <w:rPr>
                <w:rFonts w:hint="eastAsia" w:asciiTheme="minorEastAsia" w:hAnsiTheme="minorEastAsia" w:eastAsiaTheme="minorEastAsia" w:cstheme="minorEastAsia"/>
                <w:color w:val="auto"/>
                <w:sz w:val="24"/>
                <w:szCs w:val="22"/>
              </w:rPr>
              <w:t>要求。</w:t>
            </w:r>
          </w:p>
          <w:p>
            <w:pPr>
              <w:keepNext w:val="0"/>
              <w:keepLines w:val="0"/>
              <w:numPr>
                <w:ilvl w:val="0"/>
                <w:numId w:val="0"/>
              </w:numPr>
              <w:suppressLineNumbers w:val="0"/>
              <w:spacing w:before="0" w:beforeAutospacing="0" w:after="0" w:afterAutospacing="0" w:line="360" w:lineRule="auto"/>
              <w:ind w:left="0" w:right="0" w:firstLine="480"/>
              <w:rPr>
                <w:rFonts w:hint="eastAsia" w:asciiTheme="minorEastAsia" w:hAnsiTheme="minorEastAsia" w:eastAsiaTheme="minorEastAsia" w:cstheme="minorEastAsia"/>
                <w:sz w:val="24"/>
                <w:szCs w:val="22"/>
                <w:lang w:val="en-US" w:eastAsia="zh-CN"/>
              </w:rPr>
            </w:pPr>
          </w:p>
          <w:p>
            <w:pPr>
              <w:keepNext w:val="0"/>
              <w:keepLines w:val="0"/>
              <w:suppressLineNumbers w:val="0"/>
              <w:tabs>
                <w:tab w:val="left" w:pos="6597"/>
              </w:tabs>
              <w:spacing w:before="0" w:beforeAutospacing="0" w:after="0" w:afterAutospacing="0" w:line="360" w:lineRule="auto"/>
              <w:ind w:left="0" w:right="0" w:firstLine="482"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b/>
                <w:bCs/>
                <w:sz w:val="24"/>
                <w:szCs w:val="24"/>
                <w:lang w:val="en-US" w:eastAsia="zh-CN"/>
              </w:rPr>
              <w:t>f)、</w:t>
            </w:r>
            <w:r>
              <w:rPr>
                <w:rFonts w:hint="eastAsia" w:asciiTheme="minorEastAsia" w:hAnsiTheme="minorEastAsia" w:eastAsiaTheme="minorEastAsia" w:cstheme="minorEastAsia"/>
                <w:sz w:val="24"/>
                <w:szCs w:val="22"/>
                <w:lang w:val="en-US" w:eastAsia="zh-CN"/>
              </w:rPr>
              <w:t>公司对服务提供需确认过程进行了识别和确定。运行维护服务过程为需要确认的过程.</w:t>
            </w:r>
          </w:p>
          <w:p>
            <w:pPr>
              <w:keepNext w:val="0"/>
              <w:keepLines w:val="0"/>
              <w:suppressLineNumbers w:val="0"/>
              <w:spacing w:before="0" w:beforeAutospacing="0" w:after="0" w:afterAutospacing="0" w:line="360" w:lineRule="auto"/>
              <w:ind w:left="0" w:right="0" w:firstLine="482"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b/>
                <w:bCs/>
                <w:sz w:val="24"/>
                <w:szCs w:val="24"/>
                <w:lang w:val="en-US" w:eastAsia="zh-CN"/>
              </w:rPr>
              <w:t>g)、</w:t>
            </w:r>
            <w:r>
              <w:rPr>
                <w:rFonts w:hint="eastAsia" w:asciiTheme="minorEastAsia" w:hAnsiTheme="minorEastAsia" w:eastAsiaTheme="minorEastAsia" w:cstheme="minorEastAsia"/>
                <w:sz w:val="24"/>
                <w:szCs w:val="22"/>
                <w:lang w:val="en-US" w:eastAsia="zh-CN"/>
              </w:rPr>
              <w:t>运行维护服务过程通过专人负责、专用标识等措施起到了防错作用；公司编制的</w:t>
            </w:r>
            <w:r>
              <w:rPr>
                <w:rFonts w:hint="eastAsia" w:asciiTheme="minorEastAsia" w:hAnsiTheme="minorEastAsia" w:eastAsiaTheme="minorEastAsia" w:cstheme="minorEastAsia"/>
                <w:sz w:val="24"/>
                <w:szCs w:val="24"/>
                <w:lang w:val="en-US" w:eastAsia="zh-CN"/>
              </w:rPr>
              <w:t>《运维服务方案》、《服务器健康检查记录》、《运维质量考核总结》、《信息化项目验收报告》</w:t>
            </w:r>
            <w:r>
              <w:rPr>
                <w:rFonts w:hint="eastAsia" w:asciiTheme="minorEastAsia" w:hAnsiTheme="minorEastAsia" w:eastAsiaTheme="minorEastAsia" w:cstheme="minorEastAsia"/>
                <w:sz w:val="24"/>
                <w:szCs w:val="22"/>
                <w:lang w:val="en-US" w:eastAsia="zh-CN"/>
              </w:rPr>
              <w:t>规定了操作的步骤、方法、注意事项等，操作人员直接按要求进行控制，防止人为错误。</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0"/>
              </w:rPr>
              <w:t>根据部门经理介绍，采取上述防止人为错误的措施，效果明显。质量体系运行以来，没有发生人为错误造成过程失控的情况。</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b/>
                <w:bCs/>
                <w:sz w:val="24"/>
                <w:szCs w:val="24"/>
                <w:lang w:val="en-US" w:eastAsia="zh-CN"/>
              </w:rPr>
            </w:pPr>
          </w:p>
          <w:p>
            <w:pPr>
              <w:keepNext w:val="0"/>
              <w:keepLines w:val="0"/>
              <w:suppressLineNumbers w:val="0"/>
              <w:spacing w:before="0" w:beforeAutospacing="0" w:after="0" w:afterAutospacing="0" w:line="360" w:lineRule="auto"/>
              <w:ind w:left="0" w:right="0" w:firstLine="482" w:firstLineChars="200"/>
              <w:jc w:val="lef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b/>
                <w:bCs/>
                <w:sz w:val="24"/>
                <w:szCs w:val="24"/>
                <w:lang w:val="en-US" w:eastAsia="zh-CN"/>
              </w:rPr>
              <w:t>h)、</w:t>
            </w:r>
            <w:r>
              <w:rPr>
                <w:rFonts w:hint="eastAsia" w:asciiTheme="minorEastAsia" w:hAnsiTheme="minorEastAsia" w:eastAsiaTheme="minorEastAsia" w:cstheme="minorEastAsia"/>
                <w:sz w:val="24"/>
                <w:szCs w:val="20"/>
              </w:rPr>
              <w:t>查看</w:t>
            </w:r>
            <w:r>
              <w:rPr>
                <w:rFonts w:hint="eastAsia" w:asciiTheme="minorEastAsia" w:hAnsiTheme="minorEastAsia" w:eastAsiaTheme="minorEastAsia" w:cstheme="minorEastAsia"/>
                <w:sz w:val="24"/>
                <w:szCs w:val="22"/>
              </w:rPr>
              <w:t>的</w:t>
            </w:r>
            <w:r>
              <w:rPr>
                <w:rFonts w:hint="eastAsia" w:asciiTheme="minorEastAsia" w:hAnsiTheme="minorEastAsia" w:eastAsiaTheme="minorEastAsia" w:cstheme="minorEastAsia"/>
                <w:sz w:val="24"/>
                <w:szCs w:val="22"/>
                <w:lang w:val="en-US" w:eastAsia="zh-CN"/>
              </w:rPr>
              <w:t>工程技术部提供新疆地区访客身份管理及应用延申项目验收报告，</w:t>
            </w:r>
            <w:r>
              <w:rPr>
                <w:rFonts w:hint="eastAsia" w:asciiTheme="minorEastAsia" w:hAnsiTheme="minorEastAsia" w:eastAsiaTheme="minorEastAsia" w:cstheme="minorEastAsia"/>
                <w:b w:val="0"/>
                <w:bCs w:val="0"/>
                <w:sz w:val="24"/>
                <w:szCs w:val="24"/>
                <w:lang w:val="en-US" w:eastAsia="zh-CN"/>
              </w:rPr>
              <w:t>结论为：项目建设达到预期目标，系统运行稳定可靠。项目验收小组一致同意项目验收通过</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见8.5.1c）检查表。</w:t>
            </w:r>
          </w:p>
          <w:p>
            <w:pPr>
              <w:keepNext w:val="0"/>
              <w:keepLines w:val="0"/>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sz w:val="24"/>
                <w:szCs w:val="20"/>
                <w:lang w:eastAsia="zh-CN"/>
              </w:rPr>
            </w:pPr>
            <w:r>
              <w:rPr>
                <w:rFonts w:hint="eastAsia" w:asciiTheme="minorEastAsia" w:hAnsiTheme="minorEastAsia" w:eastAsiaTheme="minorEastAsia" w:cstheme="minorEastAsia"/>
                <w:sz w:val="24"/>
                <w:szCs w:val="20"/>
              </w:rPr>
              <w:t>交付后的活动见</w:t>
            </w:r>
            <w:r>
              <w:rPr>
                <w:rFonts w:hint="eastAsia" w:asciiTheme="minorEastAsia" w:hAnsiTheme="minorEastAsia" w:eastAsiaTheme="minorEastAsia" w:cstheme="minorEastAsia"/>
                <w:sz w:val="24"/>
                <w:szCs w:val="20"/>
                <w:lang w:val="en-US" w:eastAsia="zh-CN"/>
              </w:rPr>
              <w:t>经营部</w:t>
            </w:r>
            <w:r>
              <w:rPr>
                <w:rFonts w:hint="eastAsia" w:asciiTheme="minorEastAsia" w:hAnsiTheme="minorEastAsia" w:eastAsiaTheme="minorEastAsia" w:cstheme="minorEastAsia"/>
                <w:sz w:val="24"/>
                <w:szCs w:val="20"/>
              </w:rPr>
              <w:t>8.5.5检查表</w:t>
            </w:r>
            <w:r>
              <w:rPr>
                <w:rFonts w:hint="eastAsia" w:asciiTheme="minorEastAsia" w:hAnsiTheme="minorEastAsia" w:eastAsiaTheme="minorEastAsia" w:cstheme="minorEastAsia"/>
                <w:sz w:val="24"/>
                <w:szCs w:val="20"/>
                <w:lang w:eastAsia="zh-CN"/>
              </w:rPr>
              <w:t>。</w:t>
            </w:r>
          </w:p>
          <w:p>
            <w:pPr>
              <w:keepNext w:val="0"/>
              <w:keepLines w:val="0"/>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sz w:val="24"/>
                <w:szCs w:val="20"/>
              </w:rPr>
            </w:pPr>
          </w:p>
          <w:p>
            <w:pPr>
              <w:pStyle w:val="2"/>
              <w:keepNext w:val="0"/>
              <w:keepLines w:val="0"/>
              <w:suppressLineNumbers w:val="0"/>
              <w:spacing w:before="0" w:beforeAutospacing="0" w:after="0" w:afterAutospacing="0"/>
              <w:ind w:left="0" w:right="0"/>
              <w:rPr>
                <w:rFonts w:hint="eastAsia"/>
                <w:szCs w:val="20"/>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通过</w:t>
            </w:r>
            <w:r>
              <w:rPr>
                <w:rFonts w:hint="eastAsia" w:asciiTheme="minorEastAsia" w:hAnsiTheme="minorEastAsia" w:eastAsiaTheme="minorEastAsia" w:cstheme="minorEastAsia"/>
                <w:sz w:val="24"/>
                <w:szCs w:val="24"/>
              </w:rPr>
              <w:t>观察：</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工程技术部</w:t>
            </w:r>
            <w:r>
              <w:rPr>
                <w:rFonts w:hint="eastAsia" w:asciiTheme="minorEastAsia" w:hAnsiTheme="minorEastAsia" w:eastAsiaTheme="minorEastAsia" w:cstheme="minorEastAsia"/>
                <w:color w:val="auto"/>
                <w:sz w:val="24"/>
                <w:szCs w:val="24"/>
                <w:lang w:eastAsia="zh-CN"/>
              </w:rPr>
              <w:t>史婷婷</w:t>
            </w:r>
            <w:r>
              <w:rPr>
                <w:rFonts w:hint="eastAsia" w:asciiTheme="minorEastAsia" w:hAnsiTheme="minorEastAsia" w:eastAsiaTheme="minorEastAsia" w:cstheme="minorEastAsia"/>
                <w:color w:val="auto"/>
                <w:sz w:val="24"/>
                <w:szCs w:val="24"/>
              </w:rPr>
              <w:t>正在为</w:t>
            </w:r>
            <w:r>
              <w:rPr>
                <w:rFonts w:hint="eastAsia"/>
                <w:sz w:val="24"/>
                <w:szCs w:val="24"/>
                <w:lang w:val="en-US" w:eastAsia="zh-CN"/>
              </w:rPr>
              <w:t>2021年国网榆林供电公司事物资产数据一致性对应</w:t>
            </w:r>
            <w:r>
              <w:rPr>
                <w:rFonts w:hint="eastAsia" w:asciiTheme="minorEastAsia" w:hAnsiTheme="minorEastAsia" w:eastAsiaTheme="minorEastAsia" w:cstheme="minorEastAsia"/>
                <w:color w:val="auto"/>
                <w:sz w:val="24"/>
                <w:szCs w:val="24"/>
                <w:lang w:val="en-US" w:eastAsia="zh-CN"/>
              </w:rPr>
              <w:t>实施日对榆林 ERP系统设备主数据应用、相应实用化指标和其他指标不合格数据进行梳理，治理整改</w:t>
            </w:r>
            <w:r>
              <w:rPr>
                <w:rFonts w:hint="eastAsia" w:asciiTheme="minorEastAsia" w:hAnsiTheme="minorEastAsia" w:eastAsiaTheme="minorEastAsia" w:cstheme="minorEastAsia"/>
                <w:color w:val="auto"/>
                <w:sz w:val="24"/>
                <w:szCs w:val="24"/>
                <w:lang w:eastAsia="zh-CN"/>
              </w:rPr>
              <w:t>。</w:t>
            </w:r>
          </w:p>
          <w:p>
            <w:pPr>
              <w:keepNext w:val="0"/>
              <w:keepLines w:val="0"/>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sz w:val="24"/>
                <w:szCs w:val="22"/>
                <w:lang w:val="en-US" w:eastAsia="zh-CN"/>
              </w:rPr>
            </w:pPr>
          </w:p>
        </w:tc>
        <w:tc>
          <w:tcPr>
            <w:tcW w:w="1585" w:type="dxa"/>
          </w:tcPr>
          <w:p>
            <w:pPr>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 w:val="24"/>
                <w:szCs w:val="24"/>
              </w:rPr>
              <w:t>产品和服务的放行</w:t>
            </w:r>
          </w:p>
        </w:tc>
        <w:tc>
          <w:tcPr>
            <w:tcW w:w="960" w:type="dxa"/>
            <w:vAlign w:val="top"/>
          </w:tcPr>
          <w:p>
            <w:pPr>
              <w:keepNext w:val="0"/>
              <w:keepLines w:val="0"/>
              <w:suppressLineNumbers w:val="0"/>
              <w:spacing w:before="0" w:beforeAutospacing="0" w:after="0" w:afterAutospacing="0" w:line="360" w:lineRule="auto"/>
              <w:ind w:left="105"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Q8.6 </w:t>
            </w:r>
          </w:p>
          <w:p>
            <w:pPr>
              <w:keepNext w:val="0"/>
              <w:keepLines w:val="0"/>
              <w:suppressLineNumbers w:val="0"/>
              <w:spacing w:before="0" w:beforeAutospacing="0" w:after="0" w:afterAutospacing="0" w:line="360" w:lineRule="auto"/>
              <w:ind w:left="105" w:leftChars="0" w:right="0"/>
              <w:rPr>
                <w:rFonts w:hint="eastAsia" w:asciiTheme="minorEastAsia" w:hAnsiTheme="minorEastAsia" w:eastAsiaTheme="minorEastAsia" w:cstheme="minorEastAsia"/>
                <w:sz w:val="24"/>
                <w:szCs w:val="24"/>
              </w:rPr>
            </w:pP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为确保采购物资符合要求，对采购物资实施验证活动；暂无在供方处验证要求，同时也没有要求在供方处进行验证。</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进货检验，</w:t>
            </w:r>
            <w:r>
              <w:rPr>
                <w:rFonts w:hint="eastAsia" w:asciiTheme="minorEastAsia" w:hAnsiTheme="minorEastAsia" w:eastAsiaTheme="minorEastAsia" w:cstheme="minorEastAsia"/>
                <w:sz w:val="24"/>
                <w:szCs w:val="24"/>
                <w:lang w:val="en-US" w:eastAsia="zh-CN"/>
              </w:rPr>
              <w:t>详见经营部8.6检查表</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w:t>
            </w:r>
            <w:r>
              <w:rPr>
                <w:rFonts w:hint="eastAsia" w:asciiTheme="minorEastAsia" w:hAnsiTheme="minorEastAsia" w:eastAsiaTheme="minorEastAsia" w:cstheme="minorEastAsia"/>
                <w:sz w:val="24"/>
                <w:szCs w:val="24"/>
                <w:lang w:val="en-US" w:eastAsia="zh-CN"/>
              </w:rPr>
              <w:t>过程</w:t>
            </w:r>
            <w:r>
              <w:rPr>
                <w:rFonts w:hint="eastAsia" w:asciiTheme="minorEastAsia" w:hAnsiTheme="minorEastAsia" w:eastAsiaTheme="minorEastAsia" w:cstheme="minorEastAsia"/>
                <w:sz w:val="24"/>
                <w:szCs w:val="24"/>
              </w:rPr>
              <w:t>检验，</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在运行维护服务的适当阶段安排了相关检查环节，参见8.5.1审核</w:t>
            </w:r>
            <w:r>
              <w:rPr>
                <w:rFonts w:hint="eastAsia" w:asciiTheme="minorEastAsia" w:hAnsiTheme="minorEastAsia" w:eastAsiaTheme="minorEastAsia" w:cstheme="minorEastAsia"/>
                <w:sz w:val="24"/>
                <w:szCs w:val="24"/>
              </w:rPr>
              <w:t>记录单。</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w:t>
            </w:r>
            <w:r>
              <w:rPr>
                <w:rFonts w:hint="eastAsia" w:asciiTheme="minorEastAsia" w:hAnsiTheme="minorEastAsia" w:eastAsiaTheme="minorEastAsia" w:cstheme="minorEastAsia"/>
                <w:sz w:val="24"/>
                <w:szCs w:val="24"/>
                <w:lang w:val="en-US" w:eastAsia="zh-CN"/>
              </w:rPr>
              <w:t>最终验收</w:t>
            </w:r>
            <w:r>
              <w:rPr>
                <w:rFonts w:hint="eastAsia" w:asciiTheme="minorEastAsia" w:hAnsiTheme="minorEastAsia" w:eastAsiaTheme="minorEastAsia" w:cstheme="minorEastAsia"/>
                <w:sz w:val="24"/>
                <w:szCs w:val="24"/>
              </w:rPr>
              <w:t>，</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客户验收合格的项目由</w:t>
            </w:r>
            <w:r>
              <w:rPr>
                <w:rFonts w:hint="eastAsia" w:asciiTheme="minorEastAsia" w:hAnsiTheme="minorEastAsia" w:eastAsiaTheme="minorEastAsia" w:cstheme="minorEastAsia"/>
                <w:sz w:val="24"/>
                <w:szCs w:val="24"/>
                <w:lang w:val="en-US" w:eastAsia="zh-CN"/>
              </w:rPr>
              <w:t>项目使用方</w:t>
            </w:r>
            <w:r>
              <w:rPr>
                <w:rFonts w:hint="eastAsia" w:asciiTheme="minorEastAsia" w:hAnsiTheme="minorEastAsia" w:eastAsiaTheme="minorEastAsia" w:cstheme="minorEastAsia"/>
                <w:sz w:val="24"/>
                <w:szCs w:val="24"/>
              </w:rPr>
              <w:t>出具</w:t>
            </w:r>
            <w:r>
              <w:rPr>
                <w:rFonts w:hint="eastAsia" w:asciiTheme="minorEastAsia" w:hAnsiTheme="minorEastAsia" w:eastAsiaTheme="minorEastAsia" w:cstheme="minorEastAsia"/>
                <w:sz w:val="24"/>
                <w:szCs w:val="24"/>
                <w:lang w:val="en-US" w:eastAsia="zh-CN"/>
              </w:rPr>
              <w:t>验收报告</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详见8.5.1审核记录单。</w:t>
            </w:r>
          </w:p>
        </w:tc>
        <w:tc>
          <w:tcPr>
            <w:tcW w:w="1585" w:type="dxa"/>
          </w:tcPr>
          <w:p>
            <w:pPr>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产品标识和可追朔性</w:t>
            </w:r>
          </w:p>
        </w:tc>
        <w:tc>
          <w:tcPr>
            <w:tcW w:w="960" w:type="dxa"/>
            <w:vAlign w:val="top"/>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Q8.5.2</w:t>
            </w: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val="en-US" w:eastAsia="zh-CN"/>
              </w:rPr>
              <w:t>质量</w:t>
            </w:r>
            <w:r>
              <w:rPr>
                <w:rFonts w:hint="eastAsia" w:asciiTheme="minorEastAsia" w:hAnsiTheme="minorEastAsia" w:eastAsiaTheme="minorEastAsia" w:cstheme="minorEastAsia"/>
                <w:sz w:val="24"/>
                <w:szCs w:val="24"/>
              </w:rPr>
              <w:t>手册》中规定公司向顾客提</w:t>
            </w:r>
            <w:r>
              <w:rPr>
                <w:rFonts w:hint="eastAsia" w:asciiTheme="minorEastAsia" w:hAnsiTheme="minorEastAsia" w:eastAsiaTheme="minorEastAsia" w:cstheme="minorEastAsia"/>
                <w:sz w:val="24"/>
                <w:szCs w:val="24"/>
                <w:lang w:val="en-US" w:eastAsia="zh-CN"/>
              </w:rPr>
              <w:t>运行维护服务</w:t>
            </w:r>
            <w:r>
              <w:rPr>
                <w:rFonts w:hint="eastAsia" w:asciiTheme="minorEastAsia" w:hAnsiTheme="minorEastAsia" w:eastAsiaTheme="minorEastAsia" w:cstheme="minorEastAsia"/>
                <w:sz w:val="24"/>
                <w:szCs w:val="24"/>
              </w:rPr>
              <w:t>时采取适当措施，确</w:t>
            </w:r>
            <w:r>
              <w:rPr>
                <w:rFonts w:hint="eastAsia" w:asciiTheme="minorEastAsia" w:hAnsiTheme="minorEastAsia" w:eastAsiaTheme="minorEastAsia" w:cstheme="minorEastAsia"/>
                <w:sz w:val="24"/>
                <w:szCs w:val="24"/>
                <w:lang w:val="en-US" w:eastAsia="zh-CN"/>
              </w:rPr>
              <w:t>运行维护服务</w:t>
            </w:r>
            <w:r>
              <w:rPr>
                <w:rFonts w:hint="eastAsia" w:asciiTheme="minorEastAsia" w:hAnsiTheme="minorEastAsia" w:eastAsiaTheme="minorEastAsia" w:cstheme="minorEastAsia"/>
                <w:sz w:val="24"/>
                <w:szCs w:val="24"/>
              </w:rPr>
              <w:t>过程中均被明确标识，对产品施加唯一性标识，如批号、编号、日期，并予以登记，保留实现可追溯性所需的记录。</w:t>
            </w:r>
          </w:p>
          <w:p>
            <w:pPr>
              <w:keepNext w:val="0"/>
              <w:keepLines w:val="0"/>
              <w:suppressLineNumbers w:val="0"/>
              <w:tabs>
                <w:tab w:val="left" w:pos="6597"/>
              </w:tabs>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 w:val="24"/>
                <w:szCs w:val="24"/>
              </w:rPr>
              <w:t>经查验标识齐全、清晰、正确，标识管理基本符合标准要求，并满足实际需要。</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tabs>
                <w:tab w:val="left" w:pos="6597"/>
              </w:tabs>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sz w:val="24"/>
                <w:szCs w:val="24"/>
              </w:rPr>
            </w:pPr>
            <w:r>
              <w:rPr>
                <w:rFonts w:hint="eastAsia" w:ascii="宋体" w:hAnsi="宋体"/>
                <w:sz w:val="24"/>
                <w:szCs w:val="24"/>
              </w:rPr>
              <w:t>产品防护</w:t>
            </w:r>
          </w:p>
        </w:tc>
        <w:tc>
          <w:tcPr>
            <w:tcW w:w="960" w:type="dxa"/>
            <w:vAlign w:val="top"/>
          </w:tcPr>
          <w:p>
            <w:pPr>
              <w:keepNext w:val="0"/>
              <w:keepLines w:val="0"/>
              <w:suppressLineNumbers w:val="0"/>
              <w:tabs>
                <w:tab w:val="left" w:pos="6597"/>
              </w:tabs>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宋体" w:hAnsi="宋体"/>
                <w:sz w:val="24"/>
                <w:szCs w:val="24"/>
              </w:rPr>
              <w:t xml:space="preserve">Q8.5.4 </w:t>
            </w:r>
          </w:p>
        </w:tc>
        <w:tc>
          <w:tcPr>
            <w:tcW w:w="10004" w:type="dxa"/>
            <w:vAlign w:val="top"/>
          </w:tcPr>
          <w:p>
            <w:pPr>
              <w:keepNext w:val="0"/>
              <w:keepLines w:val="0"/>
              <w:suppressLineNumbers w:val="0"/>
              <w:tabs>
                <w:tab w:val="left" w:pos="6597"/>
              </w:tabs>
              <w:spacing w:before="0" w:beforeAutospacing="0" w:after="0" w:afterAutospacing="0" w:line="360" w:lineRule="auto"/>
              <w:ind w:left="0" w:right="0" w:firstLine="480" w:firstLineChars="200"/>
              <w:rPr>
                <w:rFonts w:hint="default" w:ascii="宋体" w:hAnsi="宋体"/>
                <w:sz w:val="24"/>
                <w:szCs w:val="24"/>
              </w:rPr>
            </w:pPr>
            <w:r>
              <w:rPr>
                <w:rFonts w:hint="eastAsia" w:ascii="宋体" w:hAnsi="宋体"/>
                <w:sz w:val="24"/>
                <w:szCs w:val="24"/>
              </w:rPr>
              <w:t>公司对</w:t>
            </w:r>
            <w:r>
              <w:rPr>
                <w:rFonts w:hint="eastAsia" w:asciiTheme="minorEastAsia" w:hAnsiTheme="minorEastAsia" w:eastAsiaTheme="minorEastAsia" w:cstheme="minorEastAsia"/>
                <w:sz w:val="24"/>
                <w:szCs w:val="24"/>
                <w:lang w:val="en-US" w:eastAsia="zh-CN"/>
              </w:rPr>
              <w:t>运行维护服务</w:t>
            </w:r>
            <w:r>
              <w:rPr>
                <w:rFonts w:hint="eastAsia" w:ascii="宋体" w:hAnsi="宋体"/>
                <w:sz w:val="24"/>
                <w:szCs w:val="24"/>
              </w:rPr>
              <w:t>的防护实施控制：</w:t>
            </w:r>
          </w:p>
          <w:p>
            <w:pPr>
              <w:keepNext w:val="0"/>
              <w:keepLines w:val="0"/>
              <w:suppressLineNumbers w:val="0"/>
              <w:tabs>
                <w:tab w:val="left" w:pos="6597"/>
              </w:tabs>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rPr>
              <w:t>公司自体系运行以来，未发生由于防护不当导致</w:t>
            </w:r>
            <w:r>
              <w:rPr>
                <w:rFonts w:hint="eastAsia" w:asciiTheme="minorEastAsia" w:hAnsiTheme="minorEastAsia" w:eastAsiaTheme="minorEastAsia" w:cstheme="minorEastAsia"/>
                <w:sz w:val="24"/>
                <w:szCs w:val="24"/>
                <w:lang w:val="en-US" w:eastAsia="zh-CN"/>
              </w:rPr>
              <w:t>运行维护服务</w:t>
            </w:r>
            <w:r>
              <w:rPr>
                <w:rFonts w:hint="eastAsia" w:ascii="宋体" w:hAnsi="宋体"/>
                <w:sz w:val="24"/>
                <w:szCs w:val="24"/>
              </w:rPr>
              <w:t>质量事故的情况，防护措施能够满足要求。</w:t>
            </w:r>
          </w:p>
          <w:p>
            <w:pPr>
              <w:keepNext w:val="0"/>
              <w:keepLines w:val="0"/>
              <w:suppressLineNumbers w:val="0"/>
              <w:snapToGrid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现场检查：档案橱内文件分类存放，有专用文件夹，标明了文件档案的名称。档案橱上锁保密，电脑设置了密码，</w:t>
            </w:r>
            <w:r>
              <w:rPr>
                <w:rFonts w:hint="eastAsia" w:asciiTheme="minorEastAsia" w:hAnsiTheme="minorEastAsia" w:eastAsiaTheme="minorEastAsia" w:cstheme="minorEastAsia"/>
                <w:sz w:val="24"/>
                <w:szCs w:val="24"/>
                <w:lang w:val="en-US" w:eastAsia="zh-CN"/>
              </w:rPr>
              <w:t>技术性文件</w:t>
            </w:r>
            <w:r>
              <w:rPr>
                <w:rFonts w:hint="eastAsia" w:asciiTheme="minorEastAsia" w:hAnsiTheme="minorEastAsia" w:eastAsiaTheme="minorEastAsia" w:cstheme="minorEastAsia"/>
                <w:sz w:val="24"/>
                <w:szCs w:val="24"/>
              </w:rPr>
              <w:t>有密码保护。</w:t>
            </w:r>
          </w:p>
          <w:p>
            <w:pPr>
              <w:pStyle w:val="2"/>
              <w:keepNext w:val="0"/>
              <w:keepLines w:val="0"/>
              <w:suppressLineNumbers w:val="0"/>
              <w:spacing w:before="0" w:beforeAutospacing="0" w:after="0" w:afterAutospacing="0" w:line="360" w:lineRule="auto"/>
              <w:ind w:left="0" w:right="0"/>
              <w:rPr>
                <w:rFonts w:hint="default"/>
                <w:szCs w:val="20"/>
              </w:rPr>
            </w:pPr>
            <w:r>
              <w:rPr>
                <w:rFonts w:hint="eastAsia" w:asciiTheme="minorEastAsia" w:hAnsiTheme="minorEastAsia" w:eastAsiaTheme="minorEastAsia" w:cstheme="minorEastAsia"/>
                <w:sz w:val="24"/>
                <w:szCs w:val="24"/>
              </w:rPr>
              <w:t>产品防护的管理符合标准要求。</w:t>
            </w:r>
          </w:p>
          <w:p>
            <w:pPr>
              <w:keepNext w:val="0"/>
              <w:keepLines w:val="0"/>
              <w:suppressLineNumbers w:val="0"/>
              <w:tabs>
                <w:tab w:val="left" w:pos="6597"/>
              </w:tabs>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宋体" w:hAnsi="宋体"/>
                <w:sz w:val="24"/>
                <w:szCs w:val="24"/>
              </w:rPr>
              <w:t>现场产品防护能够按照策划的要求实施，满足策划的要求。</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60" w:type="dxa"/>
            <w:vAlign w:val="top"/>
          </w:tcPr>
          <w:p>
            <w:pPr>
              <w:keepNext w:val="0"/>
              <w:keepLines w:val="0"/>
              <w:suppressLineNumbers w:val="0"/>
              <w:tabs>
                <w:tab w:val="left" w:pos="6597"/>
              </w:tabs>
              <w:spacing w:before="0" w:beforeAutospacing="0" w:after="0" w:afterAutospacing="0" w:line="360" w:lineRule="auto"/>
              <w:ind w:left="0" w:right="0"/>
              <w:jc w:val="center"/>
              <w:rPr>
                <w:rFonts w:hint="eastAsia" w:ascii="宋体" w:hAnsi="宋体"/>
                <w:sz w:val="24"/>
                <w:szCs w:val="24"/>
              </w:rPr>
            </w:pPr>
            <w:r>
              <w:rPr>
                <w:rFonts w:hint="eastAsia" w:ascii="宋体" w:hAnsi="宋体"/>
                <w:sz w:val="24"/>
                <w:szCs w:val="24"/>
              </w:rPr>
              <w:t>交付后活动</w:t>
            </w:r>
          </w:p>
        </w:tc>
        <w:tc>
          <w:tcPr>
            <w:tcW w:w="960" w:type="dxa"/>
            <w:vAlign w:val="top"/>
          </w:tcPr>
          <w:p>
            <w:pPr>
              <w:keepNext w:val="0"/>
              <w:keepLines w:val="0"/>
              <w:suppressLineNumbers w:val="0"/>
              <w:tabs>
                <w:tab w:val="left" w:pos="6597"/>
              </w:tabs>
              <w:spacing w:before="0" w:beforeAutospacing="0" w:after="0" w:afterAutospacing="0" w:line="360" w:lineRule="auto"/>
              <w:ind w:left="0" w:right="0"/>
              <w:rPr>
                <w:rFonts w:hint="eastAsia" w:ascii="宋体" w:hAnsi="宋体"/>
                <w:sz w:val="24"/>
                <w:szCs w:val="24"/>
              </w:rPr>
            </w:pPr>
            <w:r>
              <w:rPr>
                <w:rFonts w:hint="eastAsia" w:ascii="宋体" w:hAnsi="宋体"/>
                <w:sz w:val="24"/>
                <w:szCs w:val="24"/>
              </w:rPr>
              <w:t>Q8.5.5</w:t>
            </w:r>
          </w:p>
        </w:tc>
        <w:tc>
          <w:tcPr>
            <w:tcW w:w="10004" w:type="dxa"/>
            <w:vAlign w:val="top"/>
          </w:tcPr>
          <w:p>
            <w:pPr>
              <w:keepNext w:val="0"/>
              <w:keepLines w:val="0"/>
              <w:suppressLineNumbers w:val="0"/>
              <w:tabs>
                <w:tab w:val="left" w:pos="6597"/>
              </w:tabs>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rPr>
              <w:t>如客户在使用过程中出现问题，先通过电话进行解决，如远程无法解决，派专人到客户现场实地协调解决。</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60" w:type="dxa"/>
            <w:vAlign w:val="top"/>
          </w:tcPr>
          <w:p>
            <w:pPr>
              <w:keepNext w:val="0"/>
              <w:keepLines w:val="0"/>
              <w:suppressLineNumbers w:val="0"/>
              <w:tabs>
                <w:tab w:val="left" w:pos="6597"/>
              </w:tabs>
              <w:spacing w:before="0" w:beforeAutospacing="0" w:after="0" w:afterAutospacing="0" w:line="360" w:lineRule="auto"/>
              <w:ind w:left="0" w:right="0"/>
              <w:jc w:val="center"/>
              <w:rPr>
                <w:rFonts w:hint="eastAsia" w:ascii="宋体" w:hAnsi="宋体"/>
                <w:sz w:val="24"/>
                <w:szCs w:val="24"/>
              </w:rPr>
            </w:pPr>
            <w:r>
              <w:rPr>
                <w:rFonts w:hint="eastAsia" w:asciiTheme="minorEastAsia" w:hAnsiTheme="minorEastAsia" w:eastAsiaTheme="minorEastAsia" w:cstheme="minorEastAsia"/>
                <w:sz w:val="24"/>
                <w:szCs w:val="24"/>
                <w:highlight w:val="none"/>
              </w:rPr>
              <w:t>更改控制</w:t>
            </w:r>
          </w:p>
        </w:tc>
        <w:tc>
          <w:tcPr>
            <w:tcW w:w="960" w:type="dxa"/>
            <w:vAlign w:val="top"/>
          </w:tcPr>
          <w:p>
            <w:pPr>
              <w:keepNext w:val="0"/>
              <w:keepLines w:val="0"/>
              <w:suppressLineNumbers w:val="0"/>
              <w:tabs>
                <w:tab w:val="left" w:pos="6597"/>
              </w:tabs>
              <w:spacing w:before="0" w:beforeAutospacing="0" w:after="0" w:afterAutospacing="0" w:line="360" w:lineRule="auto"/>
              <w:ind w:left="0" w:right="0"/>
              <w:rPr>
                <w:rFonts w:hint="eastAsia" w:ascii="宋体" w:hAnsi="宋体"/>
                <w:sz w:val="24"/>
                <w:szCs w:val="24"/>
              </w:rPr>
            </w:pPr>
            <w:r>
              <w:rPr>
                <w:rFonts w:hint="eastAsia" w:asciiTheme="minorEastAsia" w:hAnsiTheme="minorEastAsia" w:eastAsiaTheme="minorEastAsia" w:cstheme="minorEastAsia"/>
                <w:sz w:val="24"/>
                <w:szCs w:val="24"/>
                <w:highlight w:val="none"/>
                <w:lang w:val="en-US" w:eastAsia="zh-CN"/>
              </w:rPr>
              <w:t>Q</w:t>
            </w:r>
            <w:r>
              <w:rPr>
                <w:rFonts w:hint="eastAsia" w:asciiTheme="minorEastAsia" w:hAnsiTheme="minorEastAsia" w:eastAsiaTheme="minorEastAsia" w:cstheme="minorEastAsia"/>
                <w:sz w:val="24"/>
                <w:szCs w:val="24"/>
                <w:highlight w:val="none"/>
              </w:rPr>
              <w:t>8.5.6</w:t>
            </w:r>
          </w:p>
        </w:tc>
        <w:tc>
          <w:tcPr>
            <w:tcW w:w="10004" w:type="dxa"/>
            <w:vAlign w:val="top"/>
          </w:tcPr>
          <w:p>
            <w:pPr>
              <w:keepNext w:val="0"/>
              <w:keepLines w:val="0"/>
              <w:suppressLineNumbers w:val="0"/>
              <w:tabs>
                <w:tab w:val="left" w:pos="6597"/>
              </w:tabs>
              <w:spacing w:before="0" w:beforeAutospacing="0" w:after="0" w:afterAutospacing="0" w:line="360" w:lineRule="auto"/>
              <w:ind w:left="0" w:right="0" w:firstLine="480" w:firstLineChars="200"/>
              <w:rPr>
                <w:rFonts w:hint="eastAsia" w:ascii="宋体" w:hAnsi="宋体"/>
                <w:sz w:val="24"/>
                <w:szCs w:val="24"/>
              </w:rPr>
            </w:pPr>
            <w:r>
              <w:rPr>
                <w:rFonts w:hint="eastAsia" w:ascii="宋体" w:hAnsi="宋体"/>
                <w:sz w:val="24"/>
                <w:szCs w:val="24"/>
              </w:rPr>
              <w:t>对于</w:t>
            </w:r>
            <w:r>
              <w:rPr>
                <w:rFonts w:hint="eastAsia" w:ascii="宋体" w:hAnsi="宋体"/>
                <w:sz w:val="24"/>
                <w:szCs w:val="24"/>
                <w:lang w:val="en-US" w:eastAsia="zh-CN"/>
              </w:rPr>
              <w:t>服务</w:t>
            </w:r>
            <w:r>
              <w:rPr>
                <w:rFonts w:hint="eastAsia" w:ascii="宋体" w:hAnsi="宋体"/>
                <w:sz w:val="24"/>
                <w:szCs w:val="24"/>
              </w:rPr>
              <w:t>过程的更改，公司规定通过《通知单》的形式重新下达。</w:t>
            </w:r>
            <w:r>
              <w:rPr>
                <w:rFonts w:hint="eastAsia" w:ascii="宋体" w:hAnsi="宋体"/>
                <w:sz w:val="24"/>
                <w:szCs w:val="24"/>
                <w:lang w:val="en-US" w:eastAsia="zh-CN"/>
              </w:rPr>
              <w:t>服务</w:t>
            </w:r>
            <w:r>
              <w:rPr>
                <w:rFonts w:hint="eastAsia" w:ascii="宋体" w:hAnsi="宋体"/>
                <w:sz w:val="24"/>
                <w:szCs w:val="24"/>
              </w:rPr>
              <w:t>过程的更改指令，若涉及到交付时间更改，均有对应的合同更改评审记录，本部门再次通过《通知单》下达。更改的</w:t>
            </w:r>
            <w:r>
              <w:rPr>
                <w:rFonts w:hint="eastAsia" w:ascii="宋体" w:hAnsi="宋体"/>
                <w:sz w:val="24"/>
                <w:szCs w:val="24"/>
                <w:lang w:val="en-US" w:eastAsia="zh-CN"/>
              </w:rPr>
              <w:t>服务</w:t>
            </w:r>
            <w:r>
              <w:rPr>
                <w:rFonts w:hint="eastAsia" w:ascii="宋体" w:hAnsi="宋体"/>
                <w:sz w:val="24"/>
                <w:szCs w:val="24"/>
              </w:rPr>
              <w:t>指令由本部门负责人签发。经查目前无</w:t>
            </w:r>
            <w:r>
              <w:rPr>
                <w:rFonts w:hint="eastAsia" w:ascii="宋体" w:hAnsi="宋体"/>
                <w:sz w:val="24"/>
                <w:szCs w:val="24"/>
                <w:lang w:val="en-US" w:eastAsia="zh-CN"/>
              </w:rPr>
              <w:t>服务</w:t>
            </w:r>
            <w:r>
              <w:rPr>
                <w:rFonts w:hint="eastAsia" w:ascii="宋体" w:hAnsi="宋体"/>
                <w:sz w:val="24"/>
                <w:szCs w:val="24"/>
              </w:rPr>
              <w:t>过程的更改。</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不合格输出的控制</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Q</w:t>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en-US" w:eastAsia="zh-CN"/>
              </w:rPr>
              <w:t>7</w:t>
            </w:r>
          </w:p>
        </w:tc>
        <w:tc>
          <w:tcPr>
            <w:tcW w:w="10004" w:type="dxa"/>
          </w:tcPr>
          <w:p>
            <w:pPr>
              <w:keepNext w:val="0"/>
              <w:keepLines w:val="0"/>
              <w:suppressLineNumbers w:val="0"/>
              <w:autoSpaceDE w:val="0"/>
              <w:autoSpaceDN w:val="0"/>
              <w:spacing w:before="0" w:beforeAutospacing="0" w:after="0" w:afterAutospacing="0" w:line="360" w:lineRule="auto"/>
              <w:ind w:left="0" w:right="0"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提供的《不合格品控制程序》中规定了对不合格品的标识、记录、隔离、记录和处置的控制要求。采购检验中发现的不合格，要求做好相应的标识，并及时通知采购人员作退/换货处理，</w:t>
            </w:r>
            <w:r>
              <w:rPr>
                <w:rFonts w:hint="eastAsia" w:cs="Times New Roman"/>
                <w:sz w:val="24"/>
                <w:szCs w:val="24"/>
                <w:lang w:val="en-US" w:eastAsia="zh-CN"/>
              </w:rPr>
              <w:t>服务</w:t>
            </w:r>
            <w:r>
              <w:rPr>
                <w:rFonts w:hint="eastAsia" w:ascii="Times New Roman" w:hAnsi="Times New Roman" w:cs="Times New Roman"/>
                <w:sz w:val="24"/>
                <w:szCs w:val="24"/>
              </w:rPr>
              <w:t>检验过程中发现的少量不合格品作</w:t>
            </w:r>
            <w:r>
              <w:rPr>
                <w:rFonts w:hint="eastAsia" w:cs="Times New Roman"/>
                <w:sz w:val="24"/>
                <w:szCs w:val="24"/>
                <w:lang w:val="en-US" w:eastAsia="zh-CN"/>
              </w:rPr>
              <w:t>退货</w:t>
            </w:r>
            <w:r>
              <w:rPr>
                <w:rFonts w:hint="eastAsia" w:ascii="Times New Roman" w:hAnsi="Times New Roman" w:cs="Times New Roman"/>
                <w:sz w:val="24"/>
                <w:szCs w:val="24"/>
              </w:rPr>
              <w:t>处理，批量的不合格品要求填写“不合格品处置单”，记录不合格品名称、规格/型号、数量、不合格事实、评审处置措施，验证结果等。</w:t>
            </w:r>
          </w:p>
          <w:p>
            <w:pPr>
              <w:keepNext w:val="0"/>
              <w:keepLines w:val="0"/>
              <w:suppressLineNumbers w:val="0"/>
              <w:spacing w:before="0" w:beforeAutospacing="0" w:after="0" w:afterAutospacing="0" w:line="460" w:lineRule="exact"/>
              <w:ind w:left="0" w:right="0" w:firstLine="480" w:firstLineChars="200"/>
              <w:rPr>
                <w:rFonts w:hint="eastAsia" w:asciiTheme="minorEastAsia" w:hAnsiTheme="minorEastAsia" w:eastAsiaTheme="minorEastAsia" w:cstheme="minorEastAsia"/>
                <w:sz w:val="24"/>
                <w:szCs w:val="24"/>
              </w:rPr>
            </w:pPr>
            <w:r>
              <w:rPr>
                <w:rFonts w:hint="eastAsia" w:ascii="Times New Roman" w:hAnsi="Times New Roman" w:cs="Times New Roman"/>
                <w:sz w:val="24"/>
                <w:szCs w:val="24"/>
              </w:rPr>
              <w:t>产品交付后没有发现不合格的情况，不合格品控制有效。</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分析与评价</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Q</w:t>
            </w:r>
            <w:r>
              <w:rPr>
                <w:rFonts w:hint="eastAsia" w:asciiTheme="minorEastAsia" w:hAnsiTheme="minorEastAsia" w:eastAsiaTheme="minorEastAsia" w:cstheme="minorEastAsia"/>
                <w:sz w:val="24"/>
                <w:szCs w:val="24"/>
                <w:highlight w:val="none"/>
              </w:rPr>
              <w:t>9.1.3</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宋体" w:hAnsi="宋体"/>
                <w:sz w:val="24"/>
                <w:szCs w:val="20"/>
              </w:rPr>
            </w:pPr>
            <w:r>
              <w:rPr>
                <w:rFonts w:hint="eastAsia" w:ascii="宋体" w:hAnsi="宋体"/>
                <w:sz w:val="24"/>
                <w:szCs w:val="20"/>
              </w:rPr>
              <w:t>经查：部门根据监视和测量获得的数据和信息，组织相关部门进行了分析评价。包括：对公司及各部门质量目标完成情见进行分析，确定质量体系运行状况（见管理评审输入）；对顾客满意有关的信息进行了分析，以确定顾客满意程度（见</w:t>
            </w:r>
            <w:r>
              <w:rPr>
                <w:rFonts w:hint="eastAsia" w:ascii="宋体" w:hAnsi="宋体"/>
                <w:sz w:val="24"/>
                <w:szCs w:val="20"/>
                <w:lang w:eastAsia="zh-CN"/>
              </w:rPr>
              <w:t>经营部</w:t>
            </w:r>
            <w:r>
              <w:rPr>
                <w:rFonts w:hint="eastAsia" w:ascii="宋体" w:hAnsi="宋体"/>
                <w:sz w:val="24"/>
                <w:szCs w:val="20"/>
              </w:rPr>
              <w:t>9.1.2）；</w:t>
            </w:r>
          </w:p>
          <w:p>
            <w:pPr>
              <w:keepNext w:val="0"/>
              <w:keepLines w:val="0"/>
              <w:suppressLineNumbers w:val="0"/>
              <w:spacing w:before="0" w:beforeAutospacing="0" w:after="0" w:afterAutospacing="0" w:line="360" w:lineRule="auto"/>
              <w:ind w:left="0" w:right="0" w:firstLine="480" w:firstLineChars="200"/>
              <w:rPr>
                <w:rFonts w:hint="eastAsia" w:ascii="宋体" w:hAnsi="宋体"/>
                <w:sz w:val="24"/>
                <w:szCs w:val="20"/>
              </w:rPr>
            </w:pPr>
            <w:r>
              <w:rPr>
                <w:rFonts w:hint="eastAsia" w:ascii="宋体" w:hAnsi="宋体"/>
                <w:sz w:val="24"/>
                <w:szCs w:val="20"/>
              </w:rPr>
              <w:t>对内部审核的有关信息和应对风险措施的有效性进行分析，以确定质量管理体系的有效性（见</w:t>
            </w:r>
            <w:r>
              <w:rPr>
                <w:rFonts w:hint="eastAsia" w:ascii="宋体" w:hAnsi="宋体"/>
                <w:sz w:val="24"/>
                <w:szCs w:val="20"/>
                <w:lang w:val="en-US" w:eastAsia="zh-CN"/>
              </w:rPr>
              <w:t>办公室</w:t>
            </w:r>
            <w:r>
              <w:rPr>
                <w:rFonts w:hint="eastAsia" w:ascii="宋体" w:hAnsi="宋体"/>
                <w:sz w:val="24"/>
                <w:szCs w:val="20"/>
              </w:rPr>
              <w:t>9.2）。</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lang w:eastAsia="zh-CN"/>
              </w:rPr>
            </w:pPr>
            <w:r>
              <w:rPr>
                <w:rFonts w:hint="eastAsia" w:ascii="宋体" w:hAnsi="宋体"/>
                <w:sz w:val="24"/>
                <w:szCs w:val="20"/>
              </w:rPr>
              <w:t>部门在汇总以上分析结果的基础上，分析针对风险和机遇所采取措施的有效性，积极寻找质量管理体系持续改进的机会，通过管理评审会议的改进决策进行质量管理体系的持续改进（见相关部门检查表）。</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不合格与纠正措施</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Q</w:t>
            </w:r>
            <w:r>
              <w:rPr>
                <w:rFonts w:hint="eastAsia" w:asciiTheme="minorEastAsia" w:hAnsiTheme="minorEastAsia" w:eastAsiaTheme="minorEastAsia" w:cstheme="minorEastAsia"/>
                <w:sz w:val="24"/>
                <w:szCs w:val="24"/>
                <w:highlight w:val="none"/>
              </w:rPr>
              <w:t>10.2</w:t>
            </w:r>
          </w:p>
        </w:tc>
        <w:tc>
          <w:tcPr>
            <w:tcW w:w="10004" w:type="dxa"/>
          </w:tcPr>
          <w:p>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r>
              <w:rPr>
                <w:rFonts w:hint="eastAsia" w:ascii="宋体" w:hAnsi="宋体"/>
                <w:sz w:val="24"/>
                <w:szCs w:val="20"/>
              </w:rPr>
              <w:t>查：公司编制有《改进控制程序》，规定</w:t>
            </w:r>
            <w:bookmarkStart w:id="0" w:name="_GoBack"/>
            <w:bookmarkEnd w:id="0"/>
            <w:r>
              <w:rPr>
                <w:rFonts w:hint="eastAsia" w:ascii="宋体" w:hAnsi="宋体"/>
                <w:sz w:val="24"/>
                <w:szCs w:val="20"/>
              </w:rPr>
              <w:t>了发现不合格应采取</w:t>
            </w:r>
            <w:r>
              <w:rPr>
                <w:rFonts w:hint="eastAsia" w:hAnsi="宋体"/>
                <w:sz w:val="24"/>
                <w:szCs w:val="20"/>
              </w:rPr>
              <w:t>纠正措施的具体要求，</w:t>
            </w:r>
            <w:r>
              <w:rPr>
                <w:rFonts w:hint="eastAsia" w:ascii="宋体" w:hAnsi="宋体"/>
                <w:sz w:val="24"/>
                <w:szCs w:val="20"/>
              </w:rPr>
              <w:t>并按要求进行了控制。</w:t>
            </w:r>
          </w:p>
          <w:p>
            <w:pPr>
              <w:keepNext w:val="0"/>
              <w:keepLines w:val="0"/>
              <w:suppressLineNumbers w:val="0"/>
              <w:tabs>
                <w:tab w:val="left" w:pos="810"/>
                <w:tab w:val="right" w:pos="10332"/>
              </w:tabs>
              <w:spacing w:before="0" w:beforeAutospacing="0" w:after="0" w:afterAutospacing="0" w:line="360" w:lineRule="auto"/>
              <w:ind w:left="0" w:right="0" w:firstLine="480" w:firstLineChars="200"/>
              <w:rPr>
                <w:rFonts w:hint="default"/>
                <w:sz w:val="24"/>
                <w:szCs w:val="20"/>
              </w:rPr>
            </w:pPr>
            <w:r>
              <w:rPr>
                <w:rFonts w:hint="eastAsia" w:hAnsi="宋体"/>
                <w:sz w:val="24"/>
                <w:szCs w:val="20"/>
              </w:rPr>
              <w:t>抽查内审《不符合报告》，针对内审中发现的不合格事实，责任部门进行了原因分析，制定了纠正措施并实施，经验证整改有效。</w:t>
            </w:r>
          </w:p>
          <w:p>
            <w:pPr>
              <w:keepNext w:val="0"/>
              <w:keepLines w:val="0"/>
              <w:suppressLineNumbers w:val="0"/>
              <w:spacing w:before="0" w:beforeAutospacing="0" w:after="0" w:afterAutospacing="0" w:line="460" w:lineRule="exact"/>
              <w:ind w:left="0" w:right="0" w:firstLine="480" w:firstLineChars="200"/>
              <w:rPr>
                <w:rFonts w:hint="eastAsia" w:asciiTheme="minorEastAsia" w:hAnsiTheme="minorEastAsia" w:eastAsiaTheme="minorEastAsia" w:cstheme="minorEastAsia"/>
                <w:sz w:val="24"/>
                <w:szCs w:val="20"/>
                <w:lang w:eastAsia="zh-CN"/>
              </w:rPr>
            </w:pPr>
            <w:r>
              <w:rPr>
                <w:rFonts w:hint="eastAsia"/>
                <w:sz w:val="24"/>
                <w:szCs w:val="20"/>
              </w:rPr>
              <w:t>体系运行的</w:t>
            </w:r>
            <w:r>
              <w:rPr>
                <w:rFonts w:hint="default"/>
                <w:sz w:val="24"/>
                <w:szCs w:val="20"/>
              </w:rPr>
              <w:t>其他方面经过日常工作检查和数据分析，暂未发现应采取纠正和预防措施的机会。日后应进一步加大日常工作检查力度，及时发现不符合及潜在 不符合并及时采取相应措施，持续改进体系的有效性。</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bl>
    <w:p>
      <w:pPr>
        <w:pStyle w:val="5"/>
        <w:rPr>
          <w:rFonts w:hint="eastAsia"/>
        </w:rPr>
      </w:pPr>
    </w:p>
    <w:p>
      <w:pPr>
        <w:pStyle w:val="5"/>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F2AAB"/>
    <w:multiLevelType w:val="singleLevel"/>
    <w:tmpl w:val="A74F2AAB"/>
    <w:lvl w:ilvl="0" w:tentative="0">
      <w:start w:val="2"/>
      <w:numFmt w:val="upperLetter"/>
      <w:suff w:val="nothing"/>
      <w:lvlText w:val="%1、"/>
      <w:lvlJc w:val="left"/>
      <w:pPr>
        <w:ind w:left="720" w:leftChars="0" w:firstLine="0" w:firstLineChars="0"/>
      </w:pPr>
    </w:lvl>
  </w:abstractNum>
  <w:abstractNum w:abstractNumId="1">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30C02FB"/>
    <w:multiLevelType w:val="singleLevel"/>
    <w:tmpl w:val="730C02FB"/>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00201C46"/>
    <w:rsid w:val="002C35E9"/>
    <w:rsid w:val="00674E7A"/>
    <w:rsid w:val="008C662D"/>
    <w:rsid w:val="00B03F83"/>
    <w:rsid w:val="00C57A77"/>
    <w:rsid w:val="00DF0EAC"/>
    <w:rsid w:val="00F64645"/>
    <w:rsid w:val="00FA1AF1"/>
    <w:rsid w:val="01064F86"/>
    <w:rsid w:val="01150EF3"/>
    <w:rsid w:val="011647F9"/>
    <w:rsid w:val="012308D5"/>
    <w:rsid w:val="01656A6A"/>
    <w:rsid w:val="017224FF"/>
    <w:rsid w:val="017C2B43"/>
    <w:rsid w:val="01FE22C2"/>
    <w:rsid w:val="0217296C"/>
    <w:rsid w:val="02212C92"/>
    <w:rsid w:val="02A878FA"/>
    <w:rsid w:val="02AB77FA"/>
    <w:rsid w:val="02AD35B5"/>
    <w:rsid w:val="02BD34E1"/>
    <w:rsid w:val="02E40E3C"/>
    <w:rsid w:val="02F01038"/>
    <w:rsid w:val="03784CB1"/>
    <w:rsid w:val="039378B3"/>
    <w:rsid w:val="040C441E"/>
    <w:rsid w:val="041A784C"/>
    <w:rsid w:val="044F0F68"/>
    <w:rsid w:val="04646D48"/>
    <w:rsid w:val="04794FCE"/>
    <w:rsid w:val="048A34BE"/>
    <w:rsid w:val="04DB1260"/>
    <w:rsid w:val="05156BD6"/>
    <w:rsid w:val="05387D64"/>
    <w:rsid w:val="05532C0A"/>
    <w:rsid w:val="055D4637"/>
    <w:rsid w:val="05945B51"/>
    <w:rsid w:val="05AD114E"/>
    <w:rsid w:val="05B1294D"/>
    <w:rsid w:val="05F029B7"/>
    <w:rsid w:val="06270644"/>
    <w:rsid w:val="062D7335"/>
    <w:rsid w:val="064D7D0A"/>
    <w:rsid w:val="07055295"/>
    <w:rsid w:val="07400920"/>
    <w:rsid w:val="07D20F5A"/>
    <w:rsid w:val="07FE491D"/>
    <w:rsid w:val="08B32B55"/>
    <w:rsid w:val="08C82907"/>
    <w:rsid w:val="08E5299A"/>
    <w:rsid w:val="08F4537E"/>
    <w:rsid w:val="092704E6"/>
    <w:rsid w:val="09730F62"/>
    <w:rsid w:val="09A85CE4"/>
    <w:rsid w:val="09D5537D"/>
    <w:rsid w:val="09E356A1"/>
    <w:rsid w:val="0A7F6F7A"/>
    <w:rsid w:val="0AAC35C5"/>
    <w:rsid w:val="0AF75F5E"/>
    <w:rsid w:val="0AFF004D"/>
    <w:rsid w:val="0B0359A9"/>
    <w:rsid w:val="0B255BA5"/>
    <w:rsid w:val="0B2C43A0"/>
    <w:rsid w:val="0B9C72B1"/>
    <w:rsid w:val="0BA22397"/>
    <w:rsid w:val="0BD217E9"/>
    <w:rsid w:val="0C3E171F"/>
    <w:rsid w:val="0C410FA9"/>
    <w:rsid w:val="0C442F8F"/>
    <w:rsid w:val="0C62668C"/>
    <w:rsid w:val="0C6509A7"/>
    <w:rsid w:val="0C9C485E"/>
    <w:rsid w:val="0CC479DF"/>
    <w:rsid w:val="0CF52948"/>
    <w:rsid w:val="0CFE6451"/>
    <w:rsid w:val="0D540B08"/>
    <w:rsid w:val="0E157897"/>
    <w:rsid w:val="0E4B178C"/>
    <w:rsid w:val="0E4C507F"/>
    <w:rsid w:val="0E643B61"/>
    <w:rsid w:val="0F805860"/>
    <w:rsid w:val="0F872BC2"/>
    <w:rsid w:val="0F975DCF"/>
    <w:rsid w:val="0FA7713A"/>
    <w:rsid w:val="10581755"/>
    <w:rsid w:val="106554D2"/>
    <w:rsid w:val="110F780B"/>
    <w:rsid w:val="114B1966"/>
    <w:rsid w:val="117A709E"/>
    <w:rsid w:val="11ED56F3"/>
    <w:rsid w:val="121559CA"/>
    <w:rsid w:val="12463FB9"/>
    <w:rsid w:val="125E1E6F"/>
    <w:rsid w:val="12727714"/>
    <w:rsid w:val="128A22C6"/>
    <w:rsid w:val="12904F23"/>
    <w:rsid w:val="12AB46D9"/>
    <w:rsid w:val="143A371A"/>
    <w:rsid w:val="143B6641"/>
    <w:rsid w:val="14735C84"/>
    <w:rsid w:val="15330425"/>
    <w:rsid w:val="15996898"/>
    <w:rsid w:val="15DF06A2"/>
    <w:rsid w:val="15F778EA"/>
    <w:rsid w:val="16756742"/>
    <w:rsid w:val="167C1D5F"/>
    <w:rsid w:val="167D03E4"/>
    <w:rsid w:val="16CC0063"/>
    <w:rsid w:val="16D80FB8"/>
    <w:rsid w:val="172E4260"/>
    <w:rsid w:val="175B57DA"/>
    <w:rsid w:val="1782536F"/>
    <w:rsid w:val="17DE6061"/>
    <w:rsid w:val="17E267D0"/>
    <w:rsid w:val="17E53E3D"/>
    <w:rsid w:val="181E7584"/>
    <w:rsid w:val="183F37D9"/>
    <w:rsid w:val="18B0205D"/>
    <w:rsid w:val="18B11E15"/>
    <w:rsid w:val="18E27527"/>
    <w:rsid w:val="18F56F1F"/>
    <w:rsid w:val="19000488"/>
    <w:rsid w:val="19664B25"/>
    <w:rsid w:val="19BA61A4"/>
    <w:rsid w:val="1A5E62EF"/>
    <w:rsid w:val="1A74667E"/>
    <w:rsid w:val="1AA27698"/>
    <w:rsid w:val="1AE1297D"/>
    <w:rsid w:val="1BB94BB4"/>
    <w:rsid w:val="1C4C01FE"/>
    <w:rsid w:val="1C667031"/>
    <w:rsid w:val="1C7F3E78"/>
    <w:rsid w:val="1C990A33"/>
    <w:rsid w:val="1CE802AE"/>
    <w:rsid w:val="1D474298"/>
    <w:rsid w:val="1D7B40A7"/>
    <w:rsid w:val="1E4D237F"/>
    <w:rsid w:val="1E5C5B1A"/>
    <w:rsid w:val="1E603584"/>
    <w:rsid w:val="1E7B1BF8"/>
    <w:rsid w:val="1E8C3D8B"/>
    <w:rsid w:val="1E9B03A4"/>
    <w:rsid w:val="1EE1376D"/>
    <w:rsid w:val="1EE5332D"/>
    <w:rsid w:val="1F4C6803"/>
    <w:rsid w:val="1F72308D"/>
    <w:rsid w:val="1F7B3C30"/>
    <w:rsid w:val="1F8A3B16"/>
    <w:rsid w:val="1FB734E6"/>
    <w:rsid w:val="1FC66CAF"/>
    <w:rsid w:val="1FCE5BEC"/>
    <w:rsid w:val="1FDF7C8E"/>
    <w:rsid w:val="1FF96882"/>
    <w:rsid w:val="203F187A"/>
    <w:rsid w:val="20847E4C"/>
    <w:rsid w:val="20FA23AE"/>
    <w:rsid w:val="21054632"/>
    <w:rsid w:val="213E18E7"/>
    <w:rsid w:val="215E2431"/>
    <w:rsid w:val="21663AEF"/>
    <w:rsid w:val="217F0477"/>
    <w:rsid w:val="22207A4B"/>
    <w:rsid w:val="226E05D5"/>
    <w:rsid w:val="22873196"/>
    <w:rsid w:val="22C464B5"/>
    <w:rsid w:val="230D0BB8"/>
    <w:rsid w:val="23BC5D13"/>
    <w:rsid w:val="24535F51"/>
    <w:rsid w:val="2489415D"/>
    <w:rsid w:val="24CF7909"/>
    <w:rsid w:val="24FF0A8A"/>
    <w:rsid w:val="25B80390"/>
    <w:rsid w:val="25C15D57"/>
    <w:rsid w:val="25F021EB"/>
    <w:rsid w:val="25F9609A"/>
    <w:rsid w:val="261749A4"/>
    <w:rsid w:val="26475D4E"/>
    <w:rsid w:val="268D67A0"/>
    <w:rsid w:val="268F13D1"/>
    <w:rsid w:val="27891BCA"/>
    <w:rsid w:val="27A94797"/>
    <w:rsid w:val="28233D62"/>
    <w:rsid w:val="283A53DE"/>
    <w:rsid w:val="287825A8"/>
    <w:rsid w:val="29431FCC"/>
    <w:rsid w:val="29461A95"/>
    <w:rsid w:val="29724E6F"/>
    <w:rsid w:val="2983681A"/>
    <w:rsid w:val="29C7106A"/>
    <w:rsid w:val="29EF0FE0"/>
    <w:rsid w:val="2A00041E"/>
    <w:rsid w:val="2A4A1503"/>
    <w:rsid w:val="2B330A2B"/>
    <w:rsid w:val="2B41203B"/>
    <w:rsid w:val="2B7B4E54"/>
    <w:rsid w:val="2B8A731A"/>
    <w:rsid w:val="2BB12CBD"/>
    <w:rsid w:val="2BE6131F"/>
    <w:rsid w:val="2C183653"/>
    <w:rsid w:val="2C276741"/>
    <w:rsid w:val="2C541673"/>
    <w:rsid w:val="2C687272"/>
    <w:rsid w:val="2C7F54FD"/>
    <w:rsid w:val="2CDE7944"/>
    <w:rsid w:val="2D6E7DCA"/>
    <w:rsid w:val="2DBE272A"/>
    <w:rsid w:val="2E166751"/>
    <w:rsid w:val="2E441CA3"/>
    <w:rsid w:val="2E90370E"/>
    <w:rsid w:val="2EE13B7A"/>
    <w:rsid w:val="2EFB5F53"/>
    <w:rsid w:val="2F2E0ABE"/>
    <w:rsid w:val="2F586EE5"/>
    <w:rsid w:val="2F8A25CF"/>
    <w:rsid w:val="2FA46031"/>
    <w:rsid w:val="2FAC2506"/>
    <w:rsid w:val="2FAF3005"/>
    <w:rsid w:val="2FF24CBF"/>
    <w:rsid w:val="2FF57B29"/>
    <w:rsid w:val="2FFF380C"/>
    <w:rsid w:val="2FFF406F"/>
    <w:rsid w:val="30261D69"/>
    <w:rsid w:val="30676254"/>
    <w:rsid w:val="30C41872"/>
    <w:rsid w:val="30C6230A"/>
    <w:rsid w:val="30FA32F0"/>
    <w:rsid w:val="311112FE"/>
    <w:rsid w:val="311B79AE"/>
    <w:rsid w:val="31A31BD9"/>
    <w:rsid w:val="31EF6025"/>
    <w:rsid w:val="31F51851"/>
    <w:rsid w:val="32707B65"/>
    <w:rsid w:val="327E3A05"/>
    <w:rsid w:val="32B87703"/>
    <w:rsid w:val="32C3461A"/>
    <w:rsid w:val="32CD7AC4"/>
    <w:rsid w:val="330D04B7"/>
    <w:rsid w:val="3318110B"/>
    <w:rsid w:val="33293C61"/>
    <w:rsid w:val="333C1AD8"/>
    <w:rsid w:val="335C4541"/>
    <w:rsid w:val="335E0807"/>
    <w:rsid w:val="33765145"/>
    <w:rsid w:val="33B72112"/>
    <w:rsid w:val="33D8256D"/>
    <w:rsid w:val="34144AA3"/>
    <w:rsid w:val="3462669C"/>
    <w:rsid w:val="34670A92"/>
    <w:rsid w:val="34A01209"/>
    <w:rsid w:val="34A1126A"/>
    <w:rsid w:val="34D663CC"/>
    <w:rsid w:val="34E8176E"/>
    <w:rsid w:val="35052C50"/>
    <w:rsid w:val="350A22E6"/>
    <w:rsid w:val="35392164"/>
    <w:rsid w:val="35404C3C"/>
    <w:rsid w:val="356B3E99"/>
    <w:rsid w:val="35712E23"/>
    <w:rsid w:val="35AB497B"/>
    <w:rsid w:val="35B43891"/>
    <w:rsid w:val="35CE5502"/>
    <w:rsid w:val="35DD51C2"/>
    <w:rsid w:val="360D38D6"/>
    <w:rsid w:val="36403E8D"/>
    <w:rsid w:val="36F30D96"/>
    <w:rsid w:val="3734748D"/>
    <w:rsid w:val="37464DBC"/>
    <w:rsid w:val="38246375"/>
    <w:rsid w:val="382A1498"/>
    <w:rsid w:val="382F4D24"/>
    <w:rsid w:val="389B62D3"/>
    <w:rsid w:val="391D0CBF"/>
    <w:rsid w:val="39AB3B94"/>
    <w:rsid w:val="3A313D69"/>
    <w:rsid w:val="3A626C76"/>
    <w:rsid w:val="3AC839A8"/>
    <w:rsid w:val="3B001218"/>
    <w:rsid w:val="3C0A1726"/>
    <w:rsid w:val="3C2E5685"/>
    <w:rsid w:val="3C727309"/>
    <w:rsid w:val="3C871974"/>
    <w:rsid w:val="3C8E0A65"/>
    <w:rsid w:val="3C9F506B"/>
    <w:rsid w:val="3CA97DB1"/>
    <w:rsid w:val="3CBA7935"/>
    <w:rsid w:val="3D063022"/>
    <w:rsid w:val="3D287B17"/>
    <w:rsid w:val="3D540D21"/>
    <w:rsid w:val="3D691DF0"/>
    <w:rsid w:val="3DB12432"/>
    <w:rsid w:val="3DFA2594"/>
    <w:rsid w:val="3E034071"/>
    <w:rsid w:val="3E151DCC"/>
    <w:rsid w:val="3E9D0F05"/>
    <w:rsid w:val="3EA26746"/>
    <w:rsid w:val="3ED52E59"/>
    <w:rsid w:val="3F612A86"/>
    <w:rsid w:val="3F7C4BF0"/>
    <w:rsid w:val="3FCB31FB"/>
    <w:rsid w:val="3FFB6CAC"/>
    <w:rsid w:val="40302074"/>
    <w:rsid w:val="403C5E30"/>
    <w:rsid w:val="40457D76"/>
    <w:rsid w:val="407E3620"/>
    <w:rsid w:val="40BD327A"/>
    <w:rsid w:val="40D65B86"/>
    <w:rsid w:val="40F0023B"/>
    <w:rsid w:val="411359B5"/>
    <w:rsid w:val="41415932"/>
    <w:rsid w:val="41DC4420"/>
    <w:rsid w:val="41F12EC2"/>
    <w:rsid w:val="41FC626F"/>
    <w:rsid w:val="420815AC"/>
    <w:rsid w:val="422674A1"/>
    <w:rsid w:val="423B09AF"/>
    <w:rsid w:val="430E01BF"/>
    <w:rsid w:val="436F2E95"/>
    <w:rsid w:val="43915F1B"/>
    <w:rsid w:val="43BB0633"/>
    <w:rsid w:val="43ED3CE6"/>
    <w:rsid w:val="43F46BC8"/>
    <w:rsid w:val="443D52A3"/>
    <w:rsid w:val="445B7564"/>
    <w:rsid w:val="457E3A36"/>
    <w:rsid w:val="4586398F"/>
    <w:rsid w:val="459A49C6"/>
    <w:rsid w:val="45E76AE6"/>
    <w:rsid w:val="46096903"/>
    <w:rsid w:val="46283BE5"/>
    <w:rsid w:val="467456B7"/>
    <w:rsid w:val="468A2DAA"/>
    <w:rsid w:val="46B3381D"/>
    <w:rsid w:val="471D5B52"/>
    <w:rsid w:val="472120BA"/>
    <w:rsid w:val="475B0B02"/>
    <w:rsid w:val="47914D33"/>
    <w:rsid w:val="47990E72"/>
    <w:rsid w:val="47DE002C"/>
    <w:rsid w:val="480C54F5"/>
    <w:rsid w:val="48272E97"/>
    <w:rsid w:val="48356224"/>
    <w:rsid w:val="48644B7A"/>
    <w:rsid w:val="486D51E1"/>
    <w:rsid w:val="488A4593"/>
    <w:rsid w:val="48EB1259"/>
    <w:rsid w:val="494E6D3E"/>
    <w:rsid w:val="498132B5"/>
    <w:rsid w:val="49A43A57"/>
    <w:rsid w:val="49AD5B2D"/>
    <w:rsid w:val="49D8349A"/>
    <w:rsid w:val="4A1527E2"/>
    <w:rsid w:val="4A2D6242"/>
    <w:rsid w:val="4A9E092F"/>
    <w:rsid w:val="4AA74B10"/>
    <w:rsid w:val="4B2559CC"/>
    <w:rsid w:val="4B3E0B9D"/>
    <w:rsid w:val="4BC8441C"/>
    <w:rsid w:val="4BF31933"/>
    <w:rsid w:val="4C2D3B21"/>
    <w:rsid w:val="4C7A554B"/>
    <w:rsid w:val="4C7B60DD"/>
    <w:rsid w:val="4CBD3D40"/>
    <w:rsid w:val="4D09549B"/>
    <w:rsid w:val="4D1050C7"/>
    <w:rsid w:val="4D140660"/>
    <w:rsid w:val="4D2C3300"/>
    <w:rsid w:val="4D441B5E"/>
    <w:rsid w:val="4DCB2869"/>
    <w:rsid w:val="4DE12C08"/>
    <w:rsid w:val="4E184196"/>
    <w:rsid w:val="4E4E7007"/>
    <w:rsid w:val="4EB4643D"/>
    <w:rsid w:val="4EE81348"/>
    <w:rsid w:val="4F20424E"/>
    <w:rsid w:val="4F65161A"/>
    <w:rsid w:val="4FCC1B0D"/>
    <w:rsid w:val="4FDD5CE8"/>
    <w:rsid w:val="4FEA55E7"/>
    <w:rsid w:val="50546EE3"/>
    <w:rsid w:val="507E0C4B"/>
    <w:rsid w:val="50870A7A"/>
    <w:rsid w:val="50F845C6"/>
    <w:rsid w:val="511C0A2F"/>
    <w:rsid w:val="5139256B"/>
    <w:rsid w:val="516B2C3C"/>
    <w:rsid w:val="516E65BE"/>
    <w:rsid w:val="51B4565D"/>
    <w:rsid w:val="51B45F29"/>
    <w:rsid w:val="51DD64FC"/>
    <w:rsid w:val="51F677CD"/>
    <w:rsid w:val="52030B07"/>
    <w:rsid w:val="52942C93"/>
    <w:rsid w:val="52A171F8"/>
    <w:rsid w:val="52C85ACC"/>
    <w:rsid w:val="52D61E53"/>
    <w:rsid w:val="534A3DC3"/>
    <w:rsid w:val="536A465B"/>
    <w:rsid w:val="53850364"/>
    <w:rsid w:val="53BF3567"/>
    <w:rsid w:val="540A1BF6"/>
    <w:rsid w:val="54161EE3"/>
    <w:rsid w:val="545E71A1"/>
    <w:rsid w:val="54696C7B"/>
    <w:rsid w:val="54C4610A"/>
    <w:rsid w:val="54D7097C"/>
    <w:rsid w:val="54E41A22"/>
    <w:rsid w:val="5518364C"/>
    <w:rsid w:val="553606AD"/>
    <w:rsid w:val="554A7BD5"/>
    <w:rsid w:val="554F7F61"/>
    <w:rsid w:val="555627A9"/>
    <w:rsid w:val="558B2397"/>
    <w:rsid w:val="55D540CF"/>
    <w:rsid w:val="568D1D9A"/>
    <w:rsid w:val="56AC2AE7"/>
    <w:rsid w:val="57080FDB"/>
    <w:rsid w:val="572046DA"/>
    <w:rsid w:val="57295B16"/>
    <w:rsid w:val="57376E7F"/>
    <w:rsid w:val="57467EA2"/>
    <w:rsid w:val="574F2AF4"/>
    <w:rsid w:val="5754076E"/>
    <w:rsid w:val="5844476A"/>
    <w:rsid w:val="585B54D7"/>
    <w:rsid w:val="586341D3"/>
    <w:rsid w:val="588A7205"/>
    <w:rsid w:val="58A607D1"/>
    <w:rsid w:val="58CA7A7F"/>
    <w:rsid w:val="58E434B1"/>
    <w:rsid w:val="58F44997"/>
    <w:rsid w:val="590E7246"/>
    <w:rsid w:val="5925219B"/>
    <w:rsid w:val="592C2521"/>
    <w:rsid w:val="595C777B"/>
    <w:rsid w:val="59B4214C"/>
    <w:rsid w:val="59B45720"/>
    <w:rsid w:val="59B568FC"/>
    <w:rsid w:val="59E45E46"/>
    <w:rsid w:val="5A3806ED"/>
    <w:rsid w:val="5A5D2BBD"/>
    <w:rsid w:val="5A9432AE"/>
    <w:rsid w:val="5A9B12CE"/>
    <w:rsid w:val="5AD5218B"/>
    <w:rsid w:val="5AF209E1"/>
    <w:rsid w:val="5B0C65C3"/>
    <w:rsid w:val="5B4579C8"/>
    <w:rsid w:val="5B4909F4"/>
    <w:rsid w:val="5B4B3AF4"/>
    <w:rsid w:val="5B855727"/>
    <w:rsid w:val="5B8F1373"/>
    <w:rsid w:val="5BCC1C70"/>
    <w:rsid w:val="5C726ADA"/>
    <w:rsid w:val="5CA44655"/>
    <w:rsid w:val="5CAB5822"/>
    <w:rsid w:val="5CB84D41"/>
    <w:rsid w:val="5CDD1B20"/>
    <w:rsid w:val="5D1A538E"/>
    <w:rsid w:val="5D1F3F7C"/>
    <w:rsid w:val="5D3341F7"/>
    <w:rsid w:val="5D7502E0"/>
    <w:rsid w:val="5D8605B2"/>
    <w:rsid w:val="5D9A73BE"/>
    <w:rsid w:val="5DB8286A"/>
    <w:rsid w:val="5E3F0F7A"/>
    <w:rsid w:val="5E491909"/>
    <w:rsid w:val="5E8158E5"/>
    <w:rsid w:val="5EBC4F14"/>
    <w:rsid w:val="5F06104F"/>
    <w:rsid w:val="5F1654F8"/>
    <w:rsid w:val="5F982084"/>
    <w:rsid w:val="5FDA170A"/>
    <w:rsid w:val="5FF42977"/>
    <w:rsid w:val="60065657"/>
    <w:rsid w:val="602709A1"/>
    <w:rsid w:val="60B00E1E"/>
    <w:rsid w:val="60CC1328"/>
    <w:rsid w:val="60D55CF6"/>
    <w:rsid w:val="61B408A3"/>
    <w:rsid w:val="61B643FC"/>
    <w:rsid w:val="6228361E"/>
    <w:rsid w:val="62657CD2"/>
    <w:rsid w:val="62F318CA"/>
    <w:rsid w:val="631E16AD"/>
    <w:rsid w:val="63253392"/>
    <w:rsid w:val="633650EE"/>
    <w:rsid w:val="63A55278"/>
    <w:rsid w:val="643E5829"/>
    <w:rsid w:val="64794093"/>
    <w:rsid w:val="64EC2F7E"/>
    <w:rsid w:val="65215227"/>
    <w:rsid w:val="652F30CD"/>
    <w:rsid w:val="653B4810"/>
    <w:rsid w:val="655662BC"/>
    <w:rsid w:val="656F06C2"/>
    <w:rsid w:val="65982E26"/>
    <w:rsid w:val="659F30BB"/>
    <w:rsid w:val="65B25F63"/>
    <w:rsid w:val="65D0543F"/>
    <w:rsid w:val="666A5BFF"/>
    <w:rsid w:val="66B30AF7"/>
    <w:rsid w:val="66BD792C"/>
    <w:rsid w:val="67103A3A"/>
    <w:rsid w:val="673B2DC5"/>
    <w:rsid w:val="67C6461E"/>
    <w:rsid w:val="68276301"/>
    <w:rsid w:val="683C09FE"/>
    <w:rsid w:val="68B01655"/>
    <w:rsid w:val="68D34923"/>
    <w:rsid w:val="692D6E48"/>
    <w:rsid w:val="695741FE"/>
    <w:rsid w:val="697D69BD"/>
    <w:rsid w:val="6A4F6773"/>
    <w:rsid w:val="6A635E12"/>
    <w:rsid w:val="6A956138"/>
    <w:rsid w:val="6AF672B5"/>
    <w:rsid w:val="6AFB2694"/>
    <w:rsid w:val="6B26178E"/>
    <w:rsid w:val="6B512ED7"/>
    <w:rsid w:val="6BDF65FE"/>
    <w:rsid w:val="6C136439"/>
    <w:rsid w:val="6C222EDE"/>
    <w:rsid w:val="6CD333CF"/>
    <w:rsid w:val="6D365D55"/>
    <w:rsid w:val="6D555856"/>
    <w:rsid w:val="6D756370"/>
    <w:rsid w:val="6D871FF6"/>
    <w:rsid w:val="6D887920"/>
    <w:rsid w:val="6DD83B20"/>
    <w:rsid w:val="6E066919"/>
    <w:rsid w:val="6E2C6D75"/>
    <w:rsid w:val="6E564D5F"/>
    <w:rsid w:val="6E7D320D"/>
    <w:rsid w:val="6EAE1D3D"/>
    <w:rsid w:val="6EC860BA"/>
    <w:rsid w:val="6ED22398"/>
    <w:rsid w:val="6EDA3F4E"/>
    <w:rsid w:val="6EF0143C"/>
    <w:rsid w:val="6EFA58B4"/>
    <w:rsid w:val="6F8B6D6B"/>
    <w:rsid w:val="6F8D311E"/>
    <w:rsid w:val="6F8F5DE6"/>
    <w:rsid w:val="6FAE04BE"/>
    <w:rsid w:val="6FB0350B"/>
    <w:rsid w:val="6FE570D5"/>
    <w:rsid w:val="6FE87070"/>
    <w:rsid w:val="709E3347"/>
    <w:rsid w:val="71712BD0"/>
    <w:rsid w:val="717234BF"/>
    <w:rsid w:val="71876EA4"/>
    <w:rsid w:val="71C5439E"/>
    <w:rsid w:val="71C91945"/>
    <w:rsid w:val="71E24820"/>
    <w:rsid w:val="71E7316F"/>
    <w:rsid w:val="71F11746"/>
    <w:rsid w:val="720E001E"/>
    <w:rsid w:val="7224702C"/>
    <w:rsid w:val="72A756E5"/>
    <w:rsid w:val="72FF3978"/>
    <w:rsid w:val="734E194A"/>
    <w:rsid w:val="739E5DA9"/>
    <w:rsid w:val="739F254E"/>
    <w:rsid w:val="74263DFF"/>
    <w:rsid w:val="74335E9E"/>
    <w:rsid w:val="746E52BD"/>
    <w:rsid w:val="74A2663D"/>
    <w:rsid w:val="74CE343D"/>
    <w:rsid w:val="74E212FF"/>
    <w:rsid w:val="751554CB"/>
    <w:rsid w:val="75250517"/>
    <w:rsid w:val="753D6821"/>
    <w:rsid w:val="75605995"/>
    <w:rsid w:val="75674477"/>
    <w:rsid w:val="7573595A"/>
    <w:rsid w:val="75895189"/>
    <w:rsid w:val="75AB7F36"/>
    <w:rsid w:val="75E82E37"/>
    <w:rsid w:val="760E3588"/>
    <w:rsid w:val="76190E04"/>
    <w:rsid w:val="7627135C"/>
    <w:rsid w:val="7677471E"/>
    <w:rsid w:val="769A23F9"/>
    <w:rsid w:val="76B25C1F"/>
    <w:rsid w:val="77303BE0"/>
    <w:rsid w:val="77AB288A"/>
    <w:rsid w:val="77BB3133"/>
    <w:rsid w:val="781366EA"/>
    <w:rsid w:val="788C7353"/>
    <w:rsid w:val="78945EF8"/>
    <w:rsid w:val="78D32AB4"/>
    <w:rsid w:val="79654C74"/>
    <w:rsid w:val="79877D19"/>
    <w:rsid w:val="799936AA"/>
    <w:rsid w:val="79A0722B"/>
    <w:rsid w:val="7A210FF5"/>
    <w:rsid w:val="7A301652"/>
    <w:rsid w:val="7A3D0850"/>
    <w:rsid w:val="7A457196"/>
    <w:rsid w:val="7A4607A6"/>
    <w:rsid w:val="7A723BEE"/>
    <w:rsid w:val="7B0F44C9"/>
    <w:rsid w:val="7B262802"/>
    <w:rsid w:val="7B2C0070"/>
    <w:rsid w:val="7B6700E5"/>
    <w:rsid w:val="7B79487F"/>
    <w:rsid w:val="7BB62FD7"/>
    <w:rsid w:val="7BB875AB"/>
    <w:rsid w:val="7BE96F8D"/>
    <w:rsid w:val="7C1D3726"/>
    <w:rsid w:val="7C612DF3"/>
    <w:rsid w:val="7CA37EBB"/>
    <w:rsid w:val="7CB94C8E"/>
    <w:rsid w:val="7D4829CE"/>
    <w:rsid w:val="7D8C0F5A"/>
    <w:rsid w:val="7DCD66F0"/>
    <w:rsid w:val="7DE31F95"/>
    <w:rsid w:val="7E690155"/>
    <w:rsid w:val="7EAB2850"/>
    <w:rsid w:val="7ED14FA3"/>
    <w:rsid w:val="7F0204A5"/>
    <w:rsid w:val="7F3504C2"/>
    <w:rsid w:val="7F5A502B"/>
    <w:rsid w:val="7F6D222B"/>
    <w:rsid w:val="7FA34DFE"/>
    <w:rsid w:val="7FB8134A"/>
    <w:rsid w:val="7FBC1A95"/>
    <w:rsid w:val="7FBE0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Plain Text"/>
    <w:basedOn w:val="1"/>
    <w:qFormat/>
    <w:uiPriority w:val="0"/>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2022-06-16T09:20:01Z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D8949FBA9FBB43B79D85E37F553F3589</vt:lpwstr>
  </property>
</Properties>
</file>