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贵州尊朋酒业有限公司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9" w:name="_GoBack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李强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组织人事部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ind w:firstLine="480" w:firstLineChars="200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上甑工、制酒工在职业病危害分析中为职业病危害岗位，但未能提供职业病体检证据。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(V 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)标准   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87070" cy="386080"/>
                  <wp:effectExtent l="0" t="0" r="0" b="7620"/>
                  <wp:docPr id="1" name="图片 1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28650" cy="285750"/>
                  <wp:effectExtent l="0" t="0" r="6350" b="6350"/>
                  <wp:docPr id="2" name="图片 2" descr="16528645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286458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00405" cy="393700"/>
                  <wp:effectExtent l="0" t="0" r="0" b="0"/>
                  <wp:docPr id="3" name="图片 3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2022-06-19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2022-06-19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■FSMS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贵州尊朋酒业有限公司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  <w:highlight w:val="none"/>
                <w:lang w:val="en-US" w:eastAsia="zh-CN"/>
              </w:rPr>
              <w:t>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</w:rPr>
              <w:t>生产管理部（含制酒车间）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  <w:bCs w:val="0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查《⽣产⼯序技术标准》6.3.3.5条款要求 “馏酒温度 35-45℃”，《危害控制计划》中要求“馏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酒温度控制在25～30℃内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”【CCP1蒸馏】，抽查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2022-05-09日《产酒记录》发现，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馏酒</w:t>
            </w:r>
            <w:r>
              <w:rPr>
                <w:rFonts w:hint="eastAsia"/>
                <w:b/>
                <w:bCs w:val="0"/>
                <w:highlight w:val="none"/>
                <w:lang w:val="en-US" w:eastAsia="zh-CN"/>
              </w:rPr>
              <w:t>温度与上述要求不一致。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8.5.1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——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8.5.4.5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ascii="宋体" w:hAnsi="宋体"/>
                <w:b/>
                <w:sz w:val="20"/>
                <w:szCs w:val="20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 xml:space="preserve">(V </w:t>
            </w:r>
            <w:r>
              <w:rPr>
                <w:rFonts w:ascii="宋体" w:hAnsi="宋体"/>
                <w:b/>
                <w:sz w:val="20"/>
                <w:szCs w:val="20"/>
              </w:rPr>
              <w:t>1.0</w:t>
            </w:r>
            <w:r>
              <w:rPr>
                <w:rFonts w:hint="eastAsia" w:ascii="宋体" w:hAnsi="宋体"/>
                <w:b/>
                <w:sz w:val="20"/>
                <w:szCs w:val="20"/>
                <w:lang w:val="en-US" w:eastAsia="zh-CN"/>
              </w:rPr>
              <w:t>)标准 4.3.4.3 条款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37540" cy="193675"/>
                  <wp:effectExtent l="0" t="0" r="10160" b="9525"/>
                  <wp:docPr id="4" name="图片 4" descr="16556124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5561249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31520" cy="411480"/>
                  <wp:effectExtent l="0" t="0" r="0" b="7620"/>
                  <wp:docPr id="5" name="图片 5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31520" cy="411480"/>
                  <wp:effectExtent l="0" t="0" r="0" b="7620"/>
                  <wp:docPr id="6" name="图片 6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2022-06-19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2022-06-19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贵州尊朋酒业有限公司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穆嫒莉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安全环保部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42" w:firstLineChars="200"/>
              <w:rPr>
                <w:rFonts w:ascii="方正仿宋简体" w:eastAsia="方正仿宋简体"/>
                <w:b/>
                <w:sz w:val="22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2"/>
                <w:szCs w:val="28"/>
              </w:rPr>
              <w:t>查环境因素识别时，未包括环评报告中确定的首要危险要素“火灾、爆炸、泄漏事故”等，具体未对基酒生产和酒体储存过程中潜在的火灾、爆炸、泄漏等涉及的环境因素识别和评价。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19001-2016 idt ISO 9001:2015标准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>危害分析与关键控制点（H</w:t>
            </w:r>
            <w:r>
              <w:rPr>
                <w:rFonts w:ascii="宋体" w:hAnsi="宋体"/>
                <w:b/>
                <w:sz w:val="22"/>
                <w:szCs w:val="22"/>
              </w:rPr>
              <w:t>ACCP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）认证要求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V1.0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pStyle w:val="2"/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23900" cy="381000"/>
                  <wp:effectExtent l="0" t="0" r="0" b="0"/>
                  <wp:docPr id="11" name="图片 11" descr="16556124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5561247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28650" cy="285750"/>
                  <wp:effectExtent l="0" t="0" r="6350" b="6350"/>
                  <wp:docPr id="13" name="图片 13" descr="16528645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5286458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799465" cy="449580"/>
                  <wp:effectExtent l="0" t="0" r="0" b="7620"/>
                  <wp:docPr id="12" name="图片 12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2022.6.19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ascii="方正仿宋简体" w:eastAsia="方正仿宋简体"/>
                <w:b/>
                <w:sz w:val="24"/>
              </w:rPr>
              <w:t>2022.6.19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32"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7C96705"/>
    <w:rsid w:val="1DA62C13"/>
    <w:rsid w:val="20B9542D"/>
    <w:rsid w:val="2B0F6C28"/>
    <w:rsid w:val="323112C7"/>
    <w:rsid w:val="3586192A"/>
    <w:rsid w:val="7AAE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1736</Characters>
  <Lines>6</Lines>
  <Paragraphs>1</Paragraphs>
  <TotalTime>21</TotalTime>
  <ScaleCrop>false</ScaleCrop>
  <LinksUpToDate>false</LinksUpToDate>
  <CharactersWithSpaces>2406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2022-06-19T07:21:00Z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