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621"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02"/>
        <w:gridCol w:w="1129"/>
        <w:gridCol w:w="745"/>
        <w:gridCol w:w="1"/>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1902"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29"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5" w:type="dxa"/>
            <w:gridSpan w:val="3"/>
            <w:shd w:val="clear" w:color="auto" w:fill="auto"/>
            <w:vAlign w:val="center"/>
          </w:tcPr>
          <w:p>
            <w:pPr>
              <w:shd w:val="clear"/>
              <w:rPr>
                <w:rFonts w:hint="eastAsia" w:ascii="Times New Roman" w:hAnsi="Times New Roman" w:eastAsia="宋体" w:cs="Times New Roman"/>
                <w:kern w:val="2"/>
                <w:sz w:val="24"/>
                <w:szCs w:val="24"/>
                <w:lang w:val="en-US" w:eastAsia="zh-CN" w:bidi="ar-SA"/>
              </w:rPr>
            </w:pPr>
            <w:r>
              <w:rPr>
                <w:rFonts w:hint="eastAsia"/>
                <w:sz w:val="24"/>
                <w:szCs w:val="24"/>
              </w:rPr>
              <w:t xml:space="preserve">受审核部门：领导层 </w:t>
            </w:r>
            <w:r>
              <w:rPr>
                <w:sz w:val="24"/>
                <w:szCs w:val="24"/>
              </w:rPr>
              <w:t xml:space="preserve">       </w:t>
            </w:r>
            <w:r>
              <w:rPr>
                <w:rFonts w:hint="eastAsia"/>
                <w:sz w:val="24"/>
                <w:szCs w:val="24"/>
                <w:lang w:val="en-US" w:eastAsia="zh-CN"/>
              </w:rPr>
              <w:t>主管领导：刘磊</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周文银</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trPr>
        <w:tc>
          <w:tcPr>
            <w:tcW w:w="1902" w:type="dxa"/>
            <w:vMerge w:val="continue"/>
            <w:shd w:val="clear" w:color="auto" w:fill="auto"/>
            <w:vAlign w:val="center"/>
          </w:tcPr>
          <w:p/>
        </w:tc>
        <w:tc>
          <w:tcPr>
            <w:tcW w:w="1129" w:type="dxa"/>
            <w:vMerge w:val="continue"/>
            <w:shd w:val="clear" w:color="auto" w:fill="auto"/>
            <w:vAlign w:val="center"/>
          </w:tcPr>
          <w:p/>
        </w:tc>
        <w:tc>
          <w:tcPr>
            <w:tcW w:w="10005" w:type="dxa"/>
            <w:gridSpan w:val="3"/>
            <w:shd w:val="clear" w:color="auto" w:fill="auto"/>
            <w:vAlign w:val="center"/>
          </w:tcPr>
          <w:p>
            <w:pPr>
              <w:pStyle w:val="16"/>
              <w:shd w:val="clear"/>
              <w:spacing w:line="360" w:lineRule="auto"/>
              <w:rPr>
                <w:rFonts w:hint="eastAsia"/>
                <w:sz w:val="21"/>
                <w:szCs w:val="21"/>
                <w:highlight w:val="none"/>
                <w:lang w:val="en-US" w:eastAsia="zh-CN"/>
              </w:rPr>
            </w:pPr>
            <w:r>
              <w:rPr>
                <w:rFonts w:hint="eastAsia"/>
                <w:sz w:val="21"/>
                <w:szCs w:val="21"/>
                <w:highlight w:val="none"/>
              </w:rPr>
              <w:t>审核员：</w:t>
            </w:r>
            <w:r>
              <w:rPr>
                <w:rFonts w:hint="eastAsia"/>
                <w:sz w:val="21"/>
                <w:szCs w:val="21"/>
                <w:highlight w:val="none"/>
                <w:lang w:val="en-US" w:eastAsia="zh-CN"/>
              </w:rPr>
              <w:t>肖新龙QEOFH【腾讯会议号：#腾讯会议：839-972-144】[腾讯会议/视频/微信】</w:t>
            </w:r>
          </w:p>
          <w:p>
            <w:pPr>
              <w:pStyle w:val="16"/>
              <w:shd w:val="clear"/>
              <w:spacing w:line="360" w:lineRule="auto"/>
              <w:rPr>
                <w:rFonts w:hint="default" w:ascii="Times New Roman" w:hAnsi="Times New Roman" w:eastAsia="宋体" w:cs="Times New Roman"/>
                <w:bCs/>
                <w:spacing w:val="10"/>
                <w:kern w:val="2"/>
                <w:sz w:val="21"/>
                <w:lang w:val="en-US" w:eastAsia="zh-CN" w:bidi="ar-SA"/>
              </w:rPr>
            </w:pPr>
            <w:r>
              <w:rPr>
                <w:rFonts w:hint="eastAsia"/>
                <w:sz w:val="21"/>
                <w:szCs w:val="21"/>
                <w:highlight w:val="none"/>
              </w:rPr>
              <w:t>审核日期：</w:t>
            </w:r>
            <w:r>
              <w:rPr>
                <w:sz w:val="21"/>
                <w:szCs w:val="21"/>
                <w:highlight w:val="none"/>
              </w:rPr>
              <w:t>202</w:t>
            </w:r>
            <w:r>
              <w:rPr>
                <w:rFonts w:hint="eastAsia"/>
                <w:sz w:val="21"/>
                <w:szCs w:val="21"/>
                <w:highlight w:val="none"/>
                <w:lang w:val="en-US" w:eastAsia="zh-CN"/>
              </w:rPr>
              <w:t>2-06-16下午</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1902" w:type="dxa"/>
            <w:vMerge w:val="continue"/>
            <w:shd w:val="clear" w:color="auto" w:fill="auto"/>
            <w:vAlign w:val="center"/>
          </w:tcPr>
          <w:p/>
        </w:tc>
        <w:tc>
          <w:tcPr>
            <w:tcW w:w="1129" w:type="dxa"/>
            <w:vMerge w:val="continue"/>
            <w:shd w:val="clear" w:color="auto" w:fill="auto"/>
            <w:vAlign w:val="center"/>
          </w:tcPr>
          <w:p/>
        </w:tc>
        <w:tc>
          <w:tcPr>
            <w:tcW w:w="10005" w:type="dxa"/>
            <w:gridSpan w:val="3"/>
            <w:shd w:val="clear" w:color="auto" w:fill="auto"/>
            <w:vAlign w:val="center"/>
          </w:tcPr>
          <w:p>
            <w:pPr>
              <w:keepNext w:val="0"/>
              <w:keepLines w:val="0"/>
              <w:pageBreakBefore w:val="0"/>
              <w:widowControl w:val="0"/>
              <w:shd w:val="clear"/>
              <w:tabs>
                <w:tab w:val="left" w:pos="709"/>
              </w:tabs>
              <w:kinsoku/>
              <w:wordWrap/>
              <w:overflowPunct/>
              <w:topLinePunct w:val="0"/>
              <w:autoSpaceDE/>
              <w:autoSpaceDN/>
              <w:bidi w:val="0"/>
              <w:adjustRightInd/>
              <w:spacing w:line="360" w:lineRule="auto"/>
              <w:ind w:right="57"/>
              <w:jc w:val="left"/>
              <w:textAlignment w:val="auto"/>
              <w:rPr>
                <w:rFonts w:hint="eastAsia"/>
              </w:rPr>
            </w:pPr>
            <w:r>
              <w:rPr>
                <w:rFonts w:hint="eastAsia"/>
              </w:rPr>
              <w:t>审核条款：</w:t>
            </w:r>
          </w:p>
          <w:p>
            <w:pPr>
              <w:keepNext w:val="0"/>
              <w:keepLines w:val="0"/>
              <w:pageBreakBefore w:val="0"/>
              <w:widowControl w:val="0"/>
              <w:shd w:val="clear"/>
              <w:tabs>
                <w:tab w:val="left" w:pos="709"/>
              </w:tabs>
              <w:kinsoku/>
              <w:wordWrap/>
              <w:overflowPunct/>
              <w:topLinePunct w:val="0"/>
              <w:autoSpaceDE/>
              <w:autoSpaceDN/>
              <w:bidi w:val="0"/>
              <w:adjustRightInd/>
              <w:spacing w:line="360" w:lineRule="auto"/>
              <w:ind w:right="57"/>
              <w:jc w:val="left"/>
              <w:textAlignment w:val="auto"/>
            </w:pPr>
            <w:r>
              <w:rPr>
                <w:rFonts w:hint="eastAsia"/>
              </w:rPr>
              <w:t xml:space="preserve">Q：4.1/4.2 /4.3/ 4.4/ </w:t>
            </w:r>
            <w:r>
              <w:t>5.1</w:t>
            </w:r>
            <w:r>
              <w:rPr>
                <w:rFonts w:hint="eastAsia"/>
              </w:rPr>
              <w:t>/</w:t>
            </w:r>
            <w:r>
              <w:t>5.2</w:t>
            </w:r>
            <w:r>
              <w:rPr>
                <w:rFonts w:hint="eastAsia"/>
              </w:rPr>
              <w:t xml:space="preserve">/ </w:t>
            </w:r>
            <w:r>
              <w:t>5.3</w:t>
            </w:r>
            <w:r>
              <w:rPr>
                <w:rFonts w:hint="eastAsia"/>
              </w:rPr>
              <w:t>/6.1/6.2/</w:t>
            </w:r>
            <w:r>
              <w:t>6.3</w:t>
            </w:r>
            <w:r>
              <w:rPr>
                <w:rFonts w:hint="eastAsia"/>
              </w:rPr>
              <w:t>/</w:t>
            </w:r>
            <w:r>
              <w:t>7</w:t>
            </w:r>
            <w:r>
              <w:rPr>
                <w:rFonts w:hint="eastAsia"/>
              </w:rPr>
              <w:t>.1.1/7.4/</w:t>
            </w:r>
            <w:r>
              <w:rPr>
                <w:rFonts w:hint="eastAsia"/>
                <w:lang w:val="en-US" w:eastAsia="zh-CN"/>
              </w:rPr>
              <w:t>7.5.1/8.1/</w:t>
            </w:r>
            <w:r>
              <w:rPr>
                <w:rFonts w:hint="eastAsia"/>
              </w:rPr>
              <w:t>9.1.1</w:t>
            </w:r>
            <w:r>
              <w:rPr>
                <w:rFonts w:hint="eastAsia"/>
                <w:lang w:val="en-US" w:eastAsia="zh-CN"/>
              </w:rPr>
              <w:t>/</w:t>
            </w:r>
            <w:r>
              <w:rPr>
                <w:rFonts w:hint="eastAsia"/>
              </w:rPr>
              <w:t>9.3/10.1</w:t>
            </w:r>
            <w:r>
              <w:rPr>
                <w:rFonts w:hint="eastAsia"/>
                <w:lang w:val="en-US" w:eastAsia="zh-CN"/>
              </w:rPr>
              <w:t>/10.2/</w:t>
            </w:r>
            <w:r>
              <w:rPr>
                <w:rFonts w:hint="eastAsia"/>
              </w:rPr>
              <w:t>10.3</w:t>
            </w:r>
          </w:p>
          <w:p>
            <w:pPr>
              <w:keepNext w:val="0"/>
              <w:keepLines w:val="0"/>
              <w:pageBreakBefore w:val="0"/>
              <w:widowControl w:val="0"/>
              <w:shd w:val="clear"/>
              <w:kinsoku/>
              <w:wordWrap/>
              <w:overflowPunct/>
              <w:topLinePunct w:val="0"/>
              <w:autoSpaceDE/>
              <w:autoSpaceDN/>
              <w:bidi w:val="0"/>
              <w:adjustRightInd/>
              <w:spacing w:line="360" w:lineRule="auto"/>
              <w:textAlignment w:val="auto"/>
              <w:rPr>
                <w:rFonts w:hint="eastAsia"/>
              </w:rPr>
            </w:pPr>
            <w:r>
              <w:rPr>
                <w:rFonts w:hint="eastAsia"/>
              </w:rPr>
              <w:t>F：4.1/4.2/4.3/4.4/5.1/5.2/5.3/6.1/6.2/6.3/7.1.1/7.4/</w:t>
            </w:r>
            <w:r>
              <w:rPr>
                <w:rFonts w:hint="eastAsia"/>
                <w:lang w:val="en-US" w:eastAsia="zh-CN"/>
              </w:rPr>
              <w:t>7.5.1/8.1/8.4/9.1.1/</w:t>
            </w:r>
            <w:r>
              <w:rPr>
                <w:rFonts w:hint="eastAsia"/>
              </w:rPr>
              <w:t>9.3/10.1/</w:t>
            </w:r>
            <w:r>
              <w:rPr>
                <w:rFonts w:hint="eastAsia"/>
                <w:lang w:val="en-US" w:eastAsia="zh-CN"/>
              </w:rPr>
              <w:t>10.2/</w:t>
            </w:r>
            <w:r>
              <w:rPr>
                <w:rFonts w:hint="eastAsia"/>
              </w:rPr>
              <w:t>10.3</w:t>
            </w:r>
          </w:p>
          <w:p>
            <w:pPr>
              <w:pStyle w:val="16"/>
              <w:rPr>
                <w:rFonts w:hint="eastAsia"/>
              </w:rPr>
            </w:pPr>
            <w:r>
              <w:rPr>
                <w:rFonts w:hint="eastAsia"/>
              </w:rPr>
              <w:t>E:4.1/4.2/4.3/4.4/5.1/5.2/5.3/6.1</w:t>
            </w:r>
            <w:r>
              <w:rPr>
                <w:rFonts w:hint="eastAsia"/>
                <w:lang w:val="en-US" w:eastAsia="zh-CN"/>
              </w:rPr>
              <w:t>.1</w:t>
            </w:r>
            <w:r>
              <w:rPr>
                <w:rFonts w:hint="eastAsia"/>
              </w:rPr>
              <w:t>/6.2/7.1/7.</w:t>
            </w:r>
            <w:r>
              <w:rPr>
                <w:rFonts w:hint="eastAsia"/>
                <w:lang w:val="en-US" w:eastAsia="zh-CN"/>
              </w:rPr>
              <w:t>4</w:t>
            </w:r>
            <w:r>
              <w:rPr>
                <w:rFonts w:hint="eastAsia"/>
              </w:rPr>
              <w:t>/</w:t>
            </w:r>
            <w:r>
              <w:rPr>
                <w:rFonts w:hint="eastAsia"/>
                <w:lang w:val="en-US" w:eastAsia="zh-CN"/>
              </w:rPr>
              <w:t>7.5.1/8.2/</w:t>
            </w:r>
            <w:r>
              <w:rPr>
                <w:rFonts w:hint="eastAsia"/>
              </w:rPr>
              <w:t>9.1.1/9.3/10.1</w:t>
            </w:r>
            <w:r>
              <w:rPr>
                <w:rFonts w:hint="eastAsia"/>
                <w:lang w:val="en-US" w:eastAsia="zh-CN"/>
              </w:rPr>
              <w:t>/10.2/</w:t>
            </w:r>
            <w:r>
              <w:rPr>
                <w:rFonts w:hint="eastAsia"/>
              </w:rPr>
              <w:t>10.3</w:t>
            </w:r>
          </w:p>
          <w:p>
            <w:pPr>
              <w:pStyle w:val="16"/>
              <w:rPr>
                <w:rFonts w:hint="eastAsia"/>
              </w:rPr>
            </w:pPr>
            <w:r>
              <w:rPr>
                <w:rFonts w:hint="eastAsia"/>
              </w:rPr>
              <w:t>O:4.1/4.2/4.3/4.4/5.1/5.2/5.3/6.1</w:t>
            </w:r>
            <w:r>
              <w:rPr>
                <w:rFonts w:hint="eastAsia"/>
                <w:lang w:val="en-US" w:eastAsia="zh-CN"/>
              </w:rPr>
              <w:t>.1</w:t>
            </w:r>
            <w:r>
              <w:rPr>
                <w:rFonts w:hint="eastAsia"/>
              </w:rPr>
              <w:t>/6.2/7.1/7.</w:t>
            </w:r>
            <w:r>
              <w:rPr>
                <w:rFonts w:hint="eastAsia"/>
                <w:lang w:val="en-US" w:eastAsia="zh-CN"/>
              </w:rPr>
              <w:t>4</w:t>
            </w:r>
            <w:r>
              <w:rPr>
                <w:rFonts w:hint="eastAsia"/>
              </w:rPr>
              <w:t>/</w:t>
            </w:r>
            <w:r>
              <w:rPr>
                <w:rFonts w:hint="eastAsia"/>
                <w:lang w:val="en-US" w:eastAsia="zh-CN"/>
              </w:rPr>
              <w:t>7.5.1/8.2/</w:t>
            </w:r>
            <w:r>
              <w:rPr>
                <w:rFonts w:hint="eastAsia"/>
              </w:rPr>
              <w:t>9.1.1/9.3/10.1</w:t>
            </w:r>
            <w:r>
              <w:rPr>
                <w:rFonts w:hint="eastAsia"/>
                <w:lang w:val="en-US" w:eastAsia="zh-CN"/>
              </w:rPr>
              <w:t>/10.2/</w:t>
            </w:r>
            <w:r>
              <w:rPr>
                <w:rFonts w:hint="eastAsia"/>
              </w:rPr>
              <w:t>10.3</w:t>
            </w:r>
          </w:p>
          <w:p>
            <w:pPr>
              <w:keepNext w:val="0"/>
              <w:keepLines w:val="0"/>
              <w:pageBreakBefore w:val="0"/>
              <w:widowControl w:val="0"/>
              <w:shd w:val="clear"/>
              <w:kinsoku/>
              <w:wordWrap/>
              <w:overflowPunct/>
              <w:topLinePunct w:val="0"/>
              <w:autoSpaceDE/>
              <w:autoSpaceDN/>
              <w:bidi w:val="0"/>
              <w:adjustRightInd/>
              <w:snapToGrid w:val="0"/>
              <w:spacing w:line="360" w:lineRule="auto"/>
              <w:jc w:val="left"/>
              <w:textAlignment w:val="auto"/>
              <w:rPr>
                <w:rFonts w:hint="default"/>
                <w:lang w:val="en-US" w:eastAsia="zh-CN"/>
              </w:rPr>
            </w:pPr>
            <w:r>
              <w:rPr>
                <w:rFonts w:hint="eastAsia"/>
              </w:rPr>
              <w:t>H</w:t>
            </w:r>
            <w:r>
              <w:rPr>
                <w:rFonts w:hint="eastAsia"/>
                <w:lang w:val="en-US" w:eastAsia="zh-CN"/>
              </w:rPr>
              <w:t>ACCP</w:t>
            </w:r>
            <w:r>
              <w:rPr>
                <w:rFonts w:hint="eastAsia"/>
              </w:rPr>
              <w:t>：</w:t>
            </w:r>
            <w:r>
              <w:rPr>
                <w:rFonts w:hint="eastAsia"/>
                <w:lang w:val="en-US" w:eastAsia="zh-CN"/>
              </w:rPr>
              <w:t>1</w:t>
            </w:r>
            <w:r>
              <w:rPr>
                <w:rFonts w:hint="eastAsia"/>
              </w:rPr>
              <w:t>.1</w:t>
            </w:r>
            <w:r>
              <w:rPr>
                <w:rFonts w:hint="eastAsia"/>
                <w:lang w:val="en-US" w:eastAsia="zh-CN"/>
              </w:rPr>
              <w:t>/1.2.1/1.2.2</w:t>
            </w:r>
            <w:r>
              <w:rPr>
                <w:rFonts w:hint="eastAsia"/>
              </w:rPr>
              <w:t>/2.1-2.5/</w:t>
            </w:r>
            <w:r>
              <w:rPr>
                <w:rFonts w:hint="eastAsia"/>
                <w:lang w:val="en-US" w:eastAsia="zh-CN"/>
              </w:rPr>
              <w:t>3.1/</w:t>
            </w:r>
            <w:r>
              <w:rPr>
                <w:rFonts w:hint="eastAsia"/>
              </w:rPr>
              <w:t>3.13</w:t>
            </w:r>
            <w:r>
              <w:t>/</w:t>
            </w:r>
            <w:r>
              <w:rPr>
                <w:rFonts w:hint="eastAsia"/>
                <w:lang w:val="en-US" w:eastAsia="zh-CN"/>
              </w:rPr>
              <w:t>5.1/</w:t>
            </w:r>
            <w:r>
              <w:t>5.4/5.5</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rPr>
              <w:t>理解组织及其环境</w:t>
            </w:r>
          </w:p>
        </w:tc>
        <w:tc>
          <w:tcPr>
            <w:tcW w:w="1129" w:type="dxa"/>
            <w:vMerge w:val="restart"/>
            <w:shd w:val="clear" w:color="auto" w:fill="auto"/>
          </w:tcPr>
          <w:p>
            <w:r>
              <w:rPr>
                <w:rFonts w:hint="eastAsia"/>
              </w:rPr>
              <w:t xml:space="preserve">Q4.1 </w:t>
            </w:r>
          </w:p>
          <w:p>
            <w:pPr>
              <w:rPr>
                <w:rFonts w:hint="eastAsia"/>
              </w:rPr>
            </w:pPr>
            <w:r>
              <w:rPr>
                <w:rFonts w:hint="eastAsia"/>
              </w:rPr>
              <w:t>F4.1</w:t>
            </w:r>
          </w:p>
          <w:p>
            <w:pPr>
              <w:pStyle w:val="16"/>
              <w:rPr>
                <w:rFonts w:hint="eastAsia"/>
                <w:lang w:val="en-US" w:eastAsia="zh-CN"/>
              </w:rPr>
            </w:pPr>
            <w:r>
              <w:rPr>
                <w:rFonts w:hint="eastAsia"/>
                <w:lang w:val="en-US" w:eastAsia="zh-CN"/>
              </w:rPr>
              <w:t>E4.1</w:t>
            </w:r>
          </w:p>
          <w:p>
            <w:pPr>
              <w:pStyle w:val="16"/>
              <w:rPr>
                <w:rFonts w:hint="default"/>
                <w:lang w:val="en-US" w:eastAsia="zh-CN"/>
              </w:rPr>
            </w:pPr>
            <w:r>
              <w:rPr>
                <w:rFonts w:hint="eastAsia"/>
                <w:lang w:val="en-US" w:eastAsia="zh-CN"/>
              </w:rPr>
              <w:t>O4.1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管理手册第4.1章、</w:t>
            </w:r>
            <w:r>
              <w:rPr/>
              <w:sym w:font="Wingdings" w:char="00A8"/>
            </w:r>
            <w:r>
              <w:rPr>
                <w:rFonts w:hint="eastAsia"/>
              </w:rPr>
              <w:t>组织内外部环境要素识别表、</w:t>
            </w:r>
            <w:r>
              <w:rPr/>
              <w:sym w:font="Wingdings" w:char="00FE"/>
            </w:r>
            <w:r>
              <w:rPr>
                <w:rFonts w:hint="eastAsia"/>
              </w:rPr>
              <w:t>《公司环境分析控制程序》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与最高管理者</w:t>
            </w:r>
            <w:r>
              <w:rPr>
                <w:rFonts w:hint="eastAsia"/>
                <w:color w:val="000000"/>
                <w:szCs w:val="21"/>
                <w:lang w:val="en-US" w:eastAsia="zh-CN"/>
              </w:rPr>
              <w:t>现场</w:t>
            </w:r>
            <w:r>
              <w:rPr>
                <w:rFonts w:hint="eastAsia"/>
                <w:color w:val="000000"/>
                <w:szCs w:val="21"/>
              </w:rPr>
              <w:t>沟通：</w:t>
            </w:r>
          </w:p>
          <w:p>
            <w:pPr>
              <w:rPr>
                <w:color w:val="000000"/>
                <w:szCs w:val="21"/>
              </w:rPr>
            </w:pPr>
            <w:r>
              <w:rPr>
                <w:rFonts w:hint="eastAsia"/>
                <w:color w:val="000000"/>
                <w:szCs w:val="21"/>
              </w:rPr>
              <w:t>组织的环境：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外部环境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cyan"/>
                    </w:rPr>
                  </w:pPr>
                  <w:r>
                    <w:rPr>
                      <w:rFonts w:hint="eastAsia"/>
                      <w:highlight w:val="none"/>
                    </w:rPr>
                    <w:t>列举主要的内容</w:t>
                  </w:r>
                </w:p>
              </w:tc>
              <w:tc>
                <w:tcPr>
                  <w:tcW w:w="7230" w:type="dxa"/>
                </w:tcPr>
                <w:p>
                  <w:pPr>
                    <w:rPr>
                      <w:rFonts w:hint="eastAsia"/>
                      <w:highlight w:val="none"/>
                      <w:lang w:val="en-US" w:eastAsia="zh-CN"/>
                    </w:rPr>
                  </w:pPr>
                  <w:r>
                    <w:rPr>
                      <w:rFonts w:hint="eastAsia"/>
                      <w:highlight w:val="none"/>
                      <w:lang w:val="en-US" w:eastAsia="zh-CN"/>
                    </w:rPr>
                    <w:t>疫情影响不是很大；</w:t>
                  </w:r>
                </w:p>
                <w:p>
                  <w:pPr>
                    <w:rPr>
                      <w:rFonts w:hint="default"/>
                      <w:lang w:val="en-US" w:eastAsia="zh-CN"/>
                    </w:rPr>
                  </w:pPr>
                  <w:r>
                    <w:rPr>
                      <w:rFonts w:hint="eastAsia"/>
                      <w:highlight w:val="none"/>
                      <w:lang w:val="en-US" w:eastAsia="zh-CN"/>
                    </w:rPr>
                    <w:t>法律法规要求重要，行业翻碎沙酒较为领先，市场竞争不大；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1" w:type="dxa"/>
                </w:tcPr>
                <w:p>
                  <w:r>
                    <w:rPr>
                      <w:rFonts w:hint="eastAsia"/>
                    </w:rPr>
                    <w:t>内部环境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none"/>
                    </w:rPr>
                  </w:pPr>
                  <w:r>
                    <w:rPr>
                      <w:rFonts w:hint="eastAsia"/>
                      <w:highlight w:val="none"/>
                    </w:rPr>
                    <w:t>列举主要的内容</w:t>
                  </w:r>
                </w:p>
              </w:tc>
              <w:tc>
                <w:tcPr>
                  <w:tcW w:w="7230" w:type="dxa"/>
                </w:tcPr>
                <w:p>
                  <w:pPr>
                    <w:rPr>
                      <w:rFonts w:hint="default"/>
                      <w:highlight w:val="none"/>
                      <w:lang w:val="en-US" w:eastAsia="zh-CN"/>
                    </w:rPr>
                  </w:pPr>
                  <w:r>
                    <w:rPr>
                      <w:rFonts w:hint="eastAsia"/>
                      <w:lang w:val="en-US" w:eastAsia="zh-CN"/>
                    </w:rPr>
                    <w:t>企业文化、人员的体系意识；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none"/>
                    </w:rPr>
                  </w:pPr>
                  <w:r>
                    <w:rPr>
                      <w:rFonts w:hint="eastAsia"/>
                      <w:color w:val="000000"/>
                      <w:szCs w:val="21"/>
                      <w:highlight w:val="none"/>
                    </w:rPr>
                    <w:t>组织优势说明</w:t>
                  </w:r>
                </w:p>
              </w:tc>
              <w:tc>
                <w:tcPr>
                  <w:tcW w:w="7230" w:type="dxa"/>
                </w:tcPr>
                <w:p>
                  <w:pPr>
                    <w:pStyle w:val="16"/>
                    <w:rPr>
                      <w:rFonts w:hint="eastAsia"/>
                      <w:lang w:val="en-US" w:eastAsia="zh-CN"/>
                    </w:rPr>
                  </w:pPr>
                  <w:r>
                    <w:rPr>
                      <w:rFonts w:hint="eastAsia"/>
                      <w:lang w:val="en-US" w:eastAsia="zh-CN"/>
                    </w:rPr>
                    <w:t>设备先进、厂区布局合理；</w:t>
                  </w:r>
                </w:p>
                <w:p>
                  <w:pPr>
                    <w:pStyle w:val="16"/>
                    <w:rPr>
                      <w:rFonts w:hint="eastAsia"/>
                      <w:highlight w:val="none"/>
                      <w:lang w:val="en-US" w:eastAsia="zh-CN"/>
                    </w:rPr>
                  </w:pPr>
                  <w:r>
                    <w:rPr>
                      <w:rFonts w:hint="eastAsia"/>
                      <w:highlight w:val="none"/>
                      <w:lang w:val="en-US" w:eastAsia="zh-CN"/>
                    </w:rPr>
                    <w:t>循环经济可持续发展体系，国家关注；</w:t>
                  </w:r>
                </w:p>
                <w:p>
                  <w:pPr>
                    <w:pStyle w:val="16"/>
                    <w:rPr>
                      <w:rFonts w:hint="default"/>
                      <w:highlight w:val="none"/>
                      <w:lang w:val="en-US" w:eastAsia="zh-CN"/>
                    </w:rPr>
                  </w:pPr>
                  <w:r>
                    <w:rPr>
                      <w:rFonts w:hint="eastAsia"/>
                      <w:highlight w:val="none"/>
                      <w:lang w:val="en-US" w:eastAsia="zh-CN"/>
                    </w:rPr>
                    <w:t>面临竞争较小、翻碎沙酒体量较大；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none"/>
                    </w:rPr>
                  </w:pPr>
                  <w:r>
                    <w:rPr>
                      <w:rFonts w:hint="eastAsia"/>
                      <w:color w:val="000000"/>
                      <w:szCs w:val="21"/>
                      <w:highlight w:val="none"/>
                    </w:rPr>
                    <w:t>组织劣势说明</w:t>
                  </w:r>
                </w:p>
              </w:tc>
              <w:tc>
                <w:tcPr>
                  <w:tcW w:w="7230" w:type="dxa"/>
                </w:tcPr>
                <w:p>
                  <w:pPr>
                    <w:pStyle w:val="16"/>
                    <w:rPr>
                      <w:rFonts w:hint="eastAsia"/>
                      <w:highlight w:val="none"/>
                      <w:lang w:val="en-US" w:eastAsia="zh-CN"/>
                    </w:rPr>
                  </w:pPr>
                  <w:r>
                    <w:rPr>
                      <w:rFonts w:hint="eastAsia"/>
                      <w:highlight w:val="none"/>
                      <w:lang w:val="en-US" w:eastAsia="zh-CN"/>
                    </w:rPr>
                    <w:t>配套工程不健全，需要提升；</w:t>
                  </w:r>
                </w:p>
                <w:p>
                  <w:pPr>
                    <w:pStyle w:val="16"/>
                    <w:rPr>
                      <w:rFonts w:hint="default"/>
                      <w:highlight w:val="none"/>
                      <w:lang w:val="en-US" w:eastAsia="zh-CN"/>
                    </w:rPr>
                  </w:pPr>
                  <w:r>
                    <w:rPr>
                      <w:rFonts w:hint="eastAsia"/>
                      <w:highlight w:val="none"/>
                      <w:lang w:val="en-US" w:eastAsia="zh-CN"/>
                    </w:rPr>
                    <w:t>专业人员储备薄弱；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none"/>
                    </w:rPr>
                  </w:pPr>
                  <w:r>
                    <w:rPr>
                      <w:rFonts w:hint="eastAsia"/>
                      <w:color w:val="000000"/>
                      <w:szCs w:val="21"/>
                      <w:highlight w:val="none"/>
                    </w:rPr>
                    <w:t>主要风险的说明</w:t>
                  </w:r>
                </w:p>
              </w:tc>
              <w:tc>
                <w:tcPr>
                  <w:tcW w:w="7230" w:type="dxa"/>
                </w:tcPr>
                <w:p>
                  <w:pPr>
                    <w:pStyle w:val="16"/>
                    <w:rPr>
                      <w:rFonts w:hint="default"/>
                      <w:highlight w:val="none"/>
                      <w:lang w:val="en-US" w:eastAsia="zh-CN"/>
                    </w:rPr>
                  </w:pPr>
                  <w:r>
                    <w:rPr>
                      <w:rFonts w:hint="eastAsia"/>
                      <w:highlight w:val="none"/>
                      <w:lang w:val="en-US" w:eastAsia="zh-CN"/>
                    </w:rPr>
                    <w:t>废水的处理不当污染环境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none"/>
                    </w:rPr>
                  </w:pPr>
                  <w:r>
                    <w:rPr>
                      <w:rFonts w:hint="eastAsia"/>
                      <w:color w:val="000000"/>
                      <w:szCs w:val="21"/>
                      <w:highlight w:val="none"/>
                    </w:rPr>
                    <w:t>机遇的说明</w:t>
                  </w:r>
                </w:p>
              </w:tc>
              <w:tc>
                <w:tcPr>
                  <w:tcW w:w="7230" w:type="dxa"/>
                </w:tcPr>
                <w:p>
                  <w:pPr>
                    <w:numPr>
                      <w:ilvl w:val="0"/>
                      <w:numId w:val="0"/>
                    </w:numPr>
                    <w:rPr>
                      <w:rFonts w:hint="default"/>
                      <w:highlight w:val="none"/>
                      <w:lang w:val="en-US" w:eastAsia="zh-CN"/>
                    </w:rPr>
                  </w:pPr>
                  <w:r>
                    <w:rPr>
                      <w:rFonts w:hint="eastAsia"/>
                      <w:highlight w:val="none"/>
                      <w:lang w:val="en-US" w:eastAsia="zh-CN"/>
                    </w:rPr>
                    <w:t>质量稳定、翻碎沙酒体量大，满足市场客户需求</w:t>
                  </w:r>
                </w:p>
              </w:tc>
            </w:tr>
          </w:tbl>
          <w:p>
            <w:pPr>
              <w:pStyle w:val="16"/>
              <w:rPr>
                <w:rFonts w:hint="eastAsia"/>
                <w:color w:val="000000"/>
                <w:szCs w:val="21"/>
                <w:lang w:val="en-US" w:eastAsia="zh-CN"/>
              </w:rPr>
            </w:pPr>
          </w:p>
          <w:p>
            <w:pPr>
              <w:rPr>
                <w:rFonts w:hint="eastAsia"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《环境分析和内外部因素分析确定表》</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r>
              <w:rPr>
                <w:rFonts w:hint="eastAsia"/>
                <w:lang w:eastAsia="zh-CN"/>
              </w:rPr>
              <w:t>——《理解组织及其环境》</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rPr>
              <w:t>理解相关方的需求和期望</w:t>
            </w:r>
          </w:p>
        </w:tc>
        <w:tc>
          <w:tcPr>
            <w:tcW w:w="1129" w:type="dxa"/>
            <w:vMerge w:val="restart"/>
            <w:shd w:val="clear" w:color="auto" w:fill="auto"/>
          </w:tcPr>
          <w:p>
            <w:r>
              <w:rPr>
                <w:rFonts w:hint="eastAsia"/>
              </w:rPr>
              <w:t xml:space="preserve">Q4.2 </w:t>
            </w:r>
          </w:p>
          <w:p>
            <w:pPr>
              <w:rPr>
                <w:rFonts w:hint="eastAsia"/>
              </w:rPr>
            </w:pPr>
            <w:r>
              <w:rPr>
                <w:rFonts w:hint="eastAsia"/>
              </w:rPr>
              <w:t>F4.2</w:t>
            </w:r>
          </w:p>
          <w:p>
            <w:pPr>
              <w:pStyle w:val="16"/>
              <w:rPr>
                <w:rFonts w:hint="default"/>
                <w:lang w:val="en-US" w:eastAsia="zh-CN"/>
              </w:rPr>
            </w:pPr>
          </w:p>
        </w:tc>
        <w:tc>
          <w:tcPr>
            <w:tcW w:w="745" w:type="dxa"/>
            <w:shd w:val="clear" w:color="auto" w:fill="auto"/>
          </w:tcPr>
          <w:p>
            <w:r>
              <w:rPr>
                <w:rFonts w:hint="eastAsia"/>
              </w:rPr>
              <w:t>文件名称</w:t>
            </w:r>
          </w:p>
        </w:tc>
        <w:tc>
          <w:tcPr>
            <w:tcW w:w="9260" w:type="dxa"/>
            <w:gridSpan w:val="2"/>
            <w:shd w:val="clear" w:color="auto" w:fill="auto"/>
          </w:tcPr>
          <w:p>
            <w:pPr>
              <w:rPr>
                <w:rFonts w:hint="eastAsia" w:eastAsia="宋体"/>
                <w:lang w:eastAsia="zh-CN"/>
              </w:rPr>
            </w:pPr>
            <w:r>
              <w:rPr>
                <w:rFonts w:hint="eastAsia"/>
                <w:highlight w:val="none"/>
              </w:rPr>
              <w:t>如：</w:t>
            </w:r>
            <w:r>
              <w:rPr>
                <w:highlight w:val="none"/>
              </w:rPr>
              <w:sym w:font="Wingdings" w:char="00FE"/>
            </w:r>
            <w:r>
              <w:rPr>
                <w:rFonts w:hint="eastAsia"/>
                <w:highlight w:val="none"/>
              </w:rPr>
              <w:t>《</w:t>
            </w:r>
            <w:r>
              <w:rPr>
                <w:rFonts w:hint="eastAsia"/>
                <w:highlight w:val="none"/>
                <w:lang w:val="en-US" w:eastAsia="zh-CN"/>
              </w:rPr>
              <w:t>相关方需求和期望控制程序</w:t>
            </w:r>
            <w:r>
              <w:rPr>
                <w:rFonts w:hint="eastAsia"/>
                <w:highlight w:val="none"/>
              </w:rPr>
              <w:t>》、</w:t>
            </w:r>
            <w:r>
              <w:rPr>
                <w:highlight w:val="none"/>
              </w:rPr>
              <w:sym w:font="Wingdings" w:char="00FE"/>
            </w:r>
            <w:r>
              <w:rPr>
                <w:rFonts w:hint="eastAsia"/>
                <w:highlight w:val="none"/>
              </w:rPr>
              <w:t>管理手册第4.2</w:t>
            </w:r>
            <w:r>
              <w:rPr>
                <w:rFonts w:hint="eastAsia"/>
                <w:highlight w:val="none"/>
                <w:lang w:val="en-US" w:eastAsia="zh-CN"/>
              </w:rPr>
              <w:t>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 xml:space="preserve"> </w:t>
            </w:r>
          </w:p>
          <w:tbl>
            <w:tblPr>
              <w:tblStyle w:val="13"/>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tcPr>
                <w:p>
                  <w:pPr>
                    <w:rPr>
                      <w:rFonts w:hint="default"/>
                      <w:highlight w:val="none"/>
                      <w:lang w:val="en-US" w:eastAsia="zh-CN"/>
                    </w:rPr>
                  </w:pPr>
                  <w:r>
                    <w:rPr>
                      <w:rFonts w:hint="default"/>
                      <w:highlight w:val="none"/>
                      <w:lang w:val="en-US" w:eastAsia="zh-CN"/>
                    </w:rPr>
                    <w:t>遵义市播州区市场监督管理局</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遵守质量/食品安全相关的法律法规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tcPr>
                <w:p>
                  <w:pPr>
                    <w:pStyle w:val="2"/>
                    <w:ind w:left="0" w:leftChars="0" w:firstLine="0" w:firstLineChars="0"/>
                    <w:rPr>
                      <w:rFonts w:hint="default"/>
                      <w:highlight w:val="cyan"/>
                      <w:lang w:val="en-US" w:eastAsia="zh-CN"/>
                    </w:rPr>
                  </w:pPr>
                  <w:r>
                    <w:rPr>
                      <w:rFonts w:hint="eastAsia" w:ascii="Times New Roman" w:hAnsi="Times New Roman" w:cs="Times New Roman"/>
                      <w:kern w:val="2"/>
                      <w:sz w:val="21"/>
                      <w:highlight w:val="none"/>
                      <w:lang w:val="en-US" w:eastAsia="zh-CN" w:bidi="ar-SA"/>
                    </w:rPr>
                    <w:t>安琪酵母股份有限公司、泸州金土地农业发展有限公司、贵州省湄潭县栗香农产品购销有限公司、遵义连兴药业有限公司</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组织的持续经营、明示质量/食品安全采购要求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81" w:type="dxa"/>
                </w:tcPr>
                <w:p>
                  <w:pPr>
                    <w:rPr>
                      <w:highlight w:val="none"/>
                    </w:rPr>
                  </w:pPr>
                  <w:r>
                    <w:rPr>
                      <w:rFonts w:hint="eastAsia"/>
                      <w:highlight w:val="none"/>
                    </w:rPr>
                    <w:t>☑顾客</w:t>
                  </w:r>
                </w:p>
              </w:tc>
              <w:tc>
                <w:tcPr>
                  <w:tcW w:w="2701" w:type="dxa"/>
                </w:tcPr>
                <w:p>
                  <w:pPr>
                    <w:pStyle w:val="2"/>
                    <w:ind w:left="0" w:leftChars="0" w:firstLine="0" w:firstLineChars="0"/>
                    <w:rPr>
                      <w:rFonts w:hint="default"/>
                      <w:highlight w:val="cyan"/>
                      <w:lang w:val="en-US" w:eastAsia="zh-CN"/>
                    </w:rPr>
                  </w:pPr>
                  <w:r>
                    <w:rPr>
                      <w:rFonts w:hint="eastAsia" w:ascii="宋体" w:hAnsi="宋体" w:cs="Times New Roman"/>
                      <w:kern w:val="2"/>
                      <w:sz w:val="21"/>
                      <w:szCs w:val="24"/>
                      <w:highlight w:val="none"/>
                      <w:lang w:val="en-US" w:eastAsia="zh-CN" w:bidi="ar-SA"/>
                    </w:rPr>
                    <w:t>贵州民族酒业有限公司、</w:t>
                  </w:r>
                  <w:r>
                    <w:rPr>
                      <w:rFonts w:hint="eastAsia"/>
                      <w:lang w:val="en-US" w:eastAsia="zh-CN"/>
                    </w:rPr>
                    <w:t>贵州金窖酒业（集团）销售有限公司</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消费者</w:t>
                  </w:r>
                </w:p>
              </w:tc>
              <w:tc>
                <w:tcPr>
                  <w:tcW w:w="2701" w:type="dxa"/>
                </w:tcPr>
                <w:p>
                  <w:pPr>
                    <w:rPr>
                      <w:rFonts w:hint="default" w:eastAsia="宋体"/>
                      <w:highlight w:val="none"/>
                      <w:lang w:val="en-US" w:eastAsia="zh-CN"/>
                    </w:rPr>
                  </w:pPr>
                  <w:r>
                    <w:rPr>
                      <w:rFonts w:hint="eastAsia"/>
                      <w:highlight w:val="none"/>
                      <w:lang w:val="en-US" w:eastAsia="zh-CN"/>
                    </w:rPr>
                    <w:t>普通大众</w:t>
                  </w:r>
                </w:p>
              </w:tc>
              <w:tc>
                <w:tcPr>
                  <w:tcW w:w="4729" w:type="dxa"/>
                </w:tcPr>
                <w:p>
                  <w:pPr>
                    <w:rPr>
                      <w:highlight w:val="none"/>
                    </w:rPr>
                  </w:pPr>
                  <w:r>
                    <w:rPr>
                      <w:rFonts w:hint="eastAsia"/>
                      <w:highlight w:val="none"/>
                    </w:rPr>
                    <w:t>☑良好的使用感受</w:t>
                  </w:r>
                </w:p>
                <w:p>
                  <w:pP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tcPr>
                <w:p>
                  <w:pPr>
                    <w:rPr>
                      <w:szCs w:val="24"/>
                    </w:rPr>
                  </w:pPr>
                  <w:r>
                    <w:rPr>
                      <w:rFonts w:hint="eastAsia"/>
                      <w:szCs w:val="24"/>
                    </w:rPr>
                    <w:t>雇员</w:t>
                  </w:r>
                </w:p>
              </w:tc>
              <w:tc>
                <w:tcPr>
                  <w:tcW w:w="4729"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701" w:type="dxa"/>
                </w:tcPr>
                <w:p>
                  <w:r>
                    <w:rPr>
                      <w:rFonts w:hint="eastAsia"/>
                    </w:rPr>
                    <w:t xml:space="preserve">贵州茅台酒厂（集团）循环经济产业投资开发有限公司与深圳华昱集团 </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组织的持续经营、盈利</w:t>
                  </w:r>
                </w:p>
                <w:p>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r>
                    <w:rPr>
                      <w:rFonts w:hint="eastAsia"/>
                    </w:rPr>
                    <w:sym w:font="Wingdings 2" w:char="0052"/>
                  </w:r>
                  <w:r>
                    <w:rPr>
                      <w:rFonts w:hint="eastAsia"/>
                    </w:rPr>
                    <w:t>社区</w:t>
                  </w:r>
                </w:p>
              </w:tc>
              <w:tc>
                <w:tcPr>
                  <w:tcW w:w="2701" w:type="dxa"/>
                </w:tcPr>
                <w:p>
                  <w:pPr>
                    <w:rPr>
                      <w:rFonts w:hint="default" w:eastAsia="宋体"/>
                      <w:lang w:val="en-US" w:eastAsia="zh-CN"/>
                    </w:rPr>
                  </w:pPr>
                  <w:r>
                    <w:rPr>
                      <w:sz w:val="18"/>
                      <w:szCs w:val="18"/>
                    </w:rPr>
                    <w:t>遵义市播州区鸭溪镇金刀村茅台生态循环经济产业示范园区</w:t>
                  </w:r>
                </w:p>
              </w:tc>
              <w:tc>
                <w:tcPr>
                  <w:tcW w:w="4729" w:type="dxa"/>
                </w:tcPr>
                <w:p>
                  <w:r>
                    <w:rPr>
                      <w:rFonts w:hint="eastAsia"/>
                    </w:rPr>
                    <w:sym w:font="Wingdings 2" w:char="0052"/>
                  </w:r>
                  <w:r>
                    <w:rPr>
                      <w:rFonts w:hint="eastAsia"/>
                    </w:rPr>
                    <w:t>不因食品安全问题影响周围人员的就业</w:t>
                  </w:r>
                </w:p>
                <w:p>
                  <w:pPr>
                    <w:rPr>
                      <w:rFonts w:hint="default" w:eastAsia="宋体"/>
                      <w:lang w:val="en-US" w:eastAsia="zh-CN"/>
                    </w:rPr>
                  </w:pPr>
                  <w:r>
                    <w:rPr>
                      <w:rFonts w:hint="eastAsia"/>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r>
              <w:rPr>
                <w:rFonts w:hint="eastAsia"/>
                <w:lang w:eastAsia="zh-CN"/>
              </w:rPr>
              <w:t>——</w:t>
            </w:r>
            <w:r>
              <w:rPr>
                <w:rFonts w:hint="eastAsia"/>
                <w:lang w:val="en-US" w:eastAsia="zh-CN"/>
              </w:rPr>
              <w:t>现场沟通</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rPr>
              <w:t>理解相关方的需求和期望</w:t>
            </w:r>
          </w:p>
        </w:tc>
        <w:tc>
          <w:tcPr>
            <w:tcW w:w="1129" w:type="dxa"/>
            <w:vMerge w:val="restart"/>
            <w:shd w:val="clear" w:color="auto" w:fill="auto"/>
          </w:tcPr>
          <w:p>
            <w:r>
              <w:rPr>
                <w:rFonts w:hint="eastAsia"/>
                <w:lang w:val="en-US" w:eastAsia="zh-CN"/>
              </w:rPr>
              <w:t>E</w:t>
            </w:r>
            <w:r>
              <w:rPr>
                <w:rFonts w:hint="eastAsia"/>
              </w:rPr>
              <w:t xml:space="preserve">4.2 </w:t>
            </w:r>
          </w:p>
        </w:tc>
        <w:tc>
          <w:tcPr>
            <w:tcW w:w="746" w:type="dxa"/>
            <w:gridSpan w:val="2"/>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sym w:font="Wingdings" w:char="00FE"/>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902" w:type="dxa"/>
            <w:vMerge w:val="continue"/>
            <w:shd w:val="clear" w:color="auto" w:fill="auto"/>
          </w:tcPr>
          <w:p/>
        </w:tc>
        <w:tc>
          <w:tcPr>
            <w:tcW w:w="1129" w:type="dxa"/>
            <w:vMerge w:val="continue"/>
            <w:shd w:val="clear" w:color="auto" w:fill="auto"/>
          </w:tcPr>
          <w:p/>
        </w:tc>
        <w:tc>
          <w:tcPr>
            <w:tcW w:w="746" w:type="dxa"/>
            <w:gridSpan w:val="2"/>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shd w:val="clear" w:color="auto" w:fill="auto"/>
          </w:tcPr>
          <w:p>
            <w:pPr>
              <w:rPr>
                <w:rFonts w:hint="eastAsia"/>
                <w:color w:val="000000"/>
                <w:szCs w:val="21"/>
                <w:lang w:val="en-US" w:eastAsia="zh-CN"/>
              </w:rPr>
            </w:pPr>
            <w:r>
              <w:rPr>
                <w:rFonts w:hint="eastAsia"/>
                <w:color w:val="000000"/>
                <w:szCs w:val="21"/>
                <w:lang w:val="en-US" w:eastAsia="zh-CN"/>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相关方名称举例</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cyan"/>
                      <w:vertAlign w:val="baseline"/>
                      <w:lang w:val="en-US" w:eastAsia="zh-CN" w:bidi="ar-SA"/>
                    </w:rPr>
                  </w:pPr>
                  <w:r>
                    <w:rPr>
                      <w:rFonts w:hint="eastAsia"/>
                      <w:highlight w:val="none"/>
                      <w:vertAlign w:val="baseline"/>
                      <w:lang w:val="en-US" w:eastAsia="zh-CN"/>
                    </w:rPr>
                    <w:t>重要的相关方</w:t>
                  </w:r>
                  <w:r>
                    <w:rPr>
                      <w:rFonts w:hint="eastAsia"/>
                      <w:vertAlign w:val="baseline"/>
                      <w:lang w:val="en-US" w:eastAsia="zh-CN"/>
                    </w:rPr>
                    <w:t>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2495" w:type="dxa"/>
                </w:tcPr>
                <w:p>
                  <w:pPr>
                    <w:rPr>
                      <w:rFonts w:hint="default"/>
                      <w:highlight w:val="cyan"/>
                      <w:vertAlign w:val="baseline"/>
                      <w:lang w:val="en-US" w:eastAsia="zh-CN"/>
                    </w:rPr>
                  </w:pPr>
                  <w:r>
                    <w:rPr>
                      <w:rFonts w:hint="default"/>
                      <w:highlight w:val="none"/>
                      <w:vertAlign w:val="baseline"/>
                      <w:lang w:val="en-US" w:eastAsia="zh-CN"/>
                    </w:rPr>
                    <w:t>遵义市生态环境局播州分局</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遵守环境相关的法律法规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达标排放</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2495" w:type="dxa"/>
                  <w:vAlign w:val="top"/>
                </w:tcPr>
                <w:p>
                  <w:pPr>
                    <w:pStyle w:val="2"/>
                    <w:ind w:left="0" w:leftChars="0" w:firstLine="0" w:firstLineChars="0"/>
                    <w:rPr>
                      <w:rFonts w:hint="default" w:ascii="宋体" w:hAnsi="宋体" w:eastAsia="宋体" w:cs="Times New Roman"/>
                      <w:kern w:val="2"/>
                      <w:sz w:val="21"/>
                      <w:szCs w:val="24"/>
                      <w:highlight w:val="cyan"/>
                      <w:lang w:val="en-US" w:eastAsia="zh-CN" w:bidi="ar-SA"/>
                    </w:rPr>
                  </w:pPr>
                  <w:r>
                    <w:rPr>
                      <w:rFonts w:hint="eastAsia" w:ascii="Times New Roman" w:hAnsi="Times New Roman" w:cs="Times New Roman"/>
                      <w:kern w:val="2"/>
                      <w:sz w:val="21"/>
                      <w:highlight w:val="none"/>
                      <w:lang w:val="en-US" w:eastAsia="zh-CN" w:bidi="ar-SA"/>
                    </w:rPr>
                    <w:t>安琪酵母股份有限公司、泸州金土地农业发展有限公司、贵州省湄潭县栗香农产品购销有限公司、遵义连兴药业有限公司</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明示采购的环保要求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highlight w:val="none"/>
                      <w:lang w:val="en-US" w:eastAsia="zh-CN"/>
                    </w:rPr>
                    <w:sym w:font="Wingdings" w:char="00FE"/>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2495" w:type="dxa"/>
                  <w:vAlign w:val="top"/>
                </w:tcPr>
                <w:p>
                  <w:pPr>
                    <w:rPr>
                      <w:rFonts w:hint="default" w:ascii="宋体" w:hAnsi="宋体" w:eastAsia="宋体" w:cs="Times New Roman"/>
                      <w:kern w:val="2"/>
                      <w:sz w:val="21"/>
                      <w:szCs w:val="24"/>
                      <w:highlight w:val="cyan"/>
                      <w:lang w:val="en-US" w:eastAsia="zh-CN" w:bidi="ar-SA"/>
                    </w:rPr>
                  </w:pPr>
                  <w:r>
                    <w:rPr>
                      <w:rFonts w:hint="eastAsia" w:ascii="宋体" w:hAnsi="宋体" w:cs="Times New Roman"/>
                      <w:kern w:val="2"/>
                      <w:sz w:val="21"/>
                      <w:szCs w:val="24"/>
                      <w:highlight w:val="none"/>
                      <w:lang w:val="en-US" w:eastAsia="zh-CN" w:bidi="ar-SA"/>
                    </w:rPr>
                    <w:t>贵州民族酒业有限公司、</w:t>
                  </w:r>
                  <w:r>
                    <w:rPr>
                      <w:rFonts w:hint="eastAsia"/>
                      <w:lang w:val="en-US" w:eastAsia="zh-CN"/>
                    </w:rPr>
                    <w:t>贵州金窖酒业（集团）销售有限公司</w:t>
                  </w:r>
                </w:p>
              </w:tc>
              <w:tc>
                <w:tcPr>
                  <w:tcW w:w="3611"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不因环保问题影响</w:t>
                  </w:r>
                  <w:r>
                    <w:rPr>
                      <w:rFonts w:hint="eastAsia"/>
                      <w:highlight w:val="none"/>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提供明确的MSDS</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消费者</w:t>
                  </w:r>
                </w:p>
              </w:tc>
              <w:tc>
                <w:tcPr>
                  <w:tcW w:w="2495"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普通大众</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不因使用（如耗电）和最终处置带来麻烦</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2495" w:type="dxa"/>
                  <w:vAlign w:val="top"/>
                </w:tcPr>
                <w:p>
                  <w:pPr>
                    <w:rPr>
                      <w:rFonts w:hint="eastAsia" w:ascii="Times New Roman" w:hAnsi="Times New Roman" w:eastAsia="宋体" w:cs="Times New Roman"/>
                      <w:kern w:val="2"/>
                      <w:sz w:val="21"/>
                      <w:szCs w:val="24"/>
                      <w:lang w:val="en-US" w:eastAsia="zh-CN" w:bidi="ar-SA"/>
                    </w:rPr>
                  </w:pPr>
                  <w:r>
                    <w:rPr>
                      <w:rFonts w:hint="eastAsia"/>
                      <w:szCs w:val="24"/>
                    </w:rPr>
                    <w:t>雇员</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不因环保问题停产，</w:t>
                  </w:r>
                  <w:r>
                    <w:rPr>
                      <w:rFonts w:hint="eastAsia"/>
                      <w:highlight w:val="none"/>
                      <w:vertAlign w:val="baseline"/>
                      <w:lang w:val="en-US" w:eastAsia="zh-CN"/>
                    </w:rPr>
                    <w:t>组织持续经营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2495" w:type="dxa"/>
                  <w:vAlign w:val="top"/>
                </w:tcPr>
                <w:p>
                  <w:pPr>
                    <w:rPr>
                      <w:rFonts w:hint="default" w:ascii="Times New Roman" w:hAnsi="Times New Roman" w:eastAsia="宋体" w:cs="Times New Roman"/>
                      <w:kern w:val="2"/>
                      <w:sz w:val="21"/>
                      <w:lang w:val="en-US" w:eastAsia="zh-CN" w:bidi="ar-SA"/>
                    </w:rPr>
                  </w:pPr>
                  <w:r>
                    <w:rPr>
                      <w:rFonts w:hint="eastAsia"/>
                    </w:rPr>
                    <w:t xml:space="preserve">贵州茅台酒厂（集团）循环经济产业投资开发有限公司与深圳华昱集团 </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lang w:val="en-US" w:eastAsia="zh-CN"/>
                    </w:rPr>
                  </w:pPr>
                  <w:r>
                    <w:rPr>
                      <w:rFonts w:hint="eastAsia"/>
                      <w:highlight w:val="none"/>
                      <w:lang w:val="en-US" w:eastAsia="zh-CN"/>
                    </w:rPr>
                    <w:t>☑不因环保问题停产，组织持续经营、盈利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lang w:val="en-US" w:eastAsia="zh-CN"/>
                    </w:rPr>
                  </w:pPr>
                  <w:r>
                    <w:rPr>
                      <w:rFonts w:hint="eastAsia"/>
                      <w:highlight w:val="none"/>
                      <w:lang w:val="en-US" w:eastAsia="zh-CN"/>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r>
                    <w:rPr>
                      <w:rFonts w:hint="eastAsia"/>
                      <w:highlight w:val="none"/>
                      <w:lang w:val="en-US" w:eastAsia="zh-CN"/>
                    </w:rPr>
                    <w:t>社区</w:t>
                  </w:r>
                </w:p>
              </w:tc>
              <w:tc>
                <w:tcPr>
                  <w:tcW w:w="2495" w:type="dxa"/>
                  <w:vAlign w:val="top"/>
                </w:tcPr>
                <w:p>
                  <w:pPr>
                    <w:rPr>
                      <w:rFonts w:hint="default" w:ascii="Times New Roman" w:hAnsi="Times New Roman" w:eastAsia="宋体" w:cs="Times New Roman"/>
                      <w:kern w:val="2"/>
                      <w:sz w:val="21"/>
                      <w:lang w:val="en-US" w:eastAsia="zh-CN" w:bidi="ar-SA"/>
                    </w:rPr>
                  </w:pPr>
                  <w:r>
                    <w:rPr>
                      <w:sz w:val="18"/>
                      <w:szCs w:val="18"/>
                    </w:rPr>
                    <w:t>遵义市播州区鸭溪镇金刀村茅台生态循环经济产业示范园区</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lang w:val="en-US" w:eastAsia="zh-CN"/>
                    </w:rPr>
                  </w:pPr>
                  <w:r>
                    <w:rPr>
                      <w:rFonts w:hint="eastAsia"/>
                      <w:highlight w:val="none"/>
                      <w:lang w:val="en-US" w:eastAsia="zh-CN"/>
                    </w:rPr>
                    <w:t>☑不因环保问题影响污染周围的环境</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lang w:val="en-US" w:eastAsia="zh-CN"/>
                    </w:rPr>
                  </w:pPr>
                  <w:r>
                    <w:rPr>
                      <w:rFonts w:hint="eastAsia"/>
                      <w:highlight w:val="none"/>
                      <w:lang w:val="en-US" w:eastAsia="zh-CN"/>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lang w:val="en-US" w:eastAsia="zh-CN"/>
                    </w:rPr>
                  </w:pPr>
                  <w:r>
                    <w:rPr>
                      <w:rFonts w:hint="eastAsia"/>
                      <w:highlight w:val="none"/>
                      <w:lang w:val="en-US" w:eastAsia="zh-CN"/>
                    </w:rPr>
                    <w:sym w:font="Wingdings" w:char="00FE"/>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3611"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bl>
          <w:p>
            <w:pPr>
              <w:rPr>
                <w:rFonts w:hint="eastAsia"/>
                <w:color w:val="000000"/>
                <w:szCs w:val="21"/>
                <w:lang w:val="en-US" w:eastAsia="zh-CN"/>
              </w:rPr>
            </w:pPr>
          </w:p>
          <w:p>
            <w:pPr>
              <w:rPr>
                <w:rFonts w:hint="eastAsia"/>
                <w:lang w:val="en-US" w:eastAsia="zh-CN"/>
              </w:rPr>
            </w:pPr>
            <w:r>
              <w:rPr>
                <w:rFonts w:hint="eastAsia"/>
                <w:color w:val="000000"/>
                <w:szCs w:val="21"/>
                <w:lang w:val="en-US" w:eastAsia="zh-CN"/>
              </w:rPr>
              <w:t>主要证据体现在</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highlight w:val="none"/>
                <w:lang w:val="en-US" w:eastAsia="zh-CN"/>
              </w:rPr>
              <w:t xml:space="preserve"> </w:t>
            </w:r>
            <w:r>
              <w:rPr>
                <w:rFonts w:hint="eastAsia"/>
                <w:lang w:val="en-US" w:eastAsia="zh-CN"/>
              </w:rPr>
              <w:t xml:space="preserve">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w:t>
            </w:r>
          </w:p>
          <w:p>
            <w:pPr>
              <w:rPr>
                <w:rFonts w:hint="eastAsia"/>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pPr>
              <w:rPr>
                <w:rFonts w:hint="eastAsia" w:ascii="Arial" w:hAnsi="Arial"/>
                <w:color w:val="auto"/>
                <w:highlight w:val="none"/>
              </w:rPr>
            </w:pPr>
            <w:bookmarkStart w:id="0" w:name="_Toc17985659"/>
            <w:r>
              <w:rPr>
                <w:rFonts w:hint="eastAsia" w:ascii="Arial" w:hAnsi="Arial"/>
                <w:color w:val="auto"/>
                <w:highlight w:val="none"/>
              </w:rPr>
              <w:t>理解工作人员和其他相关方的需求和期望</w:t>
            </w:r>
            <w:bookmarkEnd w:id="0"/>
          </w:p>
          <w:p>
            <w:pPr>
              <w:rPr>
                <w:rFonts w:hint="eastAsia" w:ascii="Arial" w:hAnsi="Arial"/>
                <w:color w:val="auto"/>
                <w:highlight w:val="none"/>
              </w:rPr>
            </w:pPr>
          </w:p>
        </w:tc>
        <w:tc>
          <w:tcPr>
            <w:tcW w:w="1129" w:type="dxa"/>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O4.2</w:t>
            </w:r>
          </w:p>
        </w:tc>
        <w:tc>
          <w:tcPr>
            <w:tcW w:w="746" w:type="dxa"/>
            <w:gridSpan w:val="2"/>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如：</w:t>
            </w:r>
            <w:r>
              <w:rPr/>
              <w:sym w:font="Wingdings" w:char="00FE"/>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1" w:hRule="atLeast"/>
        </w:trPr>
        <w:tc>
          <w:tcPr>
            <w:tcW w:w="1902" w:type="dxa"/>
            <w:vMerge w:val="continue"/>
            <w:shd w:val="clear" w:color="auto" w:fill="auto"/>
          </w:tcPr>
          <w:p>
            <w:pPr>
              <w:rPr>
                <w:color w:val="auto"/>
                <w:highlight w:val="none"/>
              </w:rPr>
            </w:pPr>
          </w:p>
        </w:tc>
        <w:tc>
          <w:tcPr>
            <w:tcW w:w="1129" w:type="dxa"/>
            <w:vMerge w:val="continue"/>
            <w:shd w:val="clear" w:color="auto" w:fill="auto"/>
          </w:tcPr>
          <w:p>
            <w:pPr>
              <w:rPr>
                <w:color w:val="auto"/>
                <w:highlight w:val="none"/>
              </w:rPr>
            </w:pPr>
          </w:p>
        </w:tc>
        <w:tc>
          <w:tcPr>
            <w:tcW w:w="746" w:type="dxa"/>
            <w:gridSpan w:val="2"/>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shd w:val="clear" w:color="auto" w:fill="auto"/>
          </w:tcPr>
          <w:p>
            <w:pPr>
              <w:rPr>
                <w:rFonts w:hint="eastAsia"/>
                <w:color w:val="auto"/>
                <w:szCs w:val="21"/>
                <w:highlight w:val="none"/>
                <w:lang w:val="en-US" w:eastAsia="zh-CN"/>
              </w:rPr>
            </w:pPr>
            <w:r>
              <w:rPr>
                <w:rFonts w:hint="eastAsia"/>
                <w:color w:val="auto"/>
                <w:szCs w:val="21"/>
                <w:highlight w:val="none"/>
                <w:lang w:val="en-US" w:eastAsia="zh-CN"/>
              </w:rPr>
              <w:t xml:space="preserve"> </w:t>
            </w:r>
          </w:p>
          <w:tbl>
            <w:tblPr>
              <w:tblStyle w:val="13"/>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379"/>
              <w:gridCol w:w="372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重要的相关方</w:t>
                  </w:r>
                </w:p>
              </w:tc>
              <w:tc>
                <w:tcPr>
                  <w:tcW w:w="237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相关方名称举例</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重要的相关方需求和希望（不必全选）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主管部门</w:t>
                  </w:r>
                </w:p>
              </w:tc>
              <w:tc>
                <w:tcPr>
                  <w:tcW w:w="2379" w:type="dxa"/>
                  <w:vAlign w:val="top"/>
                </w:tcPr>
                <w:p>
                  <w:pPr>
                    <w:rPr>
                      <w:rFonts w:hint="default"/>
                      <w:highlight w:val="none"/>
                      <w:lang w:val="en-US" w:eastAsia="zh-CN"/>
                    </w:rPr>
                  </w:pPr>
                  <w:r>
                    <w:rPr>
                      <w:rFonts w:hint="eastAsia"/>
                      <w:highlight w:val="none"/>
                      <w:lang w:val="en-US" w:eastAsia="zh-CN"/>
                    </w:rPr>
                    <w:t>遵义市播州区消防救援大队</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遵守职业健康安全相关的法律法规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供方</w:t>
                  </w:r>
                </w:p>
              </w:tc>
              <w:tc>
                <w:tcPr>
                  <w:tcW w:w="2379" w:type="dxa"/>
                  <w:vAlign w:val="top"/>
                </w:tcPr>
                <w:p>
                  <w:pPr>
                    <w:pStyle w:val="2"/>
                    <w:ind w:left="0" w:leftChars="0" w:firstLine="0" w:firstLineChars="0"/>
                    <w:rPr>
                      <w:rFonts w:hint="default" w:ascii="Times New Roman" w:hAnsi="Times New Roman" w:eastAsia="宋体" w:cs="Times New Roman"/>
                      <w:kern w:val="2"/>
                      <w:sz w:val="21"/>
                      <w:highlight w:val="none"/>
                      <w:lang w:val="en-US" w:eastAsia="zh-CN" w:bidi="ar-SA"/>
                    </w:rPr>
                  </w:pPr>
                  <w:r>
                    <w:rPr>
                      <w:rFonts w:hint="eastAsia" w:ascii="Times New Roman" w:hAnsi="Times New Roman" w:cs="Times New Roman"/>
                      <w:kern w:val="2"/>
                      <w:sz w:val="21"/>
                      <w:highlight w:val="none"/>
                      <w:lang w:val="en-US" w:eastAsia="zh-CN" w:bidi="ar-SA"/>
                    </w:rPr>
                    <w:t>安琪酵母股份有限公司、泸州金土地农业发展有限公司、贵州省湄潭县栗香农产品购销有限公司、遵义连兴药业有限公司</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明示采购的职业健康安全要求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顾客</w:t>
                  </w:r>
                </w:p>
              </w:tc>
              <w:tc>
                <w:tcPr>
                  <w:tcW w:w="2379" w:type="dxa"/>
                  <w:vAlign w:val="top"/>
                </w:tcPr>
                <w:p>
                  <w:pPr>
                    <w:rPr>
                      <w:rFonts w:hint="default" w:ascii="Times New Roman" w:hAnsi="Times New Roman" w:eastAsia="宋体" w:cs="Times New Roman"/>
                      <w:kern w:val="2"/>
                      <w:sz w:val="21"/>
                      <w:highlight w:val="yellow"/>
                      <w:lang w:val="en-US" w:eastAsia="zh-CN" w:bidi="ar-SA"/>
                    </w:rPr>
                  </w:pPr>
                  <w:r>
                    <w:rPr>
                      <w:rFonts w:hint="eastAsia"/>
                      <w:highlight w:val="none"/>
                      <w:lang w:val="en-US" w:eastAsia="zh-CN"/>
                    </w:rPr>
                    <w:t>普通大众</w:t>
                  </w:r>
                </w:p>
              </w:tc>
              <w:tc>
                <w:tcPr>
                  <w:tcW w:w="3727"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问题影响</w:t>
                  </w:r>
                  <w:r>
                    <w:rPr>
                      <w:rFonts w:hint="eastAsia"/>
                      <w:color w:val="auto"/>
                      <w:highlight w:val="none"/>
                      <w:vertAlign w:val="baseline"/>
                      <w:lang w:val="en-US" w:eastAsia="zh-CN"/>
                    </w:rPr>
                    <w:t>按时按质按量交付产品或服务；</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员工</w:t>
                  </w:r>
                </w:p>
              </w:tc>
              <w:tc>
                <w:tcPr>
                  <w:tcW w:w="2379" w:type="dxa"/>
                  <w:vAlign w:val="top"/>
                </w:tcPr>
                <w:p>
                  <w:pPr>
                    <w:rPr>
                      <w:rFonts w:hint="eastAsia" w:ascii="Times New Roman" w:hAnsi="Times New Roman" w:eastAsia="宋体" w:cs="Times New Roman"/>
                      <w:kern w:val="2"/>
                      <w:sz w:val="21"/>
                      <w:szCs w:val="24"/>
                      <w:lang w:val="en-US" w:eastAsia="zh-CN" w:bidi="ar-SA"/>
                    </w:rPr>
                  </w:pPr>
                  <w:r>
                    <w:rPr>
                      <w:rFonts w:hint="eastAsia"/>
                      <w:szCs w:val="24"/>
                    </w:rPr>
                    <w:t>雇员</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不发生工伤和职业病，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组织持续经营</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投资方</w:t>
                  </w:r>
                </w:p>
              </w:tc>
              <w:tc>
                <w:tcPr>
                  <w:tcW w:w="2379" w:type="dxa"/>
                  <w:vAlign w:val="top"/>
                </w:tcPr>
                <w:p>
                  <w:pPr>
                    <w:rPr>
                      <w:rFonts w:hint="default" w:ascii="Times New Roman" w:hAnsi="Times New Roman" w:eastAsia="宋体" w:cs="Times New Roman"/>
                      <w:kern w:val="2"/>
                      <w:sz w:val="21"/>
                      <w:szCs w:val="21"/>
                      <w:lang w:val="en-US" w:eastAsia="zh-CN" w:bidi="ar-SA"/>
                    </w:rPr>
                  </w:pPr>
                  <w:r>
                    <w:rPr>
                      <w:rFonts w:hint="eastAsia"/>
                      <w:sz w:val="21"/>
                      <w:szCs w:val="21"/>
                    </w:rPr>
                    <w:t xml:space="preserve">贵州茅台酒厂（集团）循环经济产业投资开发有限公司与深圳华昱集团 </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问题停产，</w:t>
                  </w:r>
                  <w:r>
                    <w:rPr>
                      <w:rFonts w:hint="eastAsia"/>
                      <w:color w:val="auto"/>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r>
                    <w:rPr>
                      <w:rFonts w:hint="eastAsia"/>
                      <w:color w:val="auto"/>
                      <w:highlight w:val="none"/>
                      <w:lang w:val="en-US" w:eastAsia="zh-CN"/>
                    </w:rPr>
                    <w:t>承包方</w:t>
                  </w:r>
                </w:p>
              </w:tc>
              <w:tc>
                <w:tcPr>
                  <w:tcW w:w="2379" w:type="dxa"/>
                  <w:vAlign w:val="top"/>
                </w:tcPr>
                <w:p>
                  <w:pPr>
                    <w:rPr>
                      <w:rFonts w:hint="default" w:ascii="Times New Roman" w:hAnsi="Times New Roman" w:eastAsia="宋体" w:cs="Times New Roman"/>
                      <w:kern w:val="2"/>
                      <w:sz w:val="21"/>
                      <w:szCs w:val="21"/>
                      <w:lang w:val="en-US" w:eastAsia="zh-CN" w:bidi="ar-SA"/>
                    </w:rPr>
                  </w:pPr>
                  <w:r>
                    <w:rPr>
                      <w:sz w:val="21"/>
                      <w:szCs w:val="21"/>
                    </w:rPr>
                    <w:t>遵义市播州区鸭溪镇金刀村茅台生态循环经济产业示范园区</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不发生</w:t>
                  </w:r>
                  <w:r>
                    <w:rPr>
                      <w:rFonts w:hint="eastAsia"/>
                      <w:color w:val="auto"/>
                      <w:highlight w:val="none"/>
                      <w:vertAlign w:val="baseline"/>
                      <w:lang w:val="en-US" w:eastAsia="zh-CN"/>
                    </w:rPr>
                    <w:t>职业健康安全</w:t>
                  </w:r>
                  <w:r>
                    <w:rPr>
                      <w:rFonts w:hint="eastAsia"/>
                      <w:color w:val="auto"/>
                      <w:highlight w:val="none"/>
                      <w:lang w:val="en-US" w:eastAsia="zh-CN"/>
                    </w:rPr>
                    <w:t>事故</w:t>
                  </w:r>
                  <w:r>
                    <w:rPr>
                      <w:rFonts w:hint="eastAsia"/>
                      <w:color w:val="auto"/>
                      <w:highlight w:val="none"/>
                      <w:vertAlign w:val="baseline"/>
                      <w:lang w:val="en-US" w:eastAsia="zh-CN"/>
                    </w:rPr>
                    <w:t>，</w:t>
                  </w:r>
                  <w:r>
                    <w:rPr>
                      <w:rFonts w:hint="eastAsia"/>
                      <w:color w:val="auto"/>
                      <w:highlight w:val="none"/>
                      <w:lang w:val="en-US" w:eastAsia="zh-CN"/>
                    </w:rPr>
                    <w:t>良好安全的合作机会</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其他</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372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bl>
          <w:p>
            <w:pPr>
              <w:rPr>
                <w:rFonts w:hint="eastAsia"/>
                <w:color w:val="auto"/>
                <w:szCs w:val="21"/>
                <w:highlight w:val="none"/>
                <w:lang w:val="en-US" w:eastAsia="zh-CN"/>
              </w:rPr>
            </w:pPr>
          </w:p>
          <w:p>
            <w:pPr>
              <w:rPr>
                <w:rFonts w:hint="eastAsia"/>
                <w:color w:val="auto"/>
                <w:highlight w:val="none"/>
                <w:lang w:val="en-US" w:eastAsia="zh-CN"/>
              </w:rPr>
            </w:pPr>
            <w:r>
              <w:rPr>
                <w:rFonts w:hint="eastAsia"/>
                <w:color w:val="auto"/>
                <w:szCs w:val="21"/>
                <w:highlight w:val="none"/>
                <w:lang w:val="en-US" w:eastAsia="zh-CN"/>
              </w:rPr>
              <w:t>主要证据体现在</w:t>
            </w:r>
            <w:r>
              <w:rPr>
                <w:rFonts w:hint="eastAsia"/>
                <w:color w:val="auto"/>
                <w:highlight w:val="none"/>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《理解相关方的需求和期望》</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 xml:space="preserve">《年度业务计划》 </w:t>
            </w:r>
            <w:r>
              <w:rPr>
                <w:rFonts w:hint="eastAsia"/>
                <w:color w:val="auto"/>
                <w:highlight w:val="none"/>
                <w:lang w:val="en-US" w:eastAsia="zh-CN"/>
              </w:rPr>
              <w:sym w:font="Wingdings" w:char="00A8"/>
            </w:r>
            <w:r>
              <w:rPr>
                <w:rFonts w:hint="eastAsia"/>
                <w:color w:val="auto"/>
                <w:highlight w:val="none"/>
                <w:lang w:val="en-US" w:eastAsia="zh-CN"/>
              </w:rPr>
              <w:t>其他</w:t>
            </w: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rPr>
              <w:t>确定质量/食品安全管理体系的范围</w:t>
            </w:r>
          </w:p>
        </w:tc>
        <w:tc>
          <w:tcPr>
            <w:tcW w:w="1129" w:type="dxa"/>
            <w:vMerge w:val="restart"/>
            <w:shd w:val="clear" w:color="auto" w:fill="auto"/>
          </w:tcPr>
          <w:p>
            <w:r>
              <w:rPr>
                <w:rFonts w:hint="eastAsia"/>
              </w:rPr>
              <w:t>Q4.3</w:t>
            </w:r>
          </w:p>
          <w:p>
            <w:pPr>
              <w:rPr>
                <w:rFonts w:hint="eastAsia"/>
              </w:rPr>
            </w:pPr>
            <w:r>
              <w:rPr>
                <w:rFonts w:hint="eastAsia"/>
              </w:rPr>
              <w:t>F4.3</w:t>
            </w:r>
          </w:p>
          <w:p>
            <w:pPr>
              <w:pStyle w:val="9"/>
              <w:rPr>
                <w:rFonts w:hint="eastAsia"/>
                <w:lang w:val="en-US" w:eastAsia="zh-CN"/>
              </w:rPr>
            </w:pPr>
            <w:r>
              <w:rPr>
                <w:rFonts w:hint="eastAsia"/>
                <w:lang w:val="en-US" w:eastAsia="zh-CN"/>
              </w:rPr>
              <w:t>E4.3</w:t>
            </w:r>
          </w:p>
          <w:p>
            <w:pPr>
              <w:pStyle w:val="9"/>
              <w:rPr>
                <w:rFonts w:hint="eastAsia"/>
                <w:lang w:val="en-US" w:eastAsia="zh-CN"/>
              </w:rPr>
            </w:pPr>
            <w:r>
              <w:rPr>
                <w:rFonts w:hint="eastAsia"/>
                <w:lang w:val="en-US" w:eastAsia="zh-CN"/>
              </w:rPr>
              <w:t>O4.3</w:t>
            </w:r>
          </w:p>
          <w:p>
            <w:pPr>
              <w:shd w:val="clear"/>
              <w:rPr>
                <w:rFonts w:hint="eastAsia"/>
                <w:lang w:val="en-US" w:eastAsia="zh-CN"/>
              </w:rPr>
            </w:pPr>
            <w:r>
              <w:rPr>
                <w:rFonts w:hint="eastAsia"/>
                <w:lang w:val="en-US" w:eastAsia="zh-CN"/>
              </w:rPr>
              <w:t>H(V1.0)</w:t>
            </w:r>
          </w:p>
          <w:p>
            <w:pPr>
              <w:pStyle w:val="9"/>
              <w:rPr>
                <w:rFonts w:hint="default"/>
                <w:lang w:val="en-US" w:eastAsia="zh-CN"/>
              </w:rPr>
            </w:pPr>
            <w:r>
              <w:rPr>
                <w:rFonts w:hint="eastAsia"/>
              </w:rPr>
              <w:t>1</w:t>
            </w:r>
            <w:r>
              <w:t>.1</w:t>
            </w:r>
          </w:p>
        </w:tc>
        <w:tc>
          <w:tcPr>
            <w:tcW w:w="745" w:type="dxa"/>
            <w:shd w:val="clear" w:color="auto" w:fill="auto"/>
          </w:tcPr>
          <w:p>
            <w:r>
              <w:rPr>
                <w:rFonts w:hint="eastAsia"/>
              </w:rPr>
              <w:t>文件名称</w:t>
            </w:r>
          </w:p>
        </w:tc>
        <w:tc>
          <w:tcPr>
            <w:tcW w:w="9260" w:type="dxa"/>
            <w:gridSpan w:val="2"/>
            <w:shd w:val="clear" w:color="auto" w:fill="auto"/>
          </w:tcPr>
          <w:p>
            <w:pPr>
              <w:rPr>
                <w:rFonts w:hint="eastAsia" w:eastAsia="宋体"/>
                <w:lang w:eastAsia="zh-CN"/>
              </w:rPr>
            </w:pPr>
            <w:r>
              <w:rPr>
                <w:rFonts w:hint="eastAsia"/>
              </w:rPr>
              <w:t>如：</w:t>
            </w:r>
            <w:r>
              <w:rPr/>
              <w:sym w:font="Wingdings" w:char="00FE"/>
            </w:r>
            <w:r>
              <w:rPr>
                <w:rFonts w:hint="eastAsia"/>
              </w:rPr>
              <w:t>管理手册第4.3章</w:t>
            </w:r>
            <w:r>
              <w:rPr>
                <w:rFonts w:hint="eastAsia"/>
                <w:lang w:eastAsia="zh-CN"/>
              </w:rPr>
              <w:t>、</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组织应明确相关管理体系的范围；</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rPr>
                  </w:pPr>
                  <w:r>
                    <w:rPr>
                      <w:sz w:val="18"/>
                      <w:szCs w:val="18"/>
                    </w:rPr>
                    <w:t>酱香型白酒（基酒）的生产</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1911" w:type="dxa"/>
                </w:tcPr>
                <w:p>
                  <w:r>
                    <w:rPr>
                      <w:rFonts w:hint="eastAsia"/>
                    </w:rPr>
                    <w:t xml:space="preserve">审核范围描述 </w:t>
                  </w:r>
                </w:p>
              </w:tc>
              <w:tc>
                <w:tcPr>
                  <w:tcW w:w="5446" w:type="dxa"/>
                </w:tcPr>
                <w:p>
                  <w:pPr>
                    <w:rPr>
                      <w:sz w:val="18"/>
                      <w:szCs w:val="18"/>
                    </w:rPr>
                  </w:pPr>
                  <w:bookmarkStart w:id="1" w:name="审核范围"/>
                  <w:r>
                    <w:rPr>
                      <w:sz w:val="18"/>
                      <w:szCs w:val="18"/>
                    </w:rPr>
                    <w:t>Q：酱香型白酒（基酒）的生产</w:t>
                  </w:r>
                </w:p>
                <w:p>
                  <w:pPr>
                    <w:rPr>
                      <w:sz w:val="18"/>
                      <w:szCs w:val="18"/>
                    </w:rPr>
                  </w:pPr>
                  <w:r>
                    <w:rPr>
                      <w:sz w:val="18"/>
                      <w:szCs w:val="18"/>
                    </w:rPr>
                    <w:t>E：酱香型白酒（基酒）的生产所涉及场所的相关环境管理活动</w:t>
                  </w:r>
                </w:p>
                <w:p>
                  <w:pPr>
                    <w:rPr>
                      <w:sz w:val="18"/>
                      <w:szCs w:val="18"/>
                    </w:rPr>
                  </w:pPr>
                  <w:r>
                    <w:rPr>
                      <w:sz w:val="18"/>
                      <w:szCs w:val="18"/>
                    </w:rPr>
                    <w:t>O：酱香型白酒（基酒）的生产所涉及场所的相关职业健康安全管理活动</w:t>
                  </w:r>
                </w:p>
                <w:p>
                  <w:pPr>
                    <w:rPr>
                      <w:sz w:val="18"/>
                      <w:szCs w:val="18"/>
                    </w:rPr>
                  </w:pPr>
                  <w:r>
                    <w:rPr>
                      <w:sz w:val="18"/>
                      <w:szCs w:val="18"/>
                    </w:rPr>
                    <w:t>F：位于贵州省遵义市播州区鸭溪镇金刀村茅台生态循环经济产业示范园区贵州尊朋酒业有限公司制酒车间酱香型白酒（基酒）的生产</w:t>
                  </w:r>
                </w:p>
                <w:p>
                  <w:pPr>
                    <w:widowControl/>
                    <w:jc w:val="left"/>
                  </w:pPr>
                  <w:r>
                    <w:rPr>
                      <w:sz w:val="18"/>
                      <w:szCs w:val="18"/>
                    </w:rPr>
                    <w:t>H：位于贵州省遵义市播州区鸭溪镇金刀村茅台生态循环经济产业示范园区贵州尊朋酒业有限公司制酒车间酱香型白酒（基酒）的生产</w:t>
                  </w:r>
                  <w:bookmarkEnd w:id="1"/>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11" w:type="dxa"/>
                </w:tcPr>
                <w:p>
                  <w:pPr>
                    <w:rPr>
                      <w:rFonts w:hint="default" w:eastAsia="宋体"/>
                      <w:lang w:val="en-US" w:eastAsia="zh-CN"/>
                    </w:rPr>
                  </w:pPr>
                  <w:r>
                    <w:rPr>
                      <w:rFonts w:hint="eastAsia"/>
                      <w:lang w:val="en-US" w:eastAsia="zh-CN"/>
                    </w:rPr>
                    <w:t>注册地址</w:t>
                  </w:r>
                </w:p>
              </w:tc>
              <w:tc>
                <w:tcPr>
                  <w:tcW w:w="5446" w:type="dxa"/>
                  <w:vAlign w:val="center"/>
                </w:tcPr>
                <w:p>
                  <w:pPr>
                    <w:widowControl/>
                    <w:jc w:val="left"/>
                    <w:rPr>
                      <w:rFonts w:hint="eastAsia" w:ascii="宋体" w:hAnsi="宋体" w:cs="宋体"/>
                      <w:color w:val="000000"/>
                      <w:kern w:val="0"/>
                      <w:szCs w:val="21"/>
                      <w:u w:val="single"/>
                      <w:lang w:val="en-US" w:eastAsia="zh-CN"/>
                    </w:rPr>
                  </w:pPr>
                  <w:bookmarkStart w:id="2" w:name="生产地址"/>
                  <w:r>
                    <w:rPr>
                      <w:rFonts w:asciiTheme="minorEastAsia" w:hAnsiTheme="minorEastAsia" w:eastAsiaTheme="minorEastAsia"/>
                      <w:sz w:val="18"/>
                      <w:szCs w:val="18"/>
                    </w:rPr>
                    <w:t>贵州省遵义市播州区鸭溪镇金刀村茅台生态循环经济产业示范园区</w:t>
                  </w:r>
                  <w:bookmarkEnd w:id="2"/>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vAlign w:val="center"/>
                </w:tcPr>
                <w:p>
                  <w:pPr>
                    <w:widowControl/>
                    <w:jc w:val="left"/>
                    <w:rPr>
                      <w:rFonts w:hint="eastAsia" w:ascii="宋体" w:hAnsi="宋体" w:cs="宋体"/>
                      <w:color w:val="000000"/>
                      <w:kern w:val="0"/>
                      <w:szCs w:val="21"/>
                      <w:u w:val="single"/>
                      <w:lang w:val="en-US" w:eastAsia="zh-CN"/>
                    </w:rPr>
                  </w:pPr>
                  <w:r>
                    <w:rPr>
                      <w:rFonts w:asciiTheme="minorEastAsia" w:hAnsiTheme="minorEastAsia" w:eastAsiaTheme="minorEastAsia"/>
                      <w:sz w:val="18"/>
                      <w:szCs w:val="18"/>
                    </w:rPr>
                    <w:t>贵州省遵义市播州区鸭溪镇金刀村茅台生态循环经济产业示范园区</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pPr>
                    <w:rPr>
                      <w:rFonts w:hint="eastAsia"/>
                      <w:lang w:val="en-US" w:eastAsia="zh-CN"/>
                    </w:rPr>
                  </w:pP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rPr>
                    <w:instrText xml:space="preserve">)</w:instrText>
                  </w:r>
                  <w:r>
                    <w:fldChar w:fldCharType="end"/>
                  </w:r>
                  <w:r>
                    <w:rPr>
                      <w:rFonts w:hint="eastAsia"/>
                    </w:rPr>
                    <w:t xml:space="preserve"> 体系建立以来，</w:t>
                  </w:r>
                  <w:r>
                    <w:rPr>
                      <w:rFonts w:hint="eastAsia"/>
                      <w:lang w:val="en-US" w:eastAsia="zh-CN"/>
                    </w:rPr>
                    <w:t>2021-08-20</w:t>
                  </w:r>
                </w:p>
                <w:p>
                  <w:pPr>
                    <w:rPr>
                      <w:rFonts w:hint="default"/>
                      <w:lang w:val="en-US"/>
                    </w:rPr>
                  </w:pPr>
                  <w:r>
                    <w:fldChar w:fldCharType="begin"/>
                  </w:r>
                  <w:r>
                    <w:instrText xml:space="preserve"> </w:instrText>
                  </w:r>
                  <w:r>
                    <w:rPr>
                      <w:rFonts w:hint="eastAsia"/>
                    </w:rPr>
                    <w:instrText xml:space="preserve">eq \o\ac(□)</w:instrText>
                  </w:r>
                  <w:r>
                    <w:fldChar w:fldCharType="end"/>
                  </w:r>
                  <w:r>
                    <w:rPr>
                      <w:rFonts w:hint="eastAsia"/>
                    </w:rPr>
                    <w:t xml:space="preserve"> </w:t>
                  </w:r>
                  <w:r>
                    <w:rPr>
                      <w:rFonts w:hint="eastAsia"/>
                      <w:lang w:val="en-US" w:eastAsia="zh-CN"/>
                    </w:rPr>
                    <w:t>近一年</w:t>
                  </w:r>
                  <w:r>
                    <w:rPr>
                      <w:rFonts w:hint="eastAsia"/>
                    </w:rPr>
                    <w:t>以来</w:t>
                  </w:r>
                </w:p>
                <w:p>
                  <w:pPr>
                    <w:rPr>
                      <w:rFonts w:hint="eastAsia"/>
                      <w:lang w:val="en-US" w:eastAsia="zh-CN"/>
                    </w:rPr>
                  </w:pPr>
                  <w:r>
                    <w:rPr>
                      <w:rFonts w:hint="eastAsia"/>
                    </w:rPr>
                    <w:sym w:font="Wingdings" w:char="00A8"/>
                  </w:r>
                  <w:r>
                    <w:rPr>
                      <w:rFonts w:hint="eastAsia"/>
                      <w:lang w:val="en-US" w:eastAsia="zh-CN"/>
                    </w:rPr>
                    <w:t xml:space="preserve"> </w:t>
                  </w:r>
                </w:p>
                <w:p>
                  <w:pPr>
                    <w:pStyle w:val="9"/>
                    <w:rPr>
                      <w:rFonts w:hint="eastAsia"/>
                      <w:lang w:val="en-US" w:eastAsia="zh-CN"/>
                    </w:rPr>
                  </w:pP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5446" w:type="dxa"/>
                </w:tcPr>
                <w:p>
                  <w:pPr>
                    <w:rPr>
                      <w:rFonts w:hint="eastAsia"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lang w:val="en-US" w:eastAsia="zh-CN"/>
                    </w:rPr>
                    <w:t>无</w:t>
                  </w:r>
                </w:p>
              </w:tc>
              <w:tc>
                <w:tcPr>
                  <w:tcW w:w="1686" w:type="dxa"/>
                </w:tcPr>
                <w:p>
                  <w:pPr>
                    <w:rPr>
                      <w:rFonts w:hint="default" w:eastAsia="宋体"/>
                      <w:lang w:val="en-US" w:eastAsia="zh-CN"/>
                    </w:rPr>
                  </w:pPr>
                  <w:r>
                    <w:rPr>
                      <w:rFonts w:hint="eastAsia"/>
                    </w:rPr>
                    <w:sym w:font="Wingdings" w:char="00A8"/>
                  </w:r>
                  <w:r>
                    <w:rPr>
                      <w:rFonts w:hint="eastAsia"/>
                    </w:rPr>
                    <w:t>其他</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trike/>
                      <w:dstrike w:val="0"/>
                      <w:szCs w:val="24"/>
                    </w:rPr>
                  </w:pPr>
                  <w:r>
                    <w:rPr>
                      <w:rFonts w:hint="eastAsia"/>
                      <w:strike/>
                      <w:dstrike w:val="0"/>
                    </w:rPr>
                    <w:t>不适用的理由（可多选）</w:t>
                  </w:r>
                </w:p>
              </w:tc>
              <w:tc>
                <w:tcPr>
                  <w:tcW w:w="5446" w:type="dxa"/>
                  <w:vAlign w:val="center"/>
                </w:tcPr>
                <w:p>
                  <w:pPr>
                    <w:rPr>
                      <w:strike/>
                      <w:dstrike w:val="0"/>
                    </w:rPr>
                  </w:pPr>
                  <w:r>
                    <w:rPr>
                      <w:rFonts w:hint="eastAsia"/>
                      <w:strike/>
                      <w:dstrike w:val="0"/>
                    </w:rPr>
                    <w:t xml:space="preserve">□受审核组织没有设计开发的责任    </w:t>
                  </w:r>
                </w:p>
                <w:p>
                  <w:pPr>
                    <w:rPr>
                      <w:strike/>
                      <w:dstrike w:val="0"/>
                    </w:rPr>
                  </w:pPr>
                  <w:r>
                    <w:rPr>
                      <w:rFonts w:hint="eastAsia"/>
                      <w:strike/>
                      <w:dstrike w:val="0"/>
                    </w:rPr>
                    <w:t xml:space="preserve">□受审核组织没有设计开发的能力   </w:t>
                  </w:r>
                </w:p>
                <w:p>
                  <w:pPr>
                    <w:rPr>
                      <w:strike/>
                      <w:dstrike w:val="0"/>
                    </w:rPr>
                  </w:pPr>
                  <w:r>
                    <w:rPr>
                      <w:rFonts w:hint="eastAsia"/>
                      <w:strike/>
                      <w:dstrike w:val="0"/>
                    </w:rPr>
                    <w:t>□受审核组织没有设计开发修改的权力</w:t>
                  </w:r>
                </w:p>
                <w:p>
                  <w:pPr>
                    <w:rPr>
                      <w:strike/>
                      <w:dstrike w:val="0"/>
                    </w:rPr>
                  </w:pPr>
                  <w:r>
                    <w:rPr>
                      <w:rFonts w:hint="eastAsia"/>
                      <w:strike/>
                      <w:dstrike w:val="0"/>
                    </w:rPr>
                    <w:sym w:font="Wingdings 2" w:char="00A3"/>
                  </w:r>
                  <w:r>
                    <w:rPr>
                      <w:rFonts w:hint="eastAsia"/>
                      <w:strike/>
                      <w:dstrike w:val="0"/>
                    </w:rPr>
                    <w:t>受审核组织按照□顾客图纸</w:t>
                  </w:r>
                  <w:r>
                    <w:rPr>
                      <w:rFonts w:hint="eastAsia"/>
                      <w:strike/>
                      <w:dstrike w:val="0"/>
                      <w:lang w:eastAsia="zh-CN"/>
                    </w:rPr>
                    <w:t>、</w:t>
                  </w:r>
                  <w:r>
                    <w:rPr>
                      <w:rFonts w:hint="eastAsia"/>
                      <w:strike/>
                      <w:dstrike w:val="0"/>
                    </w:rPr>
                    <w:sym w:font="Wingdings 2" w:char="00A3"/>
                  </w:r>
                  <w:r>
                    <w:rPr>
                      <w:rFonts w:hint="eastAsia"/>
                      <w:strike/>
                      <w:dstrike w:val="0"/>
                    </w:rPr>
                    <w:t>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受审核组织按照传统工艺提供生产和服务</w:t>
                  </w:r>
                </w:p>
                <w:p>
                  <w:pPr>
                    <w:rPr>
                      <w:strike/>
                      <w:dstrike w:val="0"/>
                    </w:rPr>
                  </w:pPr>
                  <w:r>
                    <w:rPr>
                      <w:rFonts w:hint="eastAsia"/>
                      <w:strike/>
                      <w:dstrike w:val="0"/>
                    </w:rPr>
                    <w:t>□其他：</w:t>
                  </w:r>
                  <w:r>
                    <w:rPr>
                      <w:strike/>
                      <w:dstrike w:val="0"/>
                    </w:rPr>
                    <w:t xml:space="preserve"> </w:t>
                  </w:r>
                </w:p>
              </w:tc>
              <w:tc>
                <w:tcPr>
                  <w:tcW w:w="1686" w:type="dxa"/>
                </w:tcPr>
                <w:p/>
              </w:tc>
            </w:tr>
          </w:tbl>
          <w:p/>
          <w:p>
            <w:pPr>
              <w:rPr>
                <w:color w:val="000000"/>
                <w:szCs w:val="21"/>
              </w:rPr>
            </w:pPr>
            <w:r>
              <w:rPr>
                <w:rFonts w:hint="eastAsia"/>
                <w:color w:val="000000"/>
                <w:szCs w:val="21"/>
              </w:rPr>
              <w:t>在企业的管理手册中有描述。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 w:hRule="atLeast"/>
        </w:trPr>
        <w:tc>
          <w:tcPr>
            <w:tcW w:w="1902" w:type="dxa"/>
            <w:vMerge w:val="restart"/>
            <w:shd w:val="clear" w:color="auto" w:fill="auto"/>
          </w:tcPr>
          <w:p>
            <w:pPr>
              <w:shd w:val="clear"/>
            </w:pPr>
            <w:r>
              <w:rPr>
                <w:rFonts w:hint="eastAsia"/>
              </w:rPr>
              <w:t>HACCP体系</w:t>
            </w:r>
          </w:p>
          <w:p>
            <w:pPr>
              <w:shd w:val="clear"/>
            </w:pPr>
            <w:r>
              <w:rPr>
                <w:rFonts w:hint="eastAsia"/>
              </w:rPr>
              <w:t>总要求</w:t>
            </w:r>
          </w:p>
        </w:tc>
        <w:tc>
          <w:tcPr>
            <w:tcW w:w="1129" w:type="dxa"/>
            <w:vMerge w:val="restart"/>
            <w:shd w:val="clear" w:color="auto" w:fill="auto"/>
          </w:tcPr>
          <w:p>
            <w:pPr>
              <w:shd w:val="clear"/>
              <w:rPr>
                <w:rFonts w:hint="eastAsia"/>
                <w:lang w:val="en-US" w:eastAsia="zh-CN"/>
              </w:rPr>
            </w:pPr>
            <w:r>
              <w:rPr>
                <w:rFonts w:hint="eastAsia"/>
                <w:lang w:val="en-US" w:eastAsia="zh-CN"/>
              </w:rPr>
              <w:t>H(V1.0)</w:t>
            </w:r>
          </w:p>
          <w:p>
            <w:pPr>
              <w:shd w:val="clear"/>
            </w:pPr>
            <w:r>
              <w:rPr>
                <w:rFonts w:hint="eastAsia"/>
              </w:rPr>
              <w:t>1</w:t>
            </w:r>
            <w:r>
              <w:t>.1</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rPr>
                <w:rFonts w:hint="default" w:eastAsia="宋体"/>
                <w:lang w:val="en-US" w:eastAsia="zh-CN"/>
              </w:rPr>
            </w:pPr>
            <w:r>
              <w:rPr/>
              <w:sym w:font="Wingdings 2" w:char="0052"/>
            </w:r>
            <w:r>
              <w:rPr>
                <w:rFonts w:hint="eastAsia"/>
              </w:rPr>
              <w:t>《</w:t>
            </w:r>
            <w:r>
              <w:rPr>
                <w:rFonts w:hint="eastAsia"/>
                <w:lang w:eastAsia="zh-CN"/>
              </w:rPr>
              <w:t>管理手册</w:t>
            </w:r>
            <w:r>
              <w:rPr>
                <w:rFonts w:hint="eastAsia"/>
              </w:rPr>
              <w:t>》</w:t>
            </w:r>
            <w:r>
              <w:rPr>
                <w:rFonts w:hint="eastAsia"/>
                <w:lang w:val="en-US" w:eastAsia="zh-CN"/>
              </w:rPr>
              <w:t>4.4 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trPr>
        <w:tc>
          <w:tcPr>
            <w:tcW w:w="1902" w:type="dxa"/>
            <w:vMerge w:val="continue"/>
            <w:shd w:val="clear" w:color="auto" w:fill="auto"/>
          </w:tcPr>
          <w:p>
            <w:pPr>
              <w:shd w:val="clear"/>
            </w:pPr>
          </w:p>
        </w:tc>
        <w:tc>
          <w:tcPr>
            <w:tcW w:w="1129"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pStyle w:val="26"/>
              <w:shd w:val="clear"/>
              <w:adjustRightInd w:val="0"/>
              <w:snapToGrid w:val="0"/>
              <w:spacing w:line="360" w:lineRule="auto"/>
              <w:rPr>
                <w:rFonts w:hint="eastAsia"/>
              </w:rPr>
            </w:pPr>
            <w:r>
              <w:rPr>
                <w:rFonts w:hint="eastAsia" w:ascii="Times New Roman" w:hAnsi="Times New Roman"/>
              </w:rPr>
              <w:t>企业于</w:t>
            </w:r>
            <w:r>
              <w:rPr>
                <w:rFonts w:hint="eastAsia"/>
                <w:u w:val="single"/>
              </w:rPr>
              <w:t xml:space="preserve"> </w:t>
            </w:r>
            <w:r>
              <w:rPr>
                <w:rFonts w:hint="eastAsia"/>
                <w:u w:val="single"/>
                <w:lang w:val="en-US" w:eastAsia="zh-CN"/>
              </w:rPr>
              <w:t>2021</w:t>
            </w:r>
            <w:r>
              <w:rPr>
                <w:rFonts w:hint="eastAsia"/>
                <w:u w:val="single"/>
              </w:rPr>
              <w:t xml:space="preserve">年 </w:t>
            </w:r>
            <w:r>
              <w:rPr>
                <w:rFonts w:hint="eastAsia"/>
                <w:u w:val="single"/>
                <w:lang w:val="en-US" w:eastAsia="zh-CN"/>
              </w:rPr>
              <w:t>8</w:t>
            </w:r>
            <w:r>
              <w:rPr>
                <w:rFonts w:hint="eastAsia"/>
                <w:u w:val="single"/>
              </w:rPr>
              <w:t xml:space="preserve"> 月 </w:t>
            </w:r>
            <w:r>
              <w:rPr>
                <w:rFonts w:hint="eastAsia"/>
                <w:u w:val="single"/>
                <w:lang w:val="en-US" w:eastAsia="zh-CN"/>
              </w:rPr>
              <w:t>20</w:t>
            </w:r>
            <w:r>
              <w:rPr>
                <w:rFonts w:hint="eastAsia"/>
                <w:u w:val="single"/>
              </w:rPr>
              <w:t xml:space="preserve"> 日</w:t>
            </w:r>
            <w:r>
              <w:rPr>
                <w:rFonts w:hint="eastAsia"/>
              </w:rPr>
              <w:t>建立了文件化HACCP体系；</w:t>
            </w:r>
          </w:p>
          <w:p>
            <w:pPr>
              <w:pStyle w:val="26"/>
              <w:shd w:val="clear"/>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26"/>
              <w:shd w:val="clear"/>
              <w:adjustRightInd w:val="0"/>
              <w:snapToGrid w:val="0"/>
              <w:spacing w:line="360" w:lineRule="auto"/>
              <w:rPr>
                <w:rFonts w:hint="eastAsia" w:ascii="Times New Roman" w:hAnsi="Times New Roman"/>
              </w:rPr>
            </w:pPr>
            <w:r>
              <w:rPr>
                <w:rFonts w:hint="eastAsia" w:ascii="Times New Roman" w:hAnsi="Times New Roman"/>
              </w:rPr>
              <w:t>HACCP体系范围：</w:t>
            </w:r>
          </w:p>
          <w:p>
            <w:pPr>
              <w:pStyle w:val="9"/>
              <w:spacing w:line="360" w:lineRule="auto"/>
              <w:rPr>
                <w:rFonts w:hint="eastAsia" w:ascii="宋体" w:hAnsi="Courier New" w:eastAsia="宋体" w:cs="Times New Roman"/>
                <w:kern w:val="2"/>
                <w:sz w:val="21"/>
                <w:szCs w:val="20"/>
                <w:u w:val="single"/>
                <w:lang w:val="en-US" w:eastAsia="zh-CN" w:bidi="ar-SA"/>
              </w:rPr>
            </w:pPr>
            <w:r>
              <w:rPr>
                <w:rFonts w:hint="eastAsia" w:ascii="宋体" w:hAnsi="Courier New" w:eastAsia="宋体" w:cs="Times New Roman"/>
                <w:kern w:val="2"/>
                <w:sz w:val="21"/>
                <w:szCs w:val="20"/>
                <w:u w:val="single"/>
                <w:lang w:val="en-US" w:eastAsia="zh-CN" w:bidi="ar-SA"/>
              </w:rPr>
              <w:t>位于  H：位于贵州省遵义市播州区鸭溪镇金刀村茅台生态循环经济产业示范园区贵州尊朋酒业有限公司制酒车间酱香型白酒（基酒）的生产</w:t>
            </w:r>
          </w:p>
          <w:p>
            <w:pPr>
              <w:pStyle w:val="9"/>
              <w:rPr>
                <w:rFonts w:hint="eastAsia" w:ascii="宋体" w:hAnsi="宋体" w:cs="宋体"/>
                <w:color w:val="000000"/>
                <w:kern w:val="0"/>
                <w:szCs w:val="21"/>
                <w:u w:val="single"/>
              </w:rPr>
            </w:pPr>
          </w:p>
          <w:p>
            <w:pPr>
              <w:pStyle w:val="26"/>
              <w:shd w:val="clear"/>
              <w:adjustRightInd w:val="0"/>
              <w:snapToGrid w:val="0"/>
              <w:spacing w:line="360" w:lineRule="auto"/>
              <w:rPr>
                <w:rFonts w:hint="eastAsia" w:ascii="Times New Roman" w:hAnsi="Times New Roman"/>
              </w:rPr>
            </w:pPr>
            <w:r>
              <w:rPr>
                <w:rFonts w:hint="eastAsia"/>
              </w:rPr>
              <w:t>在食品链中的位置</w:t>
            </w:r>
            <w:r>
              <w:rPr>
                <w:rFonts w:hint="eastAsia"/>
                <w:lang w:eastAsia="zh-CN"/>
              </w:rPr>
              <w:t>，</w:t>
            </w:r>
            <w:r>
              <w:rPr>
                <w:rFonts w:hint="eastAsia" w:ascii="Times New Roman" w:hAnsi="Times New Roman"/>
              </w:rPr>
              <w:t>企业</w:t>
            </w:r>
            <w:r>
              <w:rPr>
                <w:rFonts w:hint="eastAsia" w:ascii="Times New Roman" w:hAnsi="Times New Roman"/>
                <w:lang w:val="en-US" w:eastAsia="zh-CN"/>
              </w:rPr>
              <w:t>为</w:t>
            </w:r>
            <w:r>
              <w:rPr>
                <w:rFonts w:hint="eastAsia" w:ascii="Times New Roman" w:hAnsi="Times New Roman"/>
              </w:rPr>
              <w:t>：</w:t>
            </w:r>
          </w:p>
          <w:p>
            <w:pPr>
              <w:pStyle w:val="26"/>
              <w:shd w:val="clear"/>
              <w:adjustRightInd w:val="0"/>
              <w:snapToGrid w:val="0"/>
              <w:spacing w:line="360" w:lineRule="auto"/>
            </w:pPr>
            <w:r>
              <w:rPr>
                <w:rFonts w:hint="eastAsia" w:hAnsi="宋体"/>
                <w:lang w:eastAsia="zh-CN"/>
              </w:rPr>
              <w:t>□</w:t>
            </w:r>
            <w:r>
              <w:rPr>
                <w:rFonts w:hint="eastAsia"/>
              </w:rPr>
              <w:t xml:space="preserve">食品及其辅料的生产、加工 </w:t>
            </w:r>
            <w:r>
              <w:rPr>
                <w:rFonts w:hint="eastAsia" w:hAnsi="宋体"/>
                <w:lang w:eastAsia="zh-CN"/>
              </w:rPr>
              <w:sym w:font="Wingdings 2" w:char="00A3"/>
            </w:r>
            <w:r>
              <w:rPr>
                <w:rFonts w:hint="eastAsia"/>
              </w:rPr>
              <w:t>分销、</w:t>
            </w:r>
            <w:r>
              <w:rPr>
                <w:rFonts w:hint="eastAsia" w:hAnsi="宋体"/>
                <w:lang w:eastAsia="zh-CN"/>
              </w:rPr>
              <w:t>□</w:t>
            </w:r>
            <w:r>
              <w:rPr>
                <w:rFonts w:hint="eastAsia"/>
              </w:rPr>
              <w:t>贮存、</w:t>
            </w:r>
            <w:r>
              <w:rPr>
                <w:rFonts w:hint="eastAsia" w:hAnsi="宋体"/>
                <w:lang w:eastAsia="zh-CN"/>
              </w:rPr>
              <w:t>□</w:t>
            </w:r>
            <w:r>
              <w:rPr>
                <w:rFonts w:hint="eastAsia"/>
              </w:rPr>
              <w:t>处理</w:t>
            </w:r>
            <w:r>
              <w:rPr>
                <w:rFonts w:hint="eastAsia"/>
                <w:lang w:eastAsia="zh-CN"/>
              </w:rPr>
              <w:t>、</w:t>
            </w:r>
            <w:r>
              <w:rPr>
                <w:rFonts w:hint="eastAsia" w:hAnsi="宋体"/>
                <w:lang w:eastAsia="zh-CN"/>
              </w:rPr>
              <w:t>□</w:t>
            </w:r>
            <w:r>
              <w:rPr>
                <w:rFonts w:hint="eastAsia"/>
              </w:rPr>
              <w:t>饲料生产、</w:t>
            </w:r>
            <w:r>
              <w:rPr>
                <w:rFonts w:hint="eastAsia" w:hAnsi="宋体"/>
                <w:lang w:eastAsia="zh-CN"/>
              </w:rPr>
              <w:t>□</w:t>
            </w:r>
            <w:r>
              <w:rPr>
                <w:rFonts w:hint="eastAsia"/>
              </w:rPr>
              <w:t>食品接触材料、</w:t>
            </w:r>
            <w:r>
              <w:rPr>
                <w:rFonts w:hint="eastAsia" w:hAnsi="宋体"/>
                <w:lang w:eastAsia="zh-CN"/>
              </w:rPr>
              <w:t>☑</w:t>
            </w:r>
            <w:r>
              <w:rPr>
                <w:rFonts w:hint="eastAsia"/>
              </w:rPr>
              <w:t>生产服务提供</w:t>
            </w:r>
          </w:p>
          <w:p>
            <w:pPr>
              <w:pStyle w:val="26"/>
              <w:shd w:val="clear"/>
              <w:adjustRightInd w:val="0"/>
              <w:snapToGrid w:val="0"/>
              <w:spacing w:line="360" w:lineRule="auto"/>
              <w:rPr>
                <w:rFonts w:hint="default"/>
                <w:color w:val="auto"/>
                <w:highlight w:val="yellow"/>
                <w:u w:val="single"/>
                <w:lang w:val="en-US"/>
              </w:rPr>
            </w:pPr>
            <w:r>
              <w:rPr>
                <w:rFonts w:hint="eastAsia"/>
              </w:rPr>
              <w:t>外包过程包括：</w:t>
            </w:r>
            <w:r>
              <w:rPr>
                <w:rFonts w:hint="eastAsia"/>
                <w:u w:val="single"/>
                <w:lang w:val="en-US" w:eastAsia="zh-CN"/>
              </w:rPr>
              <w:t xml:space="preserve">  </w:t>
            </w:r>
            <w:r>
              <w:rPr>
                <w:rFonts w:hint="eastAsia"/>
                <w:color w:val="auto"/>
                <w:u w:val="single"/>
                <w:lang w:val="en-US" w:eastAsia="zh-CN"/>
              </w:rPr>
              <w:t xml:space="preserve">无 </w:t>
            </w:r>
          </w:p>
          <w:p>
            <w:pPr>
              <w:shd w:val="clea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lang w:eastAsia="zh-CN"/>
              </w:rPr>
              <w:t>☑</w:t>
            </w:r>
            <w:r>
              <w:rPr>
                <w:rFonts w:hint="eastAsia" w:ascii="宋体" w:hAnsi="宋体"/>
              </w:rPr>
              <w:t xml:space="preserve"> </w:t>
            </w:r>
            <w:r>
              <w:rPr>
                <w:rFonts w:hint="eastAsia"/>
              </w:rPr>
              <w:t>否</w:t>
            </w:r>
          </w:p>
          <w:p>
            <w:pPr>
              <w:shd w:val="clear"/>
              <w:spacing w:line="360" w:lineRule="auto"/>
              <w:rPr>
                <w:rFonts w:hint="default" w:eastAsia="宋体"/>
                <w:lang w:val="en-US" w:eastAsia="zh-CN"/>
              </w:rPr>
            </w:pPr>
            <w:r>
              <w:rPr>
                <w:rFonts w:hint="eastAsia"/>
              </w:rPr>
              <w:t>是否对HACCP计划进行重新确认，持续改进HACCP体系。</w:t>
            </w:r>
            <w:r>
              <w:rPr>
                <w:rFonts w:hint="eastAsia" w:ascii="宋体" w:hAnsi="宋体"/>
              </w:rPr>
              <w:sym w:font="Wingdings 2" w:char="00A3"/>
            </w:r>
            <w:r>
              <w:rPr>
                <w:rFonts w:hint="eastAsia" w:ascii="宋体" w:hAnsi="宋体"/>
              </w:rPr>
              <w:t xml:space="preserve"> </w:t>
            </w:r>
            <w:r>
              <w:rPr>
                <w:rFonts w:hint="eastAsia"/>
              </w:rPr>
              <w:t>是</w:t>
            </w:r>
            <w:r>
              <w:rPr>
                <w:rFonts w:hint="eastAsia"/>
                <w:lang w:val="en-US" w:eastAsia="zh-CN"/>
              </w:rPr>
              <w:t xml:space="preserve">  </w:t>
            </w:r>
            <w:r>
              <w:rPr>
                <w:rFonts w:hint="eastAsia"/>
              </w:rPr>
              <w:t xml:space="preserve"> </w:t>
            </w:r>
            <w:r>
              <w:rPr>
                <w:rFonts w:hint="eastAsia" w:ascii="宋体" w:hAnsi="宋体"/>
              </w:rPr>
              <w:sym w:font="Wingdings 2" w:char="0052"/>
            </w:r>
            <w:r>
              <w:rPr>
                <w:rFonts w:hint="eastAsia" w:ascii="宋体" w:hAnsi="宋体"/>
              </w:rPr>
              <w:t xml:space="preserve"> </w:t>
            </w:r>
            <w:r>
              <w:rPr>
                <w:rFonts w:hint="eastAsia"/>
              </w:rPr>
              <w:t>否</w:t>
            </w:r>
            <w:r>
              <w:rPr>
                <w:rFonts w:hint="eastAsia"/>
                <w:lang w:val="en-US" w:eastAsia="zh-CN"/>
              </w:rPr>
              <w:t xml:space="preserve"> （初次建立）</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pPr>
              <w:shd w:val="clear"/>
              <w:jc w:val="left"/>
            </w:pPr>
            <w:r>
              <w:rPr>
                <w:rFonts w:hint="eastAsia"/>
              </w:rPr>
              <w:t>质量/食品安全管理体系及其过程</w:t>
            </w:r>
          </w:p>
        </w:tc>
        <w:tc>
          <w:tcPr>
            <w:tcW w:w="1129" w:type="dxa"/>
            <w:vMerge w:val="restart"/>
            <w:shd w:val="clear" w:color="auto" w:fill="auto"/>
          </w:tcPr>
          <w:p>
            <w:pPr>
              <w:shd w:val="clear"/>
              <w:rPr>
                <w:rFonts w:hint="eastAsia"/>
              </w:rPr>
            </w:pPr>
            <w:r>
              <w:rPr>
                <w:rFonts w:hint="eastAsia"/>
              </w:rPr>
              <w:t xml:space="preserve">Q4.4 </w:t>
            </w:r>
          </w:p>
          <w:p>
            <w:pPr>
              <w:shd w:val="clear"/>
              <w:rPr>
                <w:rFonts w:hint="eastAsia"/>
              </w:rPr>
            </w:pPr>
            <w:r>
              <w:rPr>
                <w:rFonts w:hint="eastAsia"/>
              </w:rPr>
              <w:t xml:space="preserve">F4.4 </w:t>
            </w:r>
          </w:p>
          <w:p>
            <w:pPr>
              <w:shd w:val="clear"/>
              <w:rPr>
                <w:rFonts w:hint="eastAsia"/>
                <w:lang w:val="en-US" w:eastAsia="zh-CN"/>
              </w:rPr>
            </w:pPr>
            <w:r>
              <w:rPr>
                <w:rFonts w:hint="eastAsia"/>
                <w:lang w:val="en-US" w:eastAsia="zh-CN"/>
              </w:rPr>
              <w:t>H(V1.0)</w:t>
            </w:r>
          </w:p>
          <w:p>
            <w:pPr>
              <w:pStyle w:val="16"/>
            </w:pPr>
            <w:r>
              <w:rPr>
                <w:rFonts w:hint="eastAsia"/>
              </w:rPr>
              <w:t>1</w:t>
            </w:r>
            <w:r>
              <w:t>.1</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管理手册第4.4章、</w:t>
            </w:r>
            <w:r>
              <w:rPr/>
              <w:sym w:font="Wingdings" w:char="00A8"/>
            </w:r>
            <w:r>
              <w:rPr>
                <w:rFonts w:hint="eastAsia"/>
              </w:rPr>
              <w:t>《过程清单》</w:t>
            </w:r>
          </w:p>
        </w:tc>
        <w:tc>
          <w:tcPr>
            <w:tcW w:w="1585" w:type="dxa"/>
            <w:vMerge w:val="restart"/>
            <w:shd w:val="clear" w:color="auto" w:fill="auto"/>
          </w:tcPr>
          <w:p>
            <w:pPr>
              <w:shd w:val="clear"/>
            </w:pPr>
            <w:r>
              <w:rPr/>
              <w:sym w:font="Wingdings" w:char="00FE"/>
            </w:r>
            <w:r>
              <w:rPr>
                <w:rFonts w:hint="eastAsia"/>
              </w:rPr>
              <w:t>符合</w:t>
            </w:r>
          </w:p>
          <w:p>
            <w:pPr>
              <w:shd w:val="clea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atLeast"/>
        </w:trPr>
        <w:tc>
          <w:tcPr>
            <w:tcW w:w="1902" w:type="dxa"/>
            <w:vMerge w:val="continue"/>
            <w:shd w:val="clear" w:color="auto" w:fill="auto"/>
          </w:tcPr>
          <w:p>
            <w:pPr>
              <w:shd w:val="clear"/>
            </w:pPr>
          </w:p>
        </w:tc>
        <w:tc>
          <w:tcPr>
            <w:tcW w:w="1129"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spacing w:before="40" w:after="40"/>
            </w:pPr>
            <w:r>
              <w:rPr>
                <w:rFonts w:hint="eastAsia"/>
              </w:rPr>
              <w:t>QMS</w:t>
            </w:r>
            <w:r>
              <w:rPr>
                <w:rFonts w:hint="eastAsia"/>
                <w:lang w:eastAsia="zh-CN"/>
              </w:rPr>
              <w:t>：</w:t>
            </w:r>
            <w:r>
              <w:rPr>
                <w:rFonts w:hint="eastAsia"/>
              </w:rPr>
              <w:t xml:space="preserve"> </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hAnsi="宋体"/>
                <w:lang w:eastAsia="zh-CN"/>
              </w:rPr>
              <w:t>☑</w:t>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52"/>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hAnsi="宋体"/>
                <w:lang w:eastAsia="zh-CN"/>
              </w:rPr>
              <w:t>☑</w:t>
            </w:r>
            <w:r>
              <w:rPr>
                <w:rFonts w:hint="eastAsia"/>
              </w:rPr>
              <w:t xml:space="preserve">知识保密 </w:t>
            </w:r>
          </w:p>
          <w:p>
            <w:pPr>
              <w:pStyle w:val="26"/>
              <w:shd w:val="clear"/>
              <w:adjustRightInd w:val="0"/>
              <w:snapToGrid w:val="0"/>
              <w:spacing w:line="360" w:lineRule="auto"/>
              <w:rPr>
                <w:rFonts w:hint="default"/>
                <w:u w:val="single"/>
                <w:lang w:val="en-US"/>
              </w:rPr>
            </w:pPr>
            <w:r>
              <w:rPr>
                <w:rFonts w:hint="eastAsia" w:hAnsi="宋体"/>
                <w:lang w:eastAsia="zh-CN"/>
              </w:rPr>
              <w:t>☑</w:t>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hAnsi="宋体"/>
                <w:lang w:eastAsia="zh-CN"/>
              </w:rPr>
              <w:instrText xml:space="preserve">,</w:instrText>
            </w:r>
            <w:r>
              <w:rPr>
                <w:rFonts w:hint="eastAsia"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外部供方控制 </w:t>
            </w:r>
            <w:r>
              <w:rPr>
                <w:rFonts w:hint="eastAsia" w:hAnsi="宋体"/>
                <w:lang w:eastAsia="zh-CN"/>
              </w:rPr>
              <w:t>☑</w:t>
            </w:r>
            <w:r>
              <w:rPr>
                <w:rFonts w:hint="eastAsia"/>
              </w:rPr>
              <w:t xml:space="preserve">生产/服务控制 </w:t>
            </w:r>
            <w:r>
              <w:rPr>
                <w:rFonts w:hint="eastAsia" w:hAnsi="宋体"/>
                <w:lang w:eastAsia="zh-CN"/>
              </w:rPr>
              <w:t>□</w:t>
            </w:r>
            <w:r>
              <w:rPr>
                <w:rFonts w:hint="eastAsia"/>
              </w:rPr>
              <w:t>其他</w:t>
            </w:r>
            <w:r>
              <w:rPr>
                <w:rFonts w:hint="eastAsia"/>
                <w:lang w:eastAsia="zh-CN"/>
              </w:rPr>
              <w:t>——</w:t>
            </w:r>
            <w:r>
              <w:rPr>
                <w:rFonts w:hint="eastAsia"/>
                <w:lang w:val="en-US" w:eastAsia="zh-CN"/>
              </w:rPr>
              <w:t>车辆管理</w:t>
            </w:r>
          </w:p>
          <w:p>
            <w:pPr>
              <w:pStyle w:val="9"/>
              <w:shd w:val="clea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□新产品设计开发 □原材料订制 □生产/服务过程 □检验检测 □产品运输 □设备维修</w:t>
            </w:r>
          </w:p>
          <w:p>
            <w:pPr>
              <w:pStyle w:val="26"/>
              <w:shd w:val="clear"/>
              <w:adjustRightInd w:val="0"/>
              <w:snapToGrid w:val="0"/>
              <w:spacing w:line="360" w:lineRule="auto"/>
              <w:rPr>
                <w:rFonts w:hint="default"/>
                <w:highlight w:val="yellow"/>
                <w:u w:val="single"/>
                <w:lang w:val="en-US"/>
              </w:rPr>
            </w:pPr>
            <w:r>
              <w:rPr>
                <w:rFonts w:hint="eastAsia"/>
              </w:rPr>
              <w:t>□人员培训 □其他</w:t>
            </w:r>
            <w:r>
              <w:rPr>
                <w:rFonts w:hint="eastAsia"/>
                <w:highlight w:val="none"/>
              </w:rPr>
              <w:t xml:space="preserve"> </w:t>
            </w:r>
            <w:r>
              <w:rPr>
                <w:highlight w:val="none"/>
              </w:rPr>
              <w:t xml:space="preserve"> </w:t>
            </w:r>
            <w:r>
              <w:rPr>
                <w:rFonts w:hint="eastAsia"/>
                <w:highlight w:val="none"/>
              </w:rPr>
              <w:t>☑其他—</w:t>
            </w:r>
            <w:r>
              <w:rPr>
                <w:rFonts w:hint="eastAsia"/>
                <w:color w:val="000000"/>
                <w:u w:val="single"/>
                <w:lang w:val="en-US" w:eastAsia="zh-CN"/>
              </w:rPr>
              <w:t xml:space="preserve">无 </w:t>
            </w:r>
          </w:p>
          <w:p>
            <w:pPr>
              <w:shd w:val="clear"/>
              <w:spacing w:before="40" w:after="40"/>
              <w:jc w:val="left"/>
              <w:rPr>
                <w:rFonts w:hint="eastAsia"/>
              </w:rPr>
            </w:pPr>
          </w:p>
          <w:p>
            <w:pPr>
              <w:shd w:val="clear"/>
              <w:spacing w:before="40" w:after="40"/>
              <w:jc w:val="left"/>
              <w:rPr>
                <w:rFonts w:hint="eastAsia" w:eastAsia="宋体"/>
                <w:lang w:eastAsia="zh-CN"/>
              </w:rPr>
            </w:pPr>
            <w:r>
              <w:rPr>
                <w:rFonts w:hint="eastAsia"/>
              </w:rPr>
              <w:t>FSMS</w:t>
            </w:r>
            <w:r>
              <w:rPr>
                <w:rFonts w:hint="eastAsia"/>
                <w:lang w:eastAsia="zh-CN"/>
              </w:rPr>
              <w:t>：</w:t>
            </w:r>
          </w:p>
          <w:p>
            <w:pPr>
              <w:shd w:val="clea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ind w:left="210" w:hanging="210" w:hangingChars="100"/>
            </w:pPr>
            <w:r>
              <w:rPr>
                <w:rFonts w:hint="eastAsia"/>
              </w:rPr>
              <w:t xml:space="preserve">☑人员能力管理 ☑危害分析 ☑PRP制订和控制 ☑危害控制计划（OPRP、HACCP）制订和控制 </w:t>
            </w:r>
          </w:p>
          <w:p>
            <w:pPr>
              <w:shd w:val="clear"/>
              <w:spacing w:before="40" w:after="40"/>
              <w:rPr>
                <w:rFonts w:hint="eastAsia"/>
                <w:lang w:val="en-US" w:eastAsia="zh-CN"/>
              </w:rPr>
            </w:pPr>
            <w:r>
              <w:rPr>
                <w:rFonts w:hint="eastAsia"/>
              </w:rPr>
              <w:sym w:font="Wingdings 2" w:char="0052"/>
            </w:r>
            <w:r>
              <w:rPr>
                <w:rFonts w:hint="eastAsia"/>
              </w:rPr>
              <w:t xml:space="preserve">特种设备管理 ☑控制措施组合确认  ☑PRP和危害控制措施的效果验证  </w:t>
            </w:r>
            <w:r>
              <w:rPr>
                <w:rFonts w:hint="eastAsia"/>
              </w:rPr>
              <w:sym w:font="Wingdings 2" w:char="00A3"/>
            </w:r>
            <w:r>
              <w:rPr>
                <w:rFonts w:hint="eastAsia"/>
              </w:rPr>
              <w:t>其他</w:t>
            </w:r>
            <w:r>
              <w:rPr>
                <w:rFonts w:hint="eastAsia"/>
                <w:lang w:eastAsia="zh-CN"/>
              </w:rPr>
              <w:t>——</w:t>
            </w:r>
            <w:r>
              <w:rPr>
                <w:rFonts w:hint="eastAsia"/>
                <w:lang w:val="en-US" w:eastAsia="zh-CN"/>
              </w:rPr>
              <w:t>车辆管理</w:t>
            </w:r>
          </w:p>
          <w:p>
            <w:pPr>
              <w:pStyle w:val="9"/>
              <w:shd w:val="clear"/>
              <w:rPr>
                <w:rFonts w:hint="default"/>
                <w:lang w:val="en-US" w:eastAsia="zh-CN"/>
              </w:rPr>
            </w:pPr>
          </w:p>
          <w:p>
            <w:pPr>
              <w:shd w:val="clea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spacing w:before="40" w:after="40"/>
            </w:pPr>
            <w:r>
              <w:rPr>
                <w:rFonts w:hint="eastAsia"/>
              </w:rPr>
              <w:t xml:space="preserve">□建立FSMS □危害分析 □制订PRP和OPRP、HACCP计划 □生产/服务过程  □产品运输 </w:t>
            </w:r>
          </w:p>
          <w:p>
            <w:pPr>
              <w:pStyle w:val="26"/>
              <w:shd w:val="clear"/>
              <w:adjustRightInd w:val="0"/>
              <w:snapToGrid w:val="0"/>
              <w:spacing w:line="360" w:lineRule="auto"/>
              <w:rPr>
                <w:highlight w:val="yellow"/>
                <w:u w:val="single"/>
              </w:rPr>
            </w:pPr>
            <w:r>
              <w:rPr>
                <w:rFonts w:hint="eastAsia"/>
              </w:rPr>
              <w:t>□设备维修   □人员培训 □PRP和OPRP、HACCP验证</w:t>
            </w:r>
            <w:r>
              <w:rPr>
                <w:rFonts w:hint="eastAsia"/>
                <w:lang w:val="en-US" w:eastAsia="zh-CN"/>
              </w:rPr>
              <w:t xml:space="preserve"> </w:t>
            </w:r>
            <w:r>
              <w:rPr>
                <w:rFonts w:hint="eastAsia"/>
                <w:highlight w:val="none"/>
              </w:rPr>
              <w:t>☑其他—</w:t>
            </w:r>
            <w:r>
              <w:rPr>
                <w:rFonts w:hint="eastAsia"/>
                <w:color w:val="000000"/>
                <w:u w:val="single"/>
                <w:lang w:val="en-US" w:eastAsia="zh-CN"/>
              </w:rPr>
              <w:t>无</w:t>
            </w:r>
          </w:p>
          <w:p>
            <w:pPr>
              <w:shd w:val="clear"/>
              <w:spacing w:before="40" w:after="40"/>
              <w:jc w:val="left"/>
              <w:rPr>
                <w:highlight w:val="yellow"/>
              </w:rPr>
            </w:pPr>
          </w:p>
          <w:p>
            <w:pPr>
              <w:shd w:val="clear"/>
              <w:spacing w:before="40" w:after="40"/>
              <w:rPr>
                <w:highlight w:val="cyan"/>
              </w:rPr>
            </w:pPr>
            <w:r>
              <w:rPr>
                <w:rFonts w:hint="eastAsia"/>
                <w:lang w:val="en-GB"/>
              </w:rPr>
              <w:t>组织通过</w:t>
            </w:r>
            <w:r>
              <w:rPr>
                <w:rFonts w:hint="eastAsia"/>
              </w:rPr>
              <w:t>质量/食品安全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lang w:val="en-US" w:eastAsia="zh-CN"/>
              </w:rPr>
              <w:t>环境</w:t>
            </w:r>
            <w:r>
              <w:rPr>
                <w:rFonts w:hint="eastAsia"/>
              </w:rPr>
              <w:t>管理体系</w:t>
            </w:r>
          </w:p>
        </w:tc>
        <w:tc>
          <w:tcPr>
            <w:tcW w:w="1129" w:type="dxa"/>
            <w:vMerge w:val="restart"/>
            <w:shd w:val="clear" w:color="auto" w:fill="auto"/>
          </w:tcPr>
          <w:p>
            <w:pPr>
              <w:rPr>
                <w:rFonts w:hint="eastAsia"/>
              </w:rPr>
            </w:pPr>
            <w:r>
              <w:rPr>
                <w:rFonts w:hint="eastAsia"/>
                <w:lang w:val="en-US" w:eastAsia="zh-CN"/>
              </w:rPr>
              <w:t>E</w:t>
            </w:r>
            <w:r>
              <w:rPr>
                <w:rFonts w:hint="eastAsia"/>
              </w:rPr>
              <w:t xml:space="preserve">4.4 </w:t>
            </w:r>
          </w:p>
          <w:p>
            <w:pPr>
              <w:pStyle w:val="16"/>
              <w:rPr>
                <w:rFonts w:hint="default" w:eastAsia="宋体"/>
                <w:lang w:val="en-US" w:eastAsia="zh-CN"/>
              </w:rPr>
            </w:pPr>
            <w:r>
              <w:rPr>
                <w:rFonts w:hint="eastAsia"/>
                <w:lang w:val="en-US" w:eastAsia="zh-CN"/>
              </w:rPr>
              <w:t>O4.1</w:t>
            </w:r>
          </w:p>
        </w:tc>
        <w:tc>
          <w:tcPr>
            <w:tcW w:w="745"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60" w:type="dxa"/>
            <w:gridSpan w:val="2"/>
            <w:shd w:val="clear" w:color="auto" w:fill="auto"/>
          </w:tcPr>
          <w:p>
            <w:r>
              <w:rPr>
                <w:rFonts w:hint="eastAsia"/>
                <w:lang w:val="en-US" w:eastAsia="zh-CN"/>
              </w:rPr>
              <w:t>如：</w:t>
            </w:r>
            <w:r>
              <w:rPr>
                <w:rFonts w:hint="eastAsia"/>
                <w:lang w:eastAsia="zh-CN"/>
              </w:rPr>
              <w:t>☑</w:t>
            </w:r>
            <w:r>
              <w:rPr>
                <w:rFonts w:hint="eastAsia"/>
                <w:lang w:val="en-US" w:eastAsia="zh-CN"/>
              </w:rPr>
              <w:t>管理手册第4.4章和</w:t>
            </w:r>
            <w:r>
              <w:rPr>
                <w:rFonts w:hint="eastAsia"/>
                <w:lang w:eastAsia="zh-CN"/>
              </w:rPr>
              <w:t>□</w:t>
            </w:r>
            <w:r>
              <w:rPr>
                <w:rFonts w:hint="eastAsia"/>
                <w:lang w:val="en-US" w:eastAsia="zh-CN"/>
              </w:rPr>
              <w:t>《过程清单》</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60" w:type="dxa"/>
            <w:gridSpan w:val="2"/>
            <w:shd w:val="clear" w:color="auto" w:fill="auto"/>
          </w:tcPr>
          <w:p>
            <w:pPr>
              <w:keepNext w:val="0"/>
              <w:keepLines w:val="0"/>
              <w:suppressLineNumbers w:val="0"/>
              <w:spacing w:before="40" w:beforeAutospacing="0" w:after="40" w:afterAutospacing="0" w:line="240" w:lineRule="auto"/>
              <w:ind w:left="0" w:right="0"/>
              <w:rPr>
                <w:rFonts w:hint="eastAsia"/>
                <w:lang w:val="en-GB" w:eastAsia="zh-CN"/>
              </w:rPr>
            </w:pPr>
            <w:r>
              <w:rPr>
                <w:rFonts w:hint="eastAsia"/>
                <w:lang w:val="en-US" w:eastAsia="zh-CN"/>
              </w:rPr>
              <w:t>组织考虑了内外部问题和相关方期望对职业健康安全管理体系/环境管理体系的过程进行了确认，对输入、输出、</w:t>
            </w:r>
            <w:r>
              <w:rPr>
                <w:rFonts w:hint="eastAsia"/>
                <w:lang w:val="en-GB" w:eastAsia="zh-CN"/>
              </w:rPr>
              <w:t>顺序及相互</w:t>
            </w:r>
            <w:r>
              <w:rPr>
                <w:rFonts w:hint="eastAsia"/>
                <w:lang w:val="en-US" w:eastAsia="zh-CN"/>
              </w:rPr>
              <w:t>作用</w:t>
            </w:r>
            <w:r>
              <w:rPr>
                <w:rFonts w:hint="eastAsia"/>
                <w:lang w:val="en-GB" w:eastAsia="zh-CN"/>
              </w:rPr>
              <w:t>已被</w:t>
            </w:r>
            <w:r>
              <w:rPr>
                <w:rFonts w:hint="eastAsia"/>
                <w:lang w:val="en-US" w:eastAsia="zh-CN"/>
              </w:rPr>
              <w:t>明确</w:t>
            </w:r>
            <w:r>
              <w:rPr>
                <w:rFonts w:hint="eastAsia"/>
                <w:lang w:val="en-GB" w:eastAsia="zh-CN"/>
              </w:rPr>
              <w:t>地提出并被充分控制。</w:t>
            </w:r>
            <w:r>
              <w:rPr>
                <w:rFonts w:hint="eastAsia"/>
                <w:lang w:val="en-US" w:eastAsia="zh-CN"/>
              </w:rPr>
              <w:t>采用了过程方法管理相关管理体系及其过程；</w:t>
            </w:r>
            <w:r>
              <w:rPr>
                <w:rFonts w:hint="eastAsia"/>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default"/>
                <w:highlight w:val="lightGray"/>
                <w:lang w:val="en-US" w:eastAsia="zh-CN"/>
              </w:rPr>
            </w:pPr>
            <w:r>
              <w:rPr>
                <w:rFonts w:hint="eastAsia"/>
                <w:highlight w:val="lightGray"/>
                <w:lang w:val="en-US" w:eastAsia="zh-CN"/>
              </w:rPr>
              <w:t>EMS：</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影响运行的重要</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不必全选</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 xml:space="preserve">消防安全控制 </w:t>
            </w:r>
            <w:r>
              <w:rPr>
                <w:rFonts w:hint="eastAsia"/>
                <w:lang w:eastAsia="zh-CN"/>
              </w:rPr>
              <w:t>☑</w:t>
            </w:r>
            <w:r>
              <w:rPr>
                <w:rFonts w:hint="eastAsia"/>
                <w:lang w:val="en-US" w:eastAsia="zh-CN"/>
              </w:rPr>
              <w:t xml:space="preserve">污染物排放控制（废水、固体废弃物） </w:t>
            </w:r>
            <w:r>
              <w:rPr>
                <w:rFonts w:hint="eastAsia"/>
                <w:lang w:eastAsia="zh-CN"/>
              </w:rPr>
              <w:t>☑</w:t>
            </w:r>
            <w:r>
              <w:rPr>
                <w:rFonts w:hint="eastAsia"/>
                <w:lang w:val="en-US" w:eastAsia="zh-CN"/>
              </w:rPr>
              <w:t xml:space="preserve">人员能力管理 </w:t>
            </w:r>
            <w:r>
              <w:rPr>
                <w:rFonts w:hint="eastAsia"/>
                <w:lang w:eastAsia="zh-CN"/>
              </w:rPr>
              <w:sym w:font="Wingdings 2" w:char="0052"/>
            </w:r>
            <w:r>
              <w:rPr>
                <w:rFonts w:hint="eastAsia"/>
                <w:lang w:val="en-US" w:eastAsia="zh-CN"/>
              </w:rPr>
              <w:t xml:space="preserve">危化品管理（质检部化验使用） </w:t>
            </w:r>
            <w:r>
              <w:rPr>
                <w:rFonts w:hint="eastAsia"/>
                <w:lang w:eastAsia="zh-CN"/>
              </w:rPr>
              <w:sym w:font="Wingdings 2" w:char="0052"/>
            </w:r>
            <w:r>
              <w:rPr>
                <w:rFonts w:hint="eastAsia"/>
                <w:lang w:val="en-US" w:eastAsia="zh-CN"/>
              </w:rPr>
              <w:t xml:space="preserve">特种设备管理 </w:t>
            </w:r>
            <w:r>
              <w:rPr>
                <w:rFonts w:hint="eastAsia"/>
              </w:rPr>
              <w:t>□</w:t>
            </w:r>
            <w:r>
              <w:rPr>
                <w:rFonts w:hint="eastAsia"/>
                <w:lang w:val="en-US" w:eastAsia="zh-CN"/>
              </w:rPr>
              <w:t xml:space="preserve">其他  </w:t>
            </w:r>
            <w:r>
              <w:rPr>
                <w:rFonts w:hint="eastAsia"/>
                <w:lang w:eastAsia="zh-CN"/>
              </w:rPr>
              <w:t>□</w:t>
            </w:r>
            <w:r>
              <w:rPr>
                <w:rFonts w:hint="eastAsia"/>
                <w:lang w:val="en-US" w:eastAsia="zh-CN"/>
              </w:rPr>
              <w:t>放射线探伤</w:t>
            </w:r>
          </w:p>
          <w:p>
            <w:pPr>
              <w:pStyle w:val="16"/>
              <w:rPr>
                <w:rFonts w:hint="eastAsia"/>
                <w:lang w:val="en-US" w:eastAsia="zh-CN"/>
              </w:rPr>
            </w:pP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影响体系运行的外包</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根据实际情况选择</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rPr>
              <w:t>□</w:t>
            </w:r>
            <w:r>
              <w:rPr>
                <w:rFonts w:hint="eastAsia"/>
                <w:lang w:val="en-US" w:eastAsia="zh-CN"/>
              </w:rPr>
              <w:t xml:space="preserve">建筑施工 </w:t>
            </w:r>
            <w:r>
              <w:rPr>
                <w:rFonts w:hint="eastAsia"/>
                <w:lang w:eastAsia="zh-CN"/>
              </w:rPr>
              <w:t>□</w:t>
            </w:r>
            <w:r>
              <w:rPr>
                <w:rFonts w:hint="eastAsia"/>
                <w:lang w:val="en-US" w:eastAsia="zh-CN"/>
              </w:rPr>
              <w:t xml:space="preserve">危化品贮存 </w:t>
            </w:r>
            <w:r>
              <w:rPr>
                <w:rFonts w:hint="eastAsia"/>
              </w:rPr>
              <w:t>□</w:t>
            </w:r>
            <w:r>
              <w:rPr>
                <w:rFonts w:hint="eastAsia"/>
                <w:lang w:val="en-US" w:eastAsia="zh-CN"/>
              </w:rPr>
              <w:t xml:space="preserve">XXX加工过程 </w:t>
            </w:r>
            <w:r>
              <w:rPr>
                <w:rFonts w:hint="eastAsia"/>
                <w:lang w:eastAsia="zh-CN"/>
              </w:rPr>
              <w:t>□</w:t>
            </w:r>
            <w:r>
              <w:rPr>
                <w:rFonts w:hint="eastAsia"/>
                <w:lang w:val="en-US" w:eastAsia="zh-CN"/>
              </w:rPr>
              <w:t xml:space="preserve">放射线探伤 </w:t>
            </w:r>
            <w:r>
              <w:rPr>
                <w:rFonts w:hint="eastAsia"/>
                <w:lang w:eastAsia="zh-CN"/>
              </w:rPr>
              <w:t>□</w:t>
            </w:r>
            <w:r>
              <w:rPr>
                <w:rFonts w:hint="eastAsia"/>
                <w:lang w:val="en-US" w:eastAsia="zh-CN"/>
              </w:rPr>
              <w:t xml:space="preserve">危险品运输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default"/>
                <w:color w:val="auto"/>
                <w:lang w:val="en-US" w:eastAsia="zh-CN"/>
              </w:rPr>
            </w:pPr>
            <w:r>
              <w:rPr>
                <w:rFonts w:hint="eastAsia"/>
                <w:lang w:eastAsia="zh-CN"/>
              </w:rPr>
              <w:t>□</w:t>
            </w:r>
            <w:r>
              <w:rPr>
                <w:rFonts w:hint="eastAsia"/>
                <w:lang w:val="en-US" w:eastAsia="zh-CN"/>
              </w:rPr>
              <w:t xml:space="preserve">人员培训 </w:t>
            </w:r>
            <w:r>
              <w:rPr>
                <w:rFonts w:hint="eastAsia"/>
              </w:rPr>
              <w:sym w:font="Wingdings 2" w:char="0052"/>
            </w:r>
            <w:r>
              <w:rPr>
                <w:rFonts w:hint="eastAsia"/>
                <w:lang w:val="en-US" w:eastAsia="zh-CN"/>
              </w:rPr>
              <w:t>其他——</w:t>
            </w:r>
            <w:r>
              <w:rPr>
                <w:rFonts w:hint="eastAsia"/>
                <w:color w:val="auto"/>
                <w:u w:val="single"/>
                <w:lang w:val="en-US" w:eastAsia="zh-CN"/>
              </w:rPr>
              <w:t>无</w:t>
            </w:r>
          </w:p>
          <w:p>
            <w:pPr>
              <w:rPr>
                <w:rFonts w:hint="eastAsia"/>
                <w:lang w:val="en-US" w:eastAsia="zh-CN"/>
              </w:rPr>
            </w:pPr>
            <w:r>
              <w:rPr>
                <w:rFonts w:hint="eastAsia"/>
                <w:lang w:val="en-GB" w:eastAsia="zh-CN"/>
              </w:rPr>
              <w:t>组织通过</w:t>
            </w:r>
            <w:r>
              <w:rPr>
                <w:rFonts w:hint="eastAsia"/>
                <w:lang w:val="en-US" w:eastAsia="zh-CN"/>
              </w:rPr>
              <w:t>环境</w:t>
            </w:r>
            <w:r>
              <w:rPr>
                <w:rFonts w:hint="eastAsia"/>
                <w:lang w:val="en-GB" w:eastAsia="zh-CN"/>
              </w:rPr>
              <w:t>目标的建立、实施、</w:t>
            </w:r>
            <w:r>
              <w:rPr>
                <w:rFonts w:hint="eastAsia"/>
                <w:lang w:val="en-US" w:eastAsia="zh-CN"/>
              </w:rPr>
              <w:t>相关方反馈</w:t>
            </w:r>
            <w:r>
              <w:rPr>
                <w:rFonts w:hint="eastAsia"/>
                <w:lang w:val="en-GB" w:eastAsia="zh-CN"/>
              </w:rPr>
              <w:t>的</w:t>
            </w:r>
            <w:r>
              <w:rPr>
                <w:rFonts w:hint="eastAsia"/>
                <w:lang w:val="en-US" w:eastAsia="zh-CN"/>
              </w:rPr>
              <w:t>分析</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p>
            <w:pPr>
              <w:pStyle w:val="16"/>
              <w:rPr>
                <w:rFonts w:hint="eastAsia"/>
                <w:lang w:val="en-US" w:eastAsia="zh-CN"/>
              </w:rPr>
            </w:pPr>
          </w:p>
          <w:p>
            <w:pPr>
              <w:pStyle w:val="16"/>
              <w:rPr>
                <w:rFonts w:hint="eastAsia"/>
                <w:lang w:val="en-US" w:eastAsia="zh-CN"/>
              </w:rPr>
            </w:pPr>
            <w:r>
              <w:rPr>
                <w:rFonts w:hint="eastAsia"/>
                <w:highlight w:val="lightGray"/>
                <w:lang w:val="en-US" w:eastAsia="zh-CN"/>
              </w:rPr>
              <w:t>OHSMS：</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影响运行的重要</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不必全选</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消防安全控制</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 xml:space="preserve">用电安全控制 </w:t>
            </w:r>
            <w:r>
              <w:rPr>
                <w:rFonts w:hint="eastAsia"/>
                <w:color w:val="auto"/>
                <w:highlight w:val="none"/>
                <w:lang w:eastAsia="zh-CN"/>
              </w:rPr>
              <w:t>☑</w:t>
            </w:r>
            <w:r>
              <w:rPr>
                <w:rFonts w:hint="eastAsia"/>
                <w:color w:val="auto"/>
                <w:highlight w:val="none"/>
                <w:vertAlign w:val="baseline"/>
                <w:lang w:val="en-US" w:eastAsia="zh-CN"/>
              </w:rPr>
              <w:t xml:space="preserve">人员能力管理 </w:t>
            </w:r>
            <w:r>
              <w:rPr>
                <w:rFonts w:hint="eastAsia"/>
                <w:lang w:val="en-US" w:eastAsia="zh-CN"/>
              </w:rPr>
              <w:t xml:space="preserve"> </w:t>
            </w:r>
            <w:r>
              <w:rPr>
                <w:rFonts w:hint="eastAsia"/>
                <w:lang w:eastAsia="zh-CN"/>
              </w:rPr>
              <w:sym w:font="Wingdings 2" w:char="0052"/>
            </w:r>
            <w:r>
              <w:rPr>
                <w:rFonts w:hint="eastAsia"/>
                <w:lang w:val="en-US" w:eastAsia="zh-CN"/>
              </w:rPr>
              <w:t xml:space="preserve">危化品管理（质检部化验使用） </w:t>
            </w:r>
            <w:r>
              <w:rPr>
                <w:rFonts w:hint="eastAsia"/>
                <w:color w:val="auto"/>
                <w:highlight w:val="none"/>
                <w:vertAlign w:val="baseline"/>
                <w:lang w:val="en-US" w:eastAsia="zh-CN"/>
              </w:rPr>
              <w:t xml:space="preserve"> </w:t>
            </w:r>
            <w:r>
              <w:rPr>
                <w:rFonts w:hint="eastAsia"/>
                <w:color w:val="auto"/>
                <w:highlight w:val="none"/>
                <w:lang w:eastAsia="zh-CN"/>
              </w:rPr>
              <w:sym w:font="Wingdings 2" w:char="0052"/>
            </w:r>
            <w:r>
              <w:rPr>
                <w:rFonts w:hint="eastAsia"/>
                <w:color w:val="auto"/>
                <w:highlight w:val="none"/>
                <w:vertAlign w:val="baseline"/>
                <w:lang w:val="en-US" w:eastAsia="zh-CN"/>
              </w:rPr>
              <w:t xml:space="preserve">特种设备管理 </w:t>
            </w:r>
            <w:r>
              <w:rPr>
                <w:rFonts w:hint="eastAsia"/>
                <w:color w:val="auto"/>
                <w:highlight w:val="none"/>
              </w:rPr>
              <w:t>□</w:t>
            </w:r>
            <w:r>
              <w:rPr>
                <w:rFonts w:hint="eastAsia"/>
                <w:color w:val="auto"/>
                <w:highlight w:val="none"/>
                <w:lang w:val="en-US" w:eastAsia="zh-CN"/>
              </w:rPr>
              <w:t xml:space="preserve">其他  </w:t>
            </w:r>
            <w:r>
              <w:rPr>
                <w:rFonts w:hint="eastAsia"/>
                <w:color w:val="auto"/>
                <w:highlight w:val="none"/>
                <w:lang w:eastAsia="zh-CN"/>
              </w:rPr>
              <w:t>□</w:t>
            </w:r>
            <w:r>
              <w:rPr>
                <w:rFonts w:hint="eastAsia"/>
                <w:color w:val="auto"/>
                <w:highlight w:val="none"/>
                <w:lang w:val="en-US" w:eastAsia="zh-CN"/>
              </w:rPr>
              <w:t xml:space="preserve">放射线探伤   </w:t>
            </w:r>
            <w:r>
              <w:rPr>
                <w:rFonts w:hint="eastAsia"/>
                <w:color w:val="auto"/>
                <w:highlight w:val="none"/>
                <w:lang w:eastAsia="zh-CN"/>
              </w:rPr>
              <w:t>☑</w:t>
            </w:r>
            <w:r>
              <w:rPr>
                <w:rFonts w:hint="eastAsia"/>
                <w:color w:val="auto"/>
                <w:highlight w:val="none"/>
                <w:lang w:val="en-US" w:eastAsia="zh-CN"/>
              </w:rPr>
              <w:t>安全作业控制</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影响体系运行的外包</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根据实际情况选择</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highlight w:val="none"/>
                <w:vertAlign w:val="baseline"/>
                <w:lang w:val="en-US" w:eastAsia="zh-CN"/>
              </w:rPr>
              <w:t xml:space="preserve">XXX加工过程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r>
              <w:rPr>
                <w:rFonts w:hint="eastAsia"/>
                <w:color w:val="auto"/>
                <w:highlight w:val="none"/>
              </w:rPr>
              <w:t>□</w:t>
            </w:r>
            <w:r>
              <w:rPr>
                <w:rFonts w:hint="eastAsia"/>
                <w:color w:val="auto"/>
                <w:highlight w:val="none"/>
                <w:lang w:val="en-US" w:eastAsia="zh-CN"/>
              </w:rPr>
              <w:t>设备维修</w:t>
            </w:r>
          </w:p>
          <w:p>
            <w:pPr>
              <w:keepNext w:val="0"/>
              <w:keepLines w:val="0"/>
              <w:suppressLineNumbers w:val="0"/>
              <w:spacing w:before="40" w:beforeAutospacing="0" w:after="40" w:afterAutospacing="0" w:line="240" w:lineRule="auto"/>
              <w:ind w:left="0" w:right="0"/>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 xml:space="preserve">人员培训 </w:t>
            </w:r>
            <w:r>
              <w:rPr>
                <w:rFonts w:hint="eastAsia"/>
                <w:lang w:eastAsia="zh-CN"/>
              </w:rPr>
              <w:t>☑</w:t>
            </w:r>
            <w:r>
              <w:rPr>
                <w:rFonts w:hint="eastAsia"/>
                <w:color w:val="auto"/>
                <w:highlight w:val="none"/>
                <w:vertAlign w:val="baseline"/>
                <w:lang w:val="en-US" w:eastAsia="zh-CN"/>
              </w:rPr>
              <w:t>其他——</w:t>
            </w:r>
            <w:r>
              <w:rPr>
                <w:rFonts w:hint="eastAsia"/>
                <w:color w:val="000000"/>
                <w:u w:val="single"/>
                <w:lang w:val="en-US" w:eastAsia="zh-CN"/>
              </w:rPr>
              <w:t>无</w:t>
            </w:r>
          </w:p>
          <w:p>
            <w:pPr>
              <w:pStyle w:val="16"/>
              <w:rPr>
                <w:rFonts w:hint="default"/>
                <w:lang w:val="en-US" w:eastAsia="zh-CN"/>
              </w:rPr>
            </w:pPr>
            <w:r>
              <w:rPr>
                <w:rFonts w:hint="eastAsia"/>
                <w:color w:val="auto"/>
                <w:highlight w:val="none"/>
                <w:lang w:val="en-GB" w:eastAsia="zh-CN"/>
              </w:rPr>
              <w:t>组织通过</w:t>
            </w:r>
            <w:r>
              <w:rPr>
                <w:rFonts w:hint="eastAsia" w:ascii="Arial" w:hAnsi="Arial"/>
                <w:color w:val="auto"/>
                <w:highlight w:val="none"/>
              </w:rPr>
              <w:t>职业健康安全</w:t>
            </w:r>
            <w:r>
              <w:rPr>
                <w:rFonts w:hint="eastAsia"/>
                <w:color w:val="auto"/>
                <w:highlight w:val="none"/>
                <w:lang w:val="en-GB" w:eastAsia="zh-CN"/>
              </w:rPr>
              <w:t>目标的建立、实施、</w:t>
            </w:r>
            <w:r>
              <w:rPr>
                <w:rFonts w:hint="eastAsia"/>
                <w:color w:val="auto"/>
                <w:highlight w:val="none"/>
                <w:lang w:val="en-US" w:eastAsia="zh-CN"/>
              </w:rPr>
              <w:t>相关方反馈</w:t>
            </w:r>
            <w:r>
              <w:rPr>
                <w:rFonts w:hint="eastAsia"/>
                <w:color w:val="auto"/>
                <w:highlight w:val="none"/>
                <w:lang w:val="en-GB" w:eastAsia="zh-CN"/>
              </w:rPr>
              <w:t>的</w:t>
            </w:r>
            <w:r>
              <w:rPr>
                <w:rFonts w:hint="eastAsia"/>
                <w:color w:val="auto"/>
                <w:highlight w:val="none"/>
                <w:lang w:val="en-US" w:eastAsia="zh-CN"/>
              </w:rPr>
              <w:t>分析</w:t>
            </w:r>
            <w:r>
              <w:rPr>
                <w:rFonts w:hint="eastAsia"/>
                <w:color w:val="auto"/>
                <w:highlight w:val="none"/>
                <w:lang w:val="en-GB" w:eastAsia="zh-CN"/>
              </w:rPr>
              <w:t>、内审和管理评审等方式，充分地</w:t>
            </w:r>
            <w:r>
              <w:rPr>
                <w:rFonts w:hint="eastAsia"/>
                <w:color w:val="auto"/>
                <w:highlight w:val="none"/>
                <w:lang w:val="en-US" w:eastAsia="zh-CN"/>
              </w:rPr>
              <w:t>评审，管理及</w:t>
            </w:r>
            <w:r>
              <w:rPr>
                <w:rFonts w:hint="eastAsia"/>
                <w:color w:val="auto"/>
                <w:highlight w:val="none"/>
                <w:lang w:val="en-GB" w:eastAsia="zh-CN"/>
              </w:rPr>
              <w:t>控制这些</w:t>
            </w:r>
            <w:r>
              <w:rPr>
                <w:rFonts w:hint="eastAsia" w:ascii="Arial" w:hAnsi="Arial"/>
                <w:color w:val="auto"/>
                <w:highlight w:val="none"/>
              </w:rPr>
              <w:t>职业健康安全</w:t>
            </w:r>
            <w:r>
              <w:rPr>
                <w:rFonts w:hint="eastAsia"/>
                <w:color w:val="auto"/>
                <w:highlight w:val="none"/>
                <w:lang w:val="en-US" w:eastAsia="zh-CN"/>
              </w:rPr>
              <w:t>管理体系覆盖的过程</w:t>
            </w:r>
            <w:r>
              <w:rPr>
                <w:rFonts w:hint="eastAsia"/>
                <w:color w:val="auto"/>
                <w:highlight w:val="none"/>
                <w:lang w:val="en-GB" w:eastAsia="zh-CN"/>
              </w:rPr>
              <w:t>和活动</w:t>
            </w:r>
            <w:r>
              <w:rPr>
                <w:rFonts w:hint="eastAsia"/>
                <w:color w:val="auto"/>
                <w:highlight w:val="none"/>
                <w:lang w:val="en-US"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rPr>
              <w:t>领导作用与承诺</w:t>
            </w:r>
          </w:p>
        </w:tc>
        <w:tc>
          <w:tcPr>
            <w:tcW w:w="1129" w:type="dxa"/>
            <w:vMerge w:val="restart"/>
            <w:shd w:val="clear" w:color="auto" w:fill="auto"/>
          </w:tcPr>
          <w:p>
            <w:pPr>
              <w:rPr>
                <w:rFonts w:hint="eastAsia"/>
              </w:rPr>
            </w:pPr>
            <w:r>
              <w:rPr>
                <w:rFonts w:hint="eastAsia"/>
              </w:rPr>
              <w:t>Q</w:t>
            </w:r>
            <w:r>
              <w:rPr>
                <w:rFonts w:hint="eastAsia"/>
                <w:lang w:val="en-US" w:eastAsia="zh-CN"/>
              </w:rPr>
              <w:t>EOF</w:t>
            </w:r>
            <w:r>
              <w:rPr>
                <w:rFonts w:hint="eastAsia"/>
              </w:rPr>
              <w:t>5.1</w:t>
            </w:r>
          </w:p>
          <w:p>
            <w:pPr>
              <w:shd w:val="clear"/>
              <w:rPr>
                <w:rFonts w:hint="eastAsia"/>
                <w:lang w:val="en-US" w:eastAsia="zh-CN"/>
              </w:rPr>
            </w:pPr>
            <w:r>
              <w:rPr>
                <w:rFonts w:hint="eastAsia"/>
                <w:lang w:val="en-US" w:eastAsia="zh-CN"/>
              </w:rPr>
              <w:t>H(V1.0)</w:t>
            </w:r>
          </w:p>
          <w:p>
            <w:pPr>
              <w:pStyle w:val="16"/>
            </w:pPr>
            <w:r>
              <w:rPr>
                <w:rFonts w:hint="eastAsia"/>
              </w:rPr>
              <w:t>2.1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sym w:font="Wingdings" w:char="00FE"/>
            </w:r>
            <w:r>
              <w:rPr>
                <w:rFonts w:hint="eastAsia"/>
              </w:rPr>
              <w:t>管理手册第5.1章和“总经理岗位职责”</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822"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rFonts w:hint="eastAsia"/>
                <w:highlight w:val="lightGray"/>
                <w:lang w:val="en-US" w:eastAsia="zh-CN"/>
              </w:rPr>
            </w:pPr>
            <w:r>
              <w:rPr>
                <w:rFonts w:hint="eastAsia"/>
                <w:highlight w:val="lightGray"/>
                <w:lang w:val="en-US" w:eastAsia="zh-CN"/>
              </w:rPr>
              <w:t>QMS：</w:t>
            </w:r>
          </w:p>
          <w:p>
            <w:r>
              <w:rPr>
                <w:rFonts w:hint="eastAsia"/>
              </w:rPr>
              <w:t>与最高管理者沟通其领导作用与承诺：</w:t>
            </w:r>
          </w:p>
          <w:p>
            <w:r>
              <w:fldChar w:fldCharType="begin"/>
            </w:r>
            <w:r>
              <w:instrText xml:space="preserve"> </w:instrText>
            </w:r>
            <w:r>
              <w:rPr>
                <w:rFonts w:hint="eastAsia"/>
              </w:rPr>
              <w:instrText xml:space="preserve">eq \o\ac(□,√)</w:instrText>
            </w:r>
            <w:r>
              <w:fldChar w:fldCharType="end"/>
            </w:r>
            <w:r>
              <w:rPr>
                <w:rFonts w:hint="eastAsia"/>
              </w:rPr>
              <w:t xml:space="preserve">对质量管理体系的有效性承担责任； </w:t>
            </w:r>
          </w:p>
          <w:p>
            <w:r>
              <w:fldChar w:fldCharType="begin"/>
            </w:r>
            <w:r>
              <w:instrText xml:space="preserve"> </w:instrText>
            </w:r>
            <w:r>
              <w:rPr>
                <w:rFonts w:hint="eastAsia"/>
              </w:rPr>
              <w:instrText xml:space="preserve">eq \o\ac(□,√)</w:instrText>
            </w:r>
            <w:r>
              <w:fldChar w:fldCharType="end"/>
            </w:r>
            <w:r>
              <w:rPr>
                <w:rFonts w:hint="eastAsia"/>
              </w:rPr>
              <w:t xml:space="preserve">确保制定质量管理体系的质量方针和质量目标，并与组织的环境和战略方向相一致；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确保质量管理体系要求融入组织的业务过程；  </w:t>
            </w:r>
          </w:p>
          <w:p>
            <w:r>
              <w:fldChar w:fldCharType="begin"/>
            </w:r>
            <w:r>
              <w:instrText xml:space="preserve"> </w:instrText>
            </w:r>
            <w:r>
              <w:rPr>
                <w:rFonts w:hint="eastAsia"/>
              </w:rPr>
              <w:instrText xml:space="preserve">eq \o\ac(□,√)</w:instrText>
            </w:r>
            <w:r>
              <w:fldChar w:fldCharType="end"/>
            </w:r>
            <w:r>
              <w:rPr>
                <w:rFonts w:hint="eastAsia"/>
              </w:rPr>
              <w:t xml:space="preserve">促进使用过程方法和基于风险的思维；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确保质量管理体系所需的资源是可用的； </w:t>
            </w:r>
          </w:p>
          <w:p>
            <w:r>
              <w:fldChar w:fldCharType="begin"/>
            </w:r>
            <w:r>
              <w:instrText xml:space="preserve"> </w:instrText>
            </w:r>
            <w:r>
              <w:rPr>
                <w:rFonts w:hint="eastAsia"/>
              </w:rPr>
              <w:instrText xml:space="preserve">eq \o\ac(□,√)</w:instrText>
            </w:r>
            <w:r>
              <w:fldChar w:fldCharType="end"/>
            </w:r>
            <w:r>
              <w:rPr>
                <w:rFonts w:hint="eastAsia"/>
              </w:rPr>
              <w:t>沟通有效的质量管理和符合质量管理体系要求的重要性；</w:t>
            </w:r>
          </w:p>
          <w:p>
            <w:r>
              <w:fldChar w:fldCharType="begin"/>
            </w:r>
            <w:r>
              <w:instrText xml:space="preserve"> </w:instrText>
            </w:r>
            <w:r>
              <w:rPr>
                <w:rFonts w:hint="eastAsia"/>
              </w:rPr>
              <w:instrText xml:space="preserve">eq \o\ac(□,√)</w:instrText>
            </w:r>
            <w:r>
              <w:fldChar w:fldCharType="end"/>
            </w:r>
            <w:r>
              <w:rPr>
                <w:rFonts w:hint="eastAsia"/>
              </w:rPr>
              <w:t>确保质量管理体系实现其预期结果；</w:t>
            </w:r>
          </w:p>
          <w:p>
            <w:r>
              <w:fldChar w:fldCharType="begin"/>
            </w:r>
            <w:r>
              <w:instrText xml:space="preserve"> </w:instrText>
            </w:r>
            <w:r>
              <w:rPr>
                <w:rFonts w:hint="eastAsia"/>
              </w:rPr>
              <w:instrText xml:space="preserve">eq \o\ac(□,√)</w:instrText>
            </w:r>
            <w:r>
              <w:fldChar w:fldCharType="end"/>
            </w:r>
            <w:r>
              <w:rPr>
                <w:rFonts w:hint="eastAsia"/>
              </w:rPr>
              <w:t>促使员工积极参与、指导和支持他们为质量管理体系的有效性作出贡献；</w:t>
            </w:r>
          </w:p>
          <w:p>
            <w:r>
              <w:fldChar w:fldCharType="begin"/>
            </w:r>
            <w:r>
              <w:instrText xml:space="preserve"> </w:instrText>
            </w:r>
            <w:r>
              <w:rPr>
                <w:rFonts w:hint="eastAsia"/>
              </w:rPr>
              <w:instrText xml:space="preserve">eq \o\ac(□,√)</w:instrText>
            </w:r>
            <w:r>
              <w:fldChar w:fldCharType="end"/>
            </w:r>
            <w:r>
              <w:rPr>
                <w:rFonts w:hint="eastAsia"/>
              </w:rPr>
              <w:t>推动改进；</w:t>
            </w:r>
          </w:p>
          <w:p>
            <w:r>
              <w:fldChar w:fldCharType="begin"/>
            </w:r>
            <w:r>
              <w:instrText xml:space="preserve"> </w:instrText>
            </w:r>
            <w:r>
              <w:rPr>
                <w:rFonts w:hint="eastAsia"/>
              </w:rPr>
              <w:instrText xml:space="preserve">eq \o\ac(□,√)</w:instrText>
            </w:r>
            <w:r>
              <w:fldChar w:fldCharType="end"/>
            </w:r>
            <w:r>
              <w:rPr>
                <w:rFonts w:hint="eastAsia"/>
              </w:rPr>
              <w:t>支持其他相关管理者在其职责范围内发挥领导作用。</w:t>
            </w:r>
          </w:p>
          <w:p/>
          <w:p>
            <w:pPr>
              <w:rPr>
                <w:rFonts w:hint="eastAsia"/>
              </w:rPr>
            </w:pPr>
            <w:r>
              <w:fldChar w:fldCharType="begin"/>
            </w:r>
            <w:r>
              <w:instrText xml:space="preserve"> </w:instrText>
            </w:r>
            <w:r>
              <w:rPr>
                <w:rFonts w:hint="eastAsia"/>
              </w:rPr>
              <w:instrText xml:space="preserve">eq \o\ac(□,√)</w:instrText>
            </w:r>
            <w:r>
              <w:fldChar w:fldCharType="end"/>
            </w:r>
            <w:r>
              <w:rPr>
                <w:rFonts w:hint="eastAsia"/>
              </w:rPr>
              <w:t xml:space="preserve"> 覆盖了标准第5.1章的全面要求，</w:t>
            </w:r>
            <w:r>
              <w:rPr>
                <w:rFonts w:hint="eastAsia"/>
              </w:rPr>
              <w:sym w:font="Wingdings" w:char="00A8"/>
            </w:r>
            <w:r>
              <w:rPr>
                <w:rFonts w:hint="eastAsia"/>
              </w:rPr>
              <w:t xml:space="preserve"> 未覆盖标准第5.1章的全面要求，缺少：</w:t>
            </w:r>
            <w:r>
              <w:rPr>
                <w:rFonts w:hint="eastAsia"/>
                <w:u w:val="single"/>
              </w:rPr>
              <w:t xml:space="preserve">         </w:t>
            </w:r>
          </w:p>
          <w:p>
            <w:pPr>
              <w:pStyle w:val="16"/>
              <w:rPr>
                <w:rFonts w:hint="eastAsia"/>
                <w:color w:val="000000"/>
                <w:szCs w:val="21"/>
                <w:highlight w:val="lightGray"/>
                <w:u w:val="none"/>
                <w:lang w:val="en-US" w:eastAsia="zh-CN"/>
              </w:rPr>
            </w:pPr>
          </w:p>
          <w:p>
            <w:pPr>
              <w:pStyle w:val="16"/>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FSMS：</w:t>
            </w:r>
          </w:p>
          <w:p>
            <w:pPr>
              <w:rPr>
                <w:color w:val="000000"/>
                <w:szCs w:val="21"/>
              </w:rPr>
            </w:pPr>
            <w:r>
              <w:rPr>
                <w:rFonts w:hint="eastAsia"/>
                <w:color w:val="000000"/>
                <w:szCs w:val="21"/>
              </w:rPr>
              <w:t>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pStyle w:val="16"/>
              <w:rPr>
                <w:rFonts w:hint="eastAsia"/>
                <w:color w:val="000000"/>
                <w:szCs w:val="21"/>
                <w:u w:val="single"/>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p>
            <w:pPr>
              <w:pStyle w:val="16"/>
              <w:rPr>
                <w:rFonts w:hint="eastAsia"/>
                <w:color w:val="000000"/>
                <w:szCs w:val="21"/>
                <w:u w:val="single"/>
              </w:rPr>
            </w:pPr>
          </w:p>
          <w:p>
            <w:pPr>
              <w:pStyle w:val="16"/>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EMS</w:t>
            </w:r>
          </w:p>
          <w:p>
            <w:pPr>
              <w:rPr>
                <w:rFonts w:hint="eastAsia"/>
                <w:color w:val="000000"/>
                <w:szCs w:val="21"/>
                <w:lang w:val="en-US" w:eastAsia="zh-CN"/>
              </w:rPr>
            </w:pPr>
            <w:r>
              <w:rPr>
                <w:rFonts w:hint="eastAsia"/>
                <w:color w:val="000000"/>
                <w:szCs w:val="21"/>
                <w:lang w:val="en-US" w:eastAsia="zh-CN"/>
              </w:rPr>
              <w:t xml:space="preserve"> 与最高管理者沟通其领导作用与承诺：</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对环境管理体系的有效性负责；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确保建立环境方针和环境目标，并与组织的战略方向和所处的环境相一致；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确保将环境管理体系要求融入组织的业务过程；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促进使用过程方法和基于风险的思维；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确保可获得环境管理体系所需的资源；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就有效的环境管理的重要性和符合质量管理体系要求的重要性绩效沟通；</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确保环境管理体系实现其预期结果；</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指导并支持员对环境管理体系的有效性做出贡献；</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促进推动改进；</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支持其他相关管理人员在其职责范围内证实其领导作用。</w:t>
            </w:r>
          </w:p>
          <w:p>
            <w:pPr>
              <w:rPr>
                <w:rFonts w:hint="eastAsia"/>
                <w:b/>
                <w:bCs/>
                <w:color w:val="000000"/>
                <w:szCs w:val="21"/>
                <w:lang w:val="en-US" w:eastAsia="zh-CN"/>
              </w:rPr>
            </w:pPr>
          </w:p>
          <w:p>
            <w:pPr>
              <w:pStyle w:val="16"/>
              <w:rPr>
                <w:rFonts w:hint="eastAsia"/>
                <w:color w:val="000000"/>
                <w:szCs w:val="21"/>
                <w:u w:val="single"/>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 覆盖了标准第5.1章的全面要求，</w:t>
            </w:r>
            <w:r>
              <w:rPr>
                <w:rFonts w:hint="eastAsia"/>
                <w:color w:val="000000"/>
                <w:szCs w:val="21"/>
                <w:lang w:val="en-US" w:eastAsia="zh-CN"/>
              </w:rPr>
              <w:sym w:font="Wingdings" w:char="00A8"/>
            </w:r>
            <w:r>
              <w:rPr>
                <w:rFonts w:hint="eastAsia"/>
                <w:color w:val="000000"/>
                <w:szCs w:val="21"/>
                <w:lang w:val="en-US" w:eastAsia="zh-CN"/>
              </w:rPr>
              <w:t xml:space="preserve"> 未覆盖标准第5.1章的全面要求，缺少：</w:t>
            </w:r>
            <w:r>
              <w:rPr>
                <w:rFonts w:hint="eastAsia"/>
                <w:color w:val="000000"/>
                <w:szCs w:val="21"/>
                <w:u w:val="single"/>
                <w:lang w:val="en-US" w:eastAsia="zh-CN"/>
              </w:rPr>
              <w:t xml:space="preserve">         </w:t>
            </w:r>
          </w:p>
          <w:p>
            <w:pPr>
              <w:pStyle w:val="16"/>
              <w:rPr>
                <w:rFonts w:hint="eastAsia"/>
                <w:color w:val="000000"/>
                <w:szCs w:val="21"/>
                <w:u w:val="single"/>
                <w:lang w:val="en-US" w:eastAsia="zh-CN"/>
              </w:rPr>
            </w:pPr>
          </w:p>
          <w:p>
            <w:pPr>
              <w:pStyle w:val="16"/>
              <w:rPr>
                <w:rFonts w:hint="default"/>
                <w:color w:val="000000"/>
                <w:szCs w:val="21"/>
                <w:highlight w:val="lightGray"/>
                <w:u w:val="none"/>
                <w:lang w:val="en-US" w:eastAsia="zh-CN"/>
              </w:rPr>
            </w:pPr>
            <w:r>
              <w:rPr>
                <w:rFonts w:hint="eastAsia"/>
                <w:color w:val="000000"/>
                <w:szCs w:val="21"/>
                <w:highlight w:val="lightGray"/>
                <w:u w:val="none"/>
                <w:lang w:val="en-US" w:eastAsia="zh-CN"/>
              </w:rPr>
              <w:t>OHSMS</w:t>
            </w:r>
          </w:p>
          <w:p>
            <w:pPr>
              <w:rPr>
                <w:rFonts w:hint="eastAsia"/>
                <w:color w:val="auto"/>
                <w:szCs w:val="21"/>
                <w:highlight w:val="none"/>
                <w:lang w:val="en-US" w:eastAsia="zh-CN"/>
              </w:rPr>
            </w:pPr>
            <w:r>
              <w:rPr>
                <w:rFonts w:hint="eastAsia"/>
                <w:color w:val="auto"/>
                <w:szCs w:val="21"/>
                <w:highlight w:val="none"/>
                <w:lang w:val="en-US" w:eastAsia="zh-CN"/>
              </w:rPr>
              <w:t>与最高管理者沟通其领导作用与承诺：</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对防止与工作相关的伤害和健康损害以及提供健康安全的工作场所和活动全面负责并承担责任</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确保职业健康安全方针和相关</w:t>
            </w:r>
            <w:r>
              <w:rPr>
                <w:color w:val="auto"/>
                <w:highlight w:val="none"/>
              </w:rPr>
              <w:t>职业健康安全</w:t>
            </w:r>
            <w:r>
              <w:rPr>
                <w:rFonts w:hint="eastAsia"/>
                <w:color w:val="auto"/>
                <w:highlight w:val="none"/>
              </w:rPr>
              <w:t>目标得以建立，</w:t>
            </w:r>
            <w:r>
              <w:rPr>
                <w:color w:val="auto"/>
                <w:highlight w:val="none"/>
              </w:rPr>
              <w:t>并</w:t>
            </w:r>
            <w:r>
              <w:rPr>
                <w:rFonts w:hint="eastAsia"/>
                <w:color w:val="auto"/>
                <w:highlight w:val="none"/>
              </w:rPr>
              <w:t>与组织战略方向相一致；</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确保将职业健康安全管理体系要求融入组织业务过程之中；</w:t>
            </w:r>
            <w:r>
              <w:rPr>
                <w:rFonts w:hint="eastAsia"/>
                <w:color w:val="auto"/>
                <w:szCs w:val="21"/>
                <w:highlight w:val="none"/>
                <w:lang w:val="en-US" w:eastAsia="zh-CN"/>
              </w:rPr>
              <w:t xml:space="preserve">  </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确保可获得建立、实施、保持和改进职业健康安全管理体系所需的资源；</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就有效的职业健康安全管理和符合职业健康安全管理体系要求的重要性进行沟通；</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确保职业健康安全管理体系实现其预期结果；</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指导并支持人员为职业健康安全管理体系的有效性做出贡献</w:t>
            </w:r>
            <w:r>
              <w:rPr>
                <w:rFonts w:hint="eastAsia"/>
                <w:color w:val="auto"/>
                <w:szCs w:val="21"/>
                <w:highlight w:val="none"/>
                <w:lang w:val="en-US" w:eastAsia="zh-CN"/>
              </w:rPr>
              <w:t>；</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确保并促进持续改进</w:t>
            </w:r>
            <w:r>
              <w:rPr>
                <w:rFonts w:hint="eastAsia"/>
                <w:color w:val="auto"/>
                <w:szCs w:val="21"/>
                <w:highlight w:val="none"/>
                <w:lang w:val="en-US" w:eastAsia="zh-CN"/>
              </w:rPr>
              <w:t>；</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支持其他相关管理人员证实在其职责范围内</w:t>
            </w:r>
            <w:r>
              <w:rPr>
                <w:color w:val="auto"/>
                <w:highlight w:val="none"/>
              </w:rPr>
              <w:t>的</w:t>
            </w:r>
            <w:r>
              <w:rPr>
                <w:rFonts w:hint="eastAsia"/>
                <w:color w:val="auto"/>
                <w:highlight w:val="none"/>
              </w:rPr>
              <w:t>领导作用；</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在组织内建立、引导和促进支持职业健康安全管理体系预期结果的文化；</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保护工作人员不因报告事件、危险源、风险和机遇而遭受报复；</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确保组织建立和实施工作人员的协商和参与的过程</w:t>
            </w:r>
          </w:p>
          <w:p>
            <w:pPr>
              <w:rPr>
                <w:rFonts w:hint="eastAsia"/>
                <w:b/>
                <w:bCs/>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支持健康安全委员会的建立和运行。</w:t>
            </w:r>
          </w:p>
          <w:p>
            <w:pPr>
              <w:rPr>
                <w:rFonts w:hint="eastAsia"/>
                <w:b/>
                <w:bCs/>
                <w:color w:val="auto"/>
                <w:szCs w:val="21"/>
                <w:highlight w:val="none"/>
                <w:lang w:val="en-US" w:eastAsia="zh-CN"/>
              </w:rPr>
            </w:pPr>
          </w:p>
          <w:p>
            <w:pPr>
              <w:pStyle w:val="16"/>
              <w:rPr>
                <w:rFonts w:hint="eastAsia"/>
                <w:color w:val="auto"/>
                <w:szCs w:val="21"/>
                <w:highlight w:val="none"/>
                <w:u w:val="single"/>
                <w:lang w:val="en-US" w:eastAsia="zh-CN"/>
              </w:rPr>
            </w:pPr>
            <w:r>
              <w:rPr>
                <w:rFonts w:hint="eastAsia"/>
                <w:color w:val="auto"/>
                <w:szCs w:val="21"/>
                <w:highlight w:val="none"/>
                <w:lang w:val="en-US" w:eastAsia="zh-CN"/>
              </w:rPr>
              <w:sym w:font="Wingdings" w:char="00FE"/>
            </w:r>
            <w:r>
              <w:rPr>
                <w:rFonts w:hint="eastAsia"/>
                <w:color w:val="auto"/>
                <w:szCs w:val="21"/>
                <w:highlight w:val="none"/>
                <w:lang w:val="en-US" w:eastAsia="zh-CN"/>
              </w:rPr>
              <w:t xml:space="preserve"> 覆盖了标准第5.1章的全面要求，</w:t>
            </w:r>
            <w:r>
              <w:rPr>
                <w:rFonts w:hint="eastAsia"/>
                <w:color w:val="auto"/>
                <w:szCs w:val="21"/>
                <w:highlight w:val="none"/>
                <w:lang w:val="en-US" w:eastAsia="zh-CN"/>
              </w:rPr>
              <w:sym w:font="Wingdings" w:char="00A8"/>
            </w:r>
            <w:r>
              <w:rPr>
                <w:rFonts w:hint="eastAsia"/>
                <w:color w:val="auto"/>
                <w:szCs w:val="21"/>
                <w:highlight w:val="none"/>
                <w:lang w:val="en-US" w:eastAsia="zh-CN"/>
              </w:rPr>
              <w:t>未覆盖标准第5.1章的全面要求，缺少：</w:t>
            </w:r>
            <w:r>
              <w:rPr>
                <w:rFonts w:hint="eastAsia"/>
                <w:color w:val="auto"/>
                <w:szCs w:val="21"/>
                <w:highlight w:val="none"/>
                <w:u w:val="single"/>
                <w:lang w:val="en-US" w:eastAsia="zh-CN"/>
              </w:rPr>
              <w:t xml:space="preserve">        </w:t>
            </w:r>
          </w:p>
          <w:p>
            <w:pPr>
              <w:pStyle w:val="16"/>
              <w:rPr>
                <w:rFonts w:hint="eastAsia"/>
                <w:color w:val="auto"/>
                <w:szCs w:val="21"/>
                <w:highlight w:val="none"/>
                <w:u w:val="single"/>
                <w:lang w:val="en-US" w:eastAsia="zh-CN"/>
              </w:rPr>
            </w:pPr>
          </w:p>
          <w:p>
            <w:pPr>
              <w:pStyle w:val="16"/>
              <w:rPr>
                <w:rFonts w:hint="default"/>
                <w:color w:val="auto"/>
                <w:szCs w:val="21"/>
                <w:highlight w:val="none"/>
                <w:u w:val="single"/>
                <w:lang w:val="en-US" w:eastAsia="zh-CN"/>
              </w:rPr>
            </w:pPr>
            <w:r>
              <w:rPr>
                <w:rFonts w:hint="eastAsia"/>
                <w:color w:val="auto"/>
                <w:szCs w:val="21"/>
                <w:highlight w:val="none"/>
                <w:u w:val="single"/>
                <w:lang w:val="en-US" w:eastAsia="zh-CN"/>
              </w:rPr>
              <w:t>HACCP体系：</w:t>
            </w:r>
          </w:p>
          <w:p>
            <w:pPr>
              <w:shd w:val="clear"/>
              <w:spacing w:line="360" w:lineRule="auto"/>
            </w:pPr>
            <w:r>
              <w:rPr>
                <w:rFonts w:hint="eastAsia"/>
              </w:rPr>
              <w:t>最高管理者应通过以下活动，提供建立和实施HACCP体系所作承诺的证据：</w:t>
            </w:r>
          </w:p>
          <w:p>
            <w:pPr>
              <w:shd w:val="clear"/>
              <w:spacing w:line="360" w:lineRule="auto"/>
            </w:pPr>
            <w:r>
              <w:rPr>
                <w:rFonts w:hint="eastAsia"/>
              </w:rPr>
              <w:sym w:font="Wingdings" w:char="00FE"/>
            </w:r>
            <w:r>
              <w:t xml:space="preserve"> </w:t>
            </w:r>
            <w:r>
              <w:rPr>
                <w:rFonts w:hint="eastAsia"/>
              </w:rPr>
              <w:t>对HACCP体系的有效性负责；</w:t>
            </w:r>
          </w:p>
          <w:p>
            <w:pPr>
              <w:shd w:val="clea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hd w:val="clear"/>
              <w:spacing w:line="360" w:lineRule="auto"/>
            </w:pPr>
            <w:r>
              <w:rPr>
                <w:rFonts w:hint="eastAsia"/>
              </w:rPr>
              <w:sym w:font="Wingdings" w:char="00FE"/>
            </w:r>
            <w:r>
              <w:t xml:space="preserve"> </w:t>
            </w:r>
            <w:r>
              <w:rPr>
                <w:rFonts w:hint="eastAsia"/>
              </w:rPr>
              <w:t>确保制定的食品安全方针和目标与企业的战略方向一致；</w:t>
            </w:r>
          </w:p>
          <w:p>
            <w:pPr>
              <w:shd w:val="clear"/>
              <w:spacing w:line="360" w:lineRule="auto"/>
            </w:pPr>
            <w:r>
              <w:rPr>
                <w:rFonts w:hint="eastAsia"/>
              </w:rPr>
              <w:sym w:font="Wingdings" w:char="00FE"/>
            </w:r>
            <w:r>
              <w:t xml:space="preserve"> </w:t>
            </w:r>
            <w:r>
              <w:rPr>
                <w:rFonts w:hint="eastAsia"/>
              </w:rPr>
              <w:t>确保将HACCP体系的要求整合到企业的运营管理之中；</w:t>
            </w:r>
          </w:p>
          <w:p>
            <w:pPr>
              <w:shd w:val="clear"/>
              <w:spacing w:line="360" w:lineRule="auto"/>
            </w:pPr>
            <w:r>
              <w:rPr>
                <w:rFonts w:hint="eastAsia"/>
              </w:rPr>
              <w:sym w:font="Wingdings" w:char="00FE"/>
            </w:r>
            <w:r>
              <w:t xml:space="preserve"> </w:t>
            </w:r>
            <w:r>
              <w:rPr>
                <w:rFonts w:hint="eastAsia"/>
              </w:rPr>
              <w:t>确保企业食品安全文化的推行；</w:t>
            </w:r>
          </w:p>
          <w:p>
            <w:pPr>
              <w:shd w:val="clear"/>
              <w:spacing w:line="360" w:lineRule="auto"/>
            </w:pPr>
            <w:r>
              <w:rPr>
                <w:rFonts w:hint="eastAsia"/>
              </w:rPr>
              <w:sym w:font="Wingdings" w:char="00FE"/>
            </w:r>
            <w:r>
              <w:t xml:space="preserve"> </w:t>
            </w:r>
            <w:r>
              <w:rPr>
                <w:rFonts w:hint="eastAsia"/>
              </w:rPr>
              <w:t>进行管理评审；</w:t>
            </w:r>
          </w:p>
          <w:p>
            <w:pPr>
              <w:shd w:val="clear"/>
              <w:spacing w:line="360" w:lineRule="auto"/>
            </w:pPr>
            <w:r>
              <w:rPr>
                <w:rFonts w:hint="eastAsia"/>
              </w:rPr>
              <w:sym w:font="Wingdings" w:char="00FE"/>
            </w:r>
            <w:r>
              <w:t xml:space="preserve"> </w:t>
            </w:r>
            <w:r>
              <w:rPr>
                <w:rFonts w:hint="eastAsia"/>
              </w:rPr>
              <w:t>确保各级员工关注食品安全问题，并鼓励有效的内部报告；</w:t>
            </w:r>
          </w:p>
          <w:p>
            <w:pPr>
              <w:shd w:val="clear"/>
              <w:spacing w:line="360" w:lineRule="auto"/>
            </w:pPr>
            <w:r>
              <w:rPr>
                <w:rFonts w:hint="eastAsia"/>
              </w:rPr>
              <w:sym w:font="Wingdings" w:char="00FE"/>
            </w:r>
            <w:r>
              <w:t xml:space="preserve"> </w:t>
            </w:r>
            <w:r>
              <w:rPr>
                <w:rFonts w:hint="eastAsia"/>
              </w:rPr>
              <w:t>确保资源的获得。</w:t>
            </w:r>
          </w:p>
          <w:p>
            <w:pPr>
              <w:pStyle w:val="16"/>
              <w:rPr>
                <w:rFonts w:hint="eastAsia"/>
                <w:color w:val="000000"/>
                <w:szCs w:val="21"/>
                <w:u w:val="single"/>
              </w:rPr>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rPr>
              <w:t>以顾客为关注焦点</w:t>
            </w:r>
          </w:p>
          <w:p/>
        </w:tc>
        <w:tc>
          <w:tcPr>
            <w:tcW w:w="1129" w:type="dxa"/>
            <w:vMerge w:val="restart"/>
            <w:shd w:val="clear" w:color="auto" w:fill="auto"/>
          </w:tcPr>
          <w:p>
            <w:r>
              <w:rPr>
                <w:rFonts w:hint="eastAsia"/>
              </w:rPr>
              <w:t>Q5.1.2</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w:t>
            </w:r>
            <w:r>
              <w:t>1.2</w:t>
            </w:r>
            <w:r>
              <w:rPr>
                <w:rFonts w:hint="eastAsia"/>
              </w:rPr>
              <w:t>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 xml:space="preserve"> 最高管理者应证实其以顾客为关注焦点的领导作用和承诺：</w:t>
            </w:r>
          </w:p>
          <w:p>
            <w:pPr>
              <w:rPr>
                <w:color w:val="000000"/>
                <w:szCs w:val="21"/>
              </w:rPr>
            </w:pPr>
            <w:r>
              <w:rPr>
                <w:rFonts w:hint="eastAsia"/>
                <w:color w:val="000000"/>
                <w:szCs w:val="21"/>
              </w:rPr>
              <w:t xml:space="preserve">a）确定、理解并持续地满足顾客要求以及适用的法律法规要求； </w:t>
            </w:r>
          </w:p>
          <w:p>
            <w:pPr>
              <w:rPr>
                <w:color w:val="000000"/>
                <w:szCs w:val="21"/>
              </w:rPr>
            </w:pPr>
            <w:r>
              <w:rPr>
                <w:rFonts w:hint="eastAsia"/>
                <w:color w:val="000000"/>
                <w:szCs w:val="21"/>
              </w:rPr>
              <w:t xml:space="preserve">b）确定和应对能够影响产品和服务的符合性以及增强顾客满意能力的风险和机遇； </w:t>
            </w:r>
          </w:p>
          <w:p>
            <w:pPr>
              <w:rPr>
                <w:color w:val="000000"/>
                <w:szCs w:val="21"/>
              </w:rPr>
            </w:pPr>
            <w:r>
              <w:rPr>
                <w:rFonts w:hint="eastAsia"/>
                <w:color w:val="000000"/>
                <w:szCs w:val="21"/>
              </w:rPr>
              <w:t xml:space="preserve">c）始终致力于增强顾客满意。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目标考核 □其他</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02" w:type="dxa"/>
            <w:vMerge w:val="restart"/>
            <w:shd w:val="clear" w:color="auto" w:fill="auto"/>
          </w:tcPr>
          <w:p>
            <w:pPr>
              <w:shd w:val="clear"/>
            </w:pPr>
            <w:r>
              <w:rPr>
                <w:rFonts w:hint="eastAsia"/>
              </w:rPr>
              <w:t>食品安全文化</w:t>
            </w:r>
          </w:p>
        </w:tc>
        <w:tc>
          <w:tcPr>
            <w:tcW w:w="1129" w:type="dxa"/>
            <w:vMerge w:val="restart"/>
            <w:shd w:val="clear" w:color="auto" w:fill="auto"/>
          </w:tcPr>
          <w:p>
            <w:pPr>
              <w:shd w:val="clear"/>
              <w:rPr>
                <w:rFonts w:hint="eastAsia"/>
                <w:lang w:val="en-US" w:eastAsia="zh-CN"/>
              </w:rPr>
            </w:pPr>
            <w:r>
              <w:rPr>
                <w:rFonts w:hint="eastAsia"/>
                <w:lang w:val="en-US" w:eastAsia="zh-CN"/>
              </w:rPr>
              <w:t>H(V1.0)</w:t>
            </w:r>
          </w:p>
          <w:p>
            <w:pPr>
              <w:shd w:val="clear"/>
            </w:pPr>
            <w:r>
              <w:rPr>
                <w:rFonts w:hint="eastAsia"/>
              </w:rPr>
              <w:t>2.3</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sym w:font="Wingdings 2" w:char="0052"/>
            </w:r>
            <w:r>
              <w:rPr>
                <w:rFonts w:hint="eastAsia"/>
              </w:rPr>
              <w:t>《</w:t>
            </w:r>
            <w:r>
              <w:rPr>
                <w:rFonts w:hint="eastAsia"/>
                <w:lang w:eastAsia="zh-CN"/>
              </w:rPr>
              <w:t>管理手册</w:t>
            </w:r>
            <w:r>
              <w:rPr>
                <w:rFonts w:hint="eastAsia"/>
              </w:rPr>
              <w:t>》</w:t>
            </w:r>
            <w:r>
              <w:rPr>
                <w:rFonts w:hint="eastAsia"/>
                <w:lang w:val="en-US" w:eastAsia="zh-CN"/>
              </w:rPr>
              <w:t>5.1.3 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02" w:type="dxa"/>
            <w:vMerge w:val="continue"/>
            <w:shd w:val="clear" w:color="auto" w:fill="auto"/>
          </w:tcPr>
          <w:p>
            <w:pPr>
              <w:shd w:val="clear"/>
            </w:pPr>
          </w:p>
        </w:tc>
        <w:tc>
          <w:tcPr>
            <w:tcW w:w="1129"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spacing w:line="360" w:lineRule="auto"/>
              <w:rPr>
                <w:highlight w:val="none"/>
              </w:rPr>
            </w:pPr>
            <w:r>
              <w:rPr>
                <w:rFonts w:hint="eastAsia"/>
                <w:highlight w:val="none"/>
              </w:rPr>
              <w:t>最高管理者确保履行食品安全责任，建立企业的食品安全文化，应包括以下内容：</w:t>
            </w:r>
          </w:p>
          <w:p>
            <w:pPr>
              <w:shd w:val="clear"/>
              <w:spacing w:line="360" w:lineRule="auto"/>
              <w:rPr>
                <w:highlight w:val="none"/>
              </w:rPr>
            </w:pPr>
            <w:r>
              <w:rPr>
                <w:rFonts w:hint="eastAsia"/>
                <w:highlight w:val="none"/>
              </w:rPr>
              <w:sym w:font="Wingdings 2" w:char="0052"/>
            </w:r>
            <w:r>
              <w:rPr>
                <w:rFonts w:hint="eastAsia"/>
                <w:highlight w:val="none"/>
              </w:rPr>
              <w:t xml:space="preserve"> 通过培训让员工知晓企业食品安全文化，形成良好的食品安全意识；</w:t>
            </w:r>
          </w:p>
          <w:p>
            <w:pPr>
              <w:shd w:val="clear"/>
              <w:spacing w:line="360" w:lineRule="auto"/>
              <w:rPr>
                <w:rFonts w:hint="eastAsia" w:eastAsia="宋体"/>
                <w:highlight w:val="yellow"/>
                <w:u w:val="single"/>
                <w:lang w:val="en-US" w:eastAsia="zh-CN"/>
              </w:rPr>
            </w:pPr>
            <w:r>
              <w:rPr>
                <w:rFonts w:hint="eastAsia"/>
                <w:highlight w:val="none"/>
              </w:rPr>
              <w:t xml:space="preserve">   《培训记录》</w:t>
            </w:r>
            <w:r>
              <w:rPr>
                <w:rFonts w:hint="eastAsia"/>
                <w:highlight w:val="none"/>
                <w:u w:val="single"/>
              </w:rPr>
              <w:t xml:space="preserve"> </w:t>
            </w:r>
            <w:r>
              <w:rPr>
                <w:rFonts w:hint="eastAsia"/>
                <w:highlight w:val="none"/>
                <w:u w:val="single"/>
                <w:lang w:val="en-US" w:eastAsia="zh-CN"/>
              </w:rPr>
              <w:t xml:space="preserve">2022 </w:t>
            </w:r>
            <w:r>
              <w:rPr>
                <w:rFonts w:hint="eastAsia"/>
                <w:highlight w:val="none"/>
                <w:u w:val="single"/>
              </w:rPr>
              <w:t xml:space="preserve"> 年</w:t>
            </w:r>
            <w:r>
              <w:rPr>
                <w:rFonts w:hint="eastAsia"/>
                <w:highlight w:val="none"/>
                <w:u w:val="single"/>
                <w:lang w:val="en-US" w:eastAsia="zh-CN"/>
              </w:rPr>
              <w:t xml:space="preserve">1 </w:t>
            </w:r>
            <w:r>
              <w:rPr>
                <w:rFonts w:hint="eastAsia"/>
                <w:highlight w:val="none"/>
                <w:u w:val="single"/>
              </w:rPr>
              <w:t>月</w:t>
            </w:r>
            <w:r>
              <w:rPr>
                <w:rFonts w:hint="eastAsia"/>
                <w:highlight w:val="none"/>
                <w:u w:val="single"/>
                <w:lang w:val="en-US" w:eastAsia="zh-CN"/>
              </w:rPr>
              <w:t xml:space="preserve">6 日 </w:t>
            </w:r>
            <w:r>
              <w:rPr>
                <w:rFonts w:hint="eastAsia"/>
                <w:highlight w:val="none"/>
                <w:u w:val="single"/>
              </w:rPr>
              <w:t xml:space="preserve"> </w:t>
            </w:r>
            <w:r>
              <w:rPr>
                <w:rFonts w:hint="eastAsia"/>
                <w:highlight w:val="none"/>
                <w:u w:val="single"/>
                <w:lang w:eastAsia="zh-CN"/>
              </w:rPr>
              <w:t>。</w:t>
            </w:r>
          </w:p>
          <w:p>
            <w:pPr>
              <w:shd w:val="clear"/>
              <w:spacing w:line="360" w:lineRule="auto"/>
              <w:rPr>
                <w:highlight w:val="none"/>
              </w:rPr>
            </w:pPr>
            <w:r>
              <w:rPr>
                <w:rFonts w:hint="eastAsia"/>
                <w:highlight w:val="none"/>
              </w:rPr>
              <w:sym w:font="Wingdings 2" w:char="0052"/>
            </w:r>
            <w:r>
              <w:rPr>
                <w:rFonts w:hint="eastAsia"/>
                <w:highlight w:val="none"/>
              </w:rPr>
              <w:t xml:space="preserve"> 传播和有效沟通企业的价值观，确保各级员工积极参与企业的食品安全文化建设，及时获得员工的反馈信息；</w:t>
            </w:r>
          </w:p>
          <w:p>
            <w:pPr>
              <w:shd w:val="clear"/>
              <w:spacing w:line="360" w:lineRule="auto"/>
              <w:ind w:firstLine="420"/>
              <w:rPr>
                <w:rFonts w:hint="default" w:eastAsia="宋体"/>
                <w:highlight w:val="none"/>
                <w:lang w:val="en-US" w:eastAsia="zh-CN"/>
              </w:rPr>
            </w:pPr>
            <w:r>
              <w:rPr>
                <w:rFonts w:hint="eastAsia"/>
                <w:highlight w:val="none"/>
              </w:rPr>
              <w:t>传播途径通过：</w:t>
            </w:r>
            <w:r>
              <w:rPr>
                <w:rFonts w:hint="eastAsia"/>
                <w:highlight w:val="none"/>
              </w:rPr>
              <w:sym w:font="Wingdings 2" w:char="00A3"/>
            </w:r>
            <w:r>
              <w:rPr>
                <w:rFonts w:hint="eastAsia"/>
                <w:highlight w:val="none"/>
              </w:rPr>
              <w:t xml:space="preserve">展板  </w:t>
            </w:r>
            <w:r>
              <w:rPr>
                <w:rFonts w:hint="eastAsia"/>
                <w:highlight w:val="none"/>
              </w:rPr>
              <w:sym w:font="Wingdings 2" w:char="00A3"/>
            </w:r>
            <w:r>
              <w:rPr>
                <w:rFonts w:hint="eastAsia"/>
                <w:highlight w:val="none"/>
              </w:rPr>
              <w:t xml:space="preserve">标语  </w:t>
            </w:r>
            <w:r>
              <w:rPr>
                <w:rFonts w:hint="eastAsia"/>
                <w:highlight w:val="none"/>
              </w:rPr>
              <w:sym w:font="Wingdings 2" w:char="0052"/>
            </w:r>
            <w:r>
              <w:rPr>
                <w:rFonts w:hint="eastAsia"/>
                <w:highlight w:val="none"/>
              </w:rPr>
              <w:t xml:space="preserve">会议  </w:t>
            </w:r>
            <w:r>
              <w:rPr>
                <w:rFonts w:hint="eastAsia"/>
                <w:highlight w:val="none"/>
              </w:rPr>
              <w:sym w:font="Wingdings 2" w:char="0052"/>
            </w:r>
            <w:r>
              <w:rPr>
                <w:rFonts w:hint="eastAsia"/>
                <w:highlight w:val="none"/>
              </w:rPr>
              <w:t xml:space="preserve">文件发放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培训</w:t>
            </w:r>
          </w:p>
          <w:p>
            <w:pPr>
              <w:shd w:val="clear"/>
              <w:spacing w:line="360" w:lineRule="auto"/>
              <w:rPr>
                <w:rFonts w:hint="default" w:eastAsia="宋体"/>
                <w:highlight w:val="none"/>
                <w:u w:val="single"/>
                <w:lang w:val="en-US" w:eastAsia="zh-CN"/>
              </w:rPr>
            </w:pPr>
            <w:r>
              <w:rPr>
                <w:rFonts w:hint="eastAsia"/>
                <w:highlight w:val="none"/>
              </w:rPr>
              <w:sym w:font="Wingdings 2" w:char="0052"/>
            </w:r>
            <w:r>
              <w:rPr>
                <w:rFonts w:hint="eastAsia"/>
                <w:highlight w:val="none"/>
              </w:rPr>
              <w:t xml:space="preserve"> 对食品安全文化活动及绩效进行评价，必要时加以改进</w:t>
            </w:r>
            <w:r>
              <w:rPr>
                <w:rFonts w:hint="eastAsia"/>
                <w:highlight w:val="none"/>
                <w:u w:val="single"/>
              </w:rPr>
              <w:t>。</w:t>
            </w:r>
          </w:p>
          <w:p>
            <w:pPr>
              <w:shd w:val="clear"/>
              <w:spacing w:line="360" w:lineRule="auto"/>
              <w:rPr>
                <w:rFonts w:hint="default" w:eastAsia="宋体"/>
                <w:lang w:val="en-US" w:eastAsia="zh-CN"/>
              </w:rPr>
            </w:pPr>
            <w:r>
              <w:rPr>
                <w:rFonts w:hint="eastAsia"/>
                <w:highlight w:val="none"/>
              </w:rPr>
              <w:t xml:space="preserve">    食品安全文化评价/改进记录</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年</w:t>
            </w:r>
            <w:r>
              <w:rPr>
                <w:rFonts w:hint="eastAsia"/>
                <w:highlight w:val="none"/>
                <w:u w:val="single"/>
                <w:lang w:val="en-US" w:eastAsia="zh-CN"/>
              </w:rPr>
              <w:t>1</w:t>
            </w:r>
            <w:r>
              <w:rPr>
                <w:rFonts w:hint="eastAsia"/>
                <w:highlight w:val="none"/>
                <w:u w:val="single"/>
              </w:rPr>
              <w:t xml:space="preserve"> 月</w:t>
            </w:r>
            <w:r>
              <w:rPr>
                <w:rFonts w:hint="eastAsia"/>
                <w:highlight w:val="none"/>
                <w:u w:val="single"/>
                <w:lang w:val="en-US" w:eastAsia="zh-CN"/>
              </w:rPr>
              <w:t>6</w:t>
            </w:r>
            <w:r>
              <w:rPr>
                <w:rFonts w:hint="eastAsia"/>
                <w:highlight w:val="none"/>
                <w:u w:val="single"/>
              </w:rPr>
              <w:t>日</w:t>
            </w:r>
            <w:r>
              <w:rPr>
                <w:rFonts w:hint="eastAsia"/>
                <w:highlight w:val="none"/>
              </w:rPr>
              <w:t>；结论：</w:t>
            </w:r>
            <w:r>
              <w:rPr>
                <w:rFonts w:hint="eastAsia"/>
                <w:highlight w:val="none"/>
                <w:u w:val="double"/>
                <w:lang w:val="en-US" w:eastAsia="zh-CN"/>
              </w:rPr>
              <w:t>评价合格</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lang w:val="en-US" w:eastAsia="zh-CN"/>
              </w:rPr>
              <w:t>管理</w:t>
            </w:r>
            <w:r>
              <w:rPr>
                <w:rFonts w:hint="eastAsia"/>
              </w:rPr>
              <w:t>方针</w:t>
            </w:r>
          </w:p>
        </w:tc>
        <w:tc>
          <w:tcPr>
            <w:tcW w:w="1129" w:type="dxa"/>
            <w:vMerge w:val="restart"/>
            <w:shd w:val="clear" w:color="auto" w:fill="auto"/>
          </w:tcPr>
          <w:p>
            <w:r>
              <w:rPr>
                <w:rFonts w:hint="eastAsia"/>
              </w:rPr>
              <w:t>Q5.2</w:t>
            </w:r>
          </w:p>
          <w:p>
            <w:pPr>
              <w:rPr>
                <w:rFonts w:hint="eastAsia"/>
              </w:rPr>
            </w:pPr>
            <w:r>
              <w:rPr>
                <w:rFonts w:hint="eastAsia"/>
              </w:rPr>
              <w:t>F5.2</w:t>
            </w:r>
          </w:p>
          <w:p>
            <w:pPr>
              <w:pStyle w:val="16"/>
              <w:rPr>
                <w:rFonts w:hint="eastAsia"/>
                <w:lang w:val="en-US" w:eastAsia="zh-CN"/>
              </w:rPr>
            </w:pPr>
            <w:r>
              <w:rPr>
                <w:rFonts w:hint="eastAsia"/>
                <w:lang w:val="en-US" w:eastAsia="zh-CN"/>
              </w:rPr>
              <w:t>E5.2</w:t>
            </w:r>
          </w:p>
          <w:p>
            <w:pPr>
              <w:pStyle w:val="16"/>
              <w:rPr>
                <w:rFonts w:hint="eastAsia"/>
                <w:lang w:val="en-US" w:eastAsia="zh-CN"/>
              </w:rPr>
            </w:pPr>
            <w:r>
              <w:rPr>
                <w:rFonts w:hint="eastAsia"/>
                <w:lang w:val="en-US" w:eastAsia="zh-CN"/>
              </w:rPr>
              <w:t>O5.2</w:t>
            </w:r>
          </w:p>
          <w:p>
            <w:pPr>
              <w:shd w:val="clear"/>
              <w:rPr>
                <w:rFonts w:hint="eastAsia"/>
                <w:lang w:val="en-US" w:eastAsia="zh-CN"/>
              </w:rPr>
            </w:pPr>
            <w:r>
              <w:rPr>
                <w:rFonts w:hint="eastAsia"/>
                <w:lang w:val="en-US" w:eastAsia="zh-CN"/>
              </w:rPr>
              <w:t>H(V1.0)</w:t>
            </w:r>
          </w:p>
          <w:p>
            <w:pPr>
              <w:shd w:val="clear"/>
            </w:pPr>
            <w:r>
              <w:rPr>
                <w:rFonts w:hint="eastAsia"/>
              </w:rPr>
              <w:t>2.4.1</w:t>
            </w:r>
          </w:p>
          <w:p>
            <w:pPr>
              <w:pStyle w:val="16"/>
              <w:rPr>
                <w:rFonts w:hint="default"/>
                <w:lang w:val="en-US" w:eastAsia="zh-CN"/>
              </w:rPr>
            </w:pP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w:t>
            </w:r>
            <w:r>
              <w:rPr>
                <w:rFonts w:hint="eastAsia"/>
                <w:lang w:val="en-US" w:eastAsia="zh-CN"/>
              </w:rPr>
              <w:t xml:space="preserve">条款 </w:t>
            </w:r>
            <w:r>
              <w:rPr>
                <w:rFonts w:hint="eastAsia"/>
              </w:rPr>
              <w:t>和</w:t>
            </w:r>
            <w:r>
              <w:rPr/>
              <w:sym w:font="Wingdings" w:char="00FE"/>
            </w:r>
            <w:r>
              <w:rPr>
                <w:rFonts w:hint="eastAsia"/>
              </w:rPr>
              <w:t>“0.</w:t>
            </w:r>
            <w:r>
              <w:rPr>
                <w:rFonts w:hint="eastAsia"/>
                <w:lang w:val="en-US" w:eastAsia="zh-CN"/>
              </w:rPr>
              <w:t>4</w:t>
            </w:r>
            <w:r>
              <w:rPr>
                <w:rFonts w:hint="eastAsia"/>
              </w:rPr>
              <w:t xml:space="preserve"> 0.7 方针和目标”</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u w:val="single"/>
              </w:rPr>
            </w:pPr>
            <w:r>
              <w:rPr>
                <w:rFonts w:hint="eastAsia"/>
                <w:color w:val="000000"/>
                <w:szCs w:val="21"/>
              </w:rPr>
              <w:t xml:space="preserve"> </w:t>
            </w:r>
            <w:r>
              <w:rPr>
                <w:rFonts w:hint="eastAsia"/>
              </w:rPr>
              <w:t>最高管理者制定了文件化的管理体系方针：</w:t>
            </w:r>
          </w:p>
          <w:p>
            <w:pPr>
              <w:keepNext w:val="0"/>
              <w:keepLines w:val="0"/>
              <w:widowControl/>
              <w:suppressLineNumbers w:val="0"/>
              <w:jc w:val="left"/>
              <w:rPr>
                <w:rFonts w:hint="eastAsia" w:ascii="宋体" w:hAnsi="宋体" w:eastAsia="宋体" w:cs="宋体"/>
                <w:b/>
                <w:bCs/>
                <w:color w:val="000000"/>
                <w:kern w:val="0"/>
                <w:sz w:val="21"/>
                <w:szCs w:val="21"/>
                <w:u w:val="single"/>
                <w:lang w:val="en-US" w:eastAsia="zh-CN" w:bidi="ar"/>
              </w:rPr>
            </w:pPr>
          </w:p>
          <w:p>
            <w:pPr>
              <w:keepNext w:val="0"/>
              <w:keepLines w:val="0"/>
              <w:pageBreakBefore w:val="0"/>
              <w:kinsoku/>
              <w:wordWrap/>
              <w:overflowPunct/>
              <w:topLinePunct w:val="0"/>
              <w:bidi w:val="0"/>
              <w:adjustRightInd/>
              <w:spacing w:before="0" w:after="0" w:line="360" w:lineRule="auto"/>
              <w:ind w:right="0"/>
              <w:jc w:val="left"/>
              <w:textAlignment w:val="auto"/>
              <w:rPr>
                <w:rFonts w:hint="eastAsia" w:ascii="宋体" w:hAnsi="宋体" w:eastAsia="宋体" w:cs="宋体"/>
                <w:color w:val="0000FF"/>
                <w:sz w:val="24"/>
                <w:szCs w:val="24"/>
                <w:u w:val="single"/>
                <w:lang w:val="zh-CN" w:eastAsia="zh-CN"/>
              </w:rPr>
            </w:pPr>
            <w:r>
              <w:rPr>
                <w:rFonts w:hint="eastAsia" w:ascii="宋体" w:hAnsi="宋体" w:eastAsia="宋体" w:cs="宋体"/>
                <w:color w:val="0000FF"/>
                <w:sz w:val="24"/>
                <w:szCs w:val="24"/>
                <w:u w:val="single"/>
                <w:lang w:val="zh-CN" w:eastAsia="zh-CN"/>
              </w:rPr>
              <w:t xml:space="preserve">提供优质美味白酒，确保食品卫生安全； </w:t>
            </w:r>
          </w:p>
          <w:p>
            <w:pPr>
              <w:keepNext w:val="0"/>
              <w:keepLines w:val="0"/>
              <w:pageBreakBefore w:val="0"/>
              <w:kinsoku/>
              <w:wordWrap/>
              <w:overflowPunct/>
              <w:topLinePunct w:val="0"/>
              <w:bidi w:val="0"/>
              <w:adjustRightInd/>
              <w:spacing w:before="0" w:after="0" w:line="360" w:lineRule="auto"/>
              <w:ind w:right="0"/>
              <w:jc w:val="left"/>
              <w:textAlignment w:val="auto"/>
              <w:rPr>
                <w:rFonts w:hint="eastAsia" w:ascii="宋体" w:hAnsi="宋体" w:eastAsia="宋体" w:cs="宋体"/>
                <w:color w:val="0000FF"/>
                <w:sz w:val="24"/>
                <w:szCs w:val="24"/>
                <w:u w:val="single"/>
                <w:lang w:val="zh-CN" w:eastAsia="zh-CN"/>
              </w:rPr>
            </w:pPr>
            <w:r>
              <w:rPr>
                <w:rFonts w:hint="eastAsia" w:ascii="宋体" w:hAnsi="宋体" w:eastAsia="宋体" w:cs="宋体"/>
                <w:color w:val="0000FF"/>
                <w:sz w:val="24"/>
                <w:szCs w:val="24"/>
                <w:u w:val="single"/>
                <w:lang w:val="zh-CN" w:eastAsia="zh-CN"/>
              </w:rPr>
              <w:t>创建绿色文明环境，持续改进管理体系；</w:t>
            </w:r>
          </w:p>
          <w:p>
            <w:pPr>
              <w:keepNext w:val="0"/>
              <w:keepLines w:val="0"/>
              <w:pageBreakBefore w:val="0"/>
              <w:kinsoku/>
              <w:wordWrap/>
              <w:overflowPunct/>
              <w:topLinePunct w:val="0"/>
              <w:bidi w:val="0"/>
              <w:adjustRightInd/>
              <w:spacing w:before="0" w:after="0" w:line="360" w:lineRule="auto"/>
              <w:ind w:right="0"/>
              <w:jc w:val="left"/>
              <w:textAlignment w:val="auto"/>
              <w:rPr>
                <w:rFonts w:hint="eastAsia" w:ascii="宋体" w:hAnsi="宋体" w:eastAsia="宋体" w:cs="宋体"/>
                <w:color w:val="0000FF"/>
                <w:sz w:val="24"/>
                <w:szCs w:val="24"/>
                <w:u w:val="single"/>
                <w:lang w:val="zh-CN" w:eastAsia="zh-CN"/>
              </w:rPr>
            </w:pPr>
            <w:r>
              <w:rPr>
                <w:rFonts w:hint="eastAsia" w:ascii="宋体" w:hAnsi="宋体" w:eastAsia="宋体" w:cs="宋体"/>
                <w:color w:val="0000FF"/>
                <w:sz w:val="24"/>
                <w:szCs w:val="24"/>
                <w:u w:val="single"/>
                <w:lang w:val="zh-CN" w:eastAsia="zh-CN"/>
              </w:rPr>
              <w:t xml:space="preserve">遵循环境法规，立足污染预防，追求节能低碳，创建环保品牌； </w:t>
            </w:r>
          </w:p>
          <w:p>
            <w:pPr>
              <w:keepNext w:val="0"/>
              <w:keepLines w:val="0"/>
              <w:pageBreakBefore w:val="0"/>
              <w:kinsoku/>
              <w:wordWrap/>
              <w:overflowPunct/>
              <w:topLinePunct w:val="0"/>
              <w:bidi w:val="0"/>
              <w:adjustRightInd/>
              <w:spacing w:before="0" w:after="0" w:line="360" w:lineRule="auto"/>
              <w:ind w:right="0"/>
              <w:jc w:val="left"/>
              <w:textAlignment w:val="auto"/>
              <w:rPr>
                <w:rFonts w:hint="eastAsia" w:ascii="宋体" w:hAnsi="宋体" w:eastAsia="宋体" w:cs="宋体"/>
                <w:color w:val="0000FF"/>
                <w:sz w:val="24"/>
                <w:szCs w:val="24"/>
                <w:u w:val="single"/>
                <w:lang w:val="zh-CN" w:eastAsia="zh-CN"/>
              </w:rPr>
            </w:pPr>
            <w:r>
              <w:rPr>
                <w:rFonts w:hint="eastAsia" w:ascii="宋体" w:hAnsi="宋体" w:eastAsia="宋体" w:cs="宋体"/>
                <w:color w:val="0000FF"/>
                <w:sz w:val="24"/>
                <w:szCs w:val="24"/>
                <w:u w:val="single"/>
                <w:lang w:val="zh-CN" w:eastAsia="zh-CN"/>
              </w:rPr>
              <w:t>倡导以人为本，关爱员工健康，和谐持续发展，彰显社会责任。</w:t>
            </w:r>
          </w:p>
          <w:p>
            <w:pPr>
              <w:rPr>
                <w:rFonts w:ascii="宋体" w:hAnsi="宋体"/>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方针合理恰当并为相应的质量</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pPr>
              <w:rPr>
                <w:rFonts w:hint="eastAsia"/>
              </w:rPr>
            </w:pPr>
            <w:r>
              <w:rPr>
                <w:rFonts w:hint="eastAsia"/>
              </w:rPr>
              <w:t>☑解决需求确保食品安全相关的能力（FSMS）</w:t>
            </w:r>
          </w:p>
          <w:p>
            <w:pPr>
              <w:rPr>
                <w:rFonts w:hint="eastAsia" w:eastAsia="宋体"/>
                <w:vertAlign w:val="baseline"/>
                <w:lang w:val="en-US" w:eastAsia="zh-CN"/>
              </w:rPr>
            </w:pPr>
            <w:r>
              <w:rPr>
                <w:rFonts w:hint="eastAsia"/>
                <w:shd w:val="clear"/>
                <w:lang w:eastAsia="zh-CN"/>
              </w:rPr>
              <w:t>☑</w:t>
            </w:r>
            <w:r>
              <w:rPr>
                <w:color w:val="000000"/>
                <w:spacing w:val="0"/>
                <w:w w:val="100"/>
                <w:position w:val="0"/>
              </w:rPr>
              <w:t>适合于组织的宗旨和所处的环境</w:t>
            </w:r>
            <w:r>
              <w:rPr>
                <w:color w:val="000000"/>
                <w:spacing w:val="0"/>
                <w:w w:val="100"/>
                <w:position w:val="0"/>
                <w:lang w:val="zh-CN" w:eastAsia="zh-CN" w:bidi="zh-CN"/>
              </w:rPr>
              <w:t>.包括</w:t>
            </w:r>
            <w:r>
              <w:rPr>
                <w:color w:val="000000"/>
                <w:spacing w:val="0"/>
                <w:w w:val="100"/>
                <w:position w:val="0"/>
              </w:rPr>
              <w:t>其活动、产品和服务的性质、规模和环境影响</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为制定环境目标提供框架</w:t>
            </w:r>
            <w:r>
              <w:rPr>
                <w:rFonts w:hint="eastAsia"/>
                <w:vertAlign w:val="baseline"/>
                <w:lang w:val="en-GB" w:eastAsia="zh-CN"/>
              </w:rPr>
              <w:t>。</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包括保护环境的承诺，其中包含污染预防及其他与组织所处环境有关的特定承诺</w:t>
            </w:r>
            <w:r>
              <w:rPr>
                <w:rFonts w:hint="eastAsia"/>
                <w:vertAlign w:val="baseline"/>
                <w:lang w:val="en-US" w:eastAsia="zh-CN"/>
              </w:rPr>
              <w:t>；</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rFonts w:hint="eastAsia"/>
                <w:vertAlign w:val="baseline"/>
                <w:lang w:val="en-US" w:eastAsia="zh-CN"/>
              </w:rPr>
              <w:t>包括持续改进质量管理体系的承诺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包括履行其合规义务的承诺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包括持续改进环境管理体系以提升环境绩效的</w:t>
            </w:r>
            <w:r>
              <w:rPr>
                <w:color w:val="000000"/>
                <w:spacing w:val="0"/>
                <w:w w:val="100"/>
                <w:position w:val="0"/>
                <w:lang w:val="zh-CN" w:eastAsia="zh-CN" w:bidi="zh-CN"/>
              </w:rPr>
              <w:t>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color w:val="auto"/>
                <w:highlight w:val="none"/>
                <w:lang w:eastAsia="zh-CN"/>
              </w:rPr>
            </w:pPr>
            <w:r>
              <w:rPr>
                <w:rFonts w:hint="eastAsia"/>
              </w:rPr>
              <w:t>☑</w:t>
            </w:r>
            <w:r>
              <w:rPr>
                <w:rFonts w:hint="eastAsia"/>
                <w:color w:val="auto"/>
                <w:highlight w:val="none"/>
                <w:shd w:val="clear"/>
                <w:lang w:eastAsia="zh-CN"/>
              </w:rPr>
              <w:t>☑</w:t>
            </w:r>
            <w:r>
              <w:rPr>
                <w:rFonts w:hint="eastAsia"/>
                <w:color w:val="auto"/>
                <w:highlight w:val="none"/>
              </w:rPr>
              <w:t>包括为防止与工作相关的伤害和健康损害而提供安全和健康的工作条件的承诺，并适合于组织的宗旨和规模、组织所处的环境，以及组织</w:t>
            </w:r>
            <w:r>
              <w:rPr>
                <w:color w:val="auto"/>
                <w:highlight w:val="none"/>
              </w:rPr>
              <w:t>的</w:t>
            </w:r>
            <w:r>
              <w:rPr>
                <w:rFonts w:hint="eastAsia"/>
                <w:color w:val="auto"/>
                <w:highlight w:val="none"/>
              </w:rPr>
              <w:t>职业健康安全风险和职业健康安全机遇的特性</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vertAlign w:val="baseline"/>
                <w:lang w:val="en-US" w:eastAsia="zh-CN"/>
              </w:rPr>
            </w:pPr>
            <w:r>
              <w:rPr>
                <w:rFonts w:hint="eastAsia"/>
                <w:color w:val="auto"/>
                <w:highlight w:val="none"/>
                <w:shd w:val="clear"/>
                <w:lang w:eastAsia="zh-CN"/>
              </w:rPr>
              <w:sym w:font="Wingdings 2" w:char="0052"/>
            </w:r>
            <w:r>
              <w:rPr>
                <w:rFonts w:hint="eastAsia"/>
                <w:color w:val="auto"/>
                <w:highlight w:val="none"/>
              </w:rPr>
              <w:t>包括为制定职业健康安全目标提供框架；</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包括满足法律法规要求和其他要求的承诺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color w:val="auto"/>
                <w:spacing w:val="0"/>
                <w:w w:val="100"/>
                <w:position w:val="0"/>
                <w:highlight w:val="none"/>
              </w:rPr>
            </w:pPr>
            <w:r>
              <w:rPr>
                <w:rFonts w:hint="eastAsia"/>
                <w:color w:val="auto"/>
                <w:highlight w:val="none"/>
                <w:shd w:val="clear"/>
                <w:lang w:eastAsia="zh-CN"/>
              </w:rPr>
              <w:t>☑</w:t>
            </w:r>
            <w:r>
              <w:rPr>
                <w:rFonts w:hint="eastAsia"/>
                <w:color w:val="auto"/>
                <w:highlight w:val="none"/>
              </w:rPr>
              <w:t>包括消除危险源和降低职业健康安全风险的承诺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包括持续改进职业健康安全管理体系的承诺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lang w:eastAsia="zh-CN"/>
              </w:rPr>
            </w:pPr>
            <w:r>
              <w:rPr>
                <w:rFonts w:hint="eastAsia"/>
                <w:color w:val="auto"/>
                <w:highlight w:val="none"/>
                <w:shd w:val="clear"/>
                <w:lang w:eastAsia="zh-CN"/>
              </w:rPr>
              <w:t>☑</w:t>
            </w:r>
            <w:r>
              <w:rPr>
                <w:rFonts w:hint="eastAsia"/>
                <w:color w:val="auto"/>
                <w:highlight w:val="none"/>
              </w:rPr>
              <w:t>包括工作人员及其代表（若有）的协商和参与的承诺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shd w:val="clear"/>
              <w:spacing w:line="240" w:lineRule="auto"/>
              <w:rPr>
                <w:rFonts w:hint="eastAsia" w:eastAsia="宋体"/>
                <w:color w:val="auto"/>
                <w:lang w:eastAsia="zh-CN"/>
              </w:rPr>
            </w:pPr>
            <w:r>
              <w:rPr>
                <w:rFonts w:hint="eastAsia"/>
                <w:color w:val="auto"/>
              </w:rPr>
              <w:sym w:font="Wingdings 2" w:char="0052"/>
            </w:r>
            <w:r>
              <w:rPr>
                <w:rFonts w:hint="eastAsia"/>
                <w:color w:val="auto"/>
              </w:rPr>
              <w:t xml:space="preserve"> 包含满足法律法规要求和顾客要求相关的食品安全承诺；</w:t>
            </w:r>
            <w:r>
              <w:rPr>
                <w:rFonts w:hint="eastAsia"/>
                <w:color w:val="auto"/>
                <w:lang w:eastAsia="zh-CN"/>
              </w:rPr>
              <w:t>（</w:t>
            </w:r>
            <w:r>
              <w:rPr>
                <w:rFonts w:hint="eastAsia"/>
                <w:color w:val="auto"/>
                <w:lang w:val="en-US" w:eastAsia="zh-CN"/>
              </w:rPr>
              <w:t>HACCP体系</w:t>
            </w:r>
            <w:r>
              <w:rPr>
                <w:rFonts w:hint="eastAsia"/>
                <w:color w:val="auto"/>
                <w:lang w:eastAsia="zh-CN"/>
              </w:rPr>
              <w:t>）</w:t>
            </w:r>
          </w:p>
          <w:p>
            <w:pPr>
              <w:shd w:val="clear"/>
              <w:spacing w:line="240" w:lineRule="auto"/>
              <w:rPr>
                <w:rFonts w:hint="eastAsia"/>
                <w:color w:val="auto"/>
                <w:highlight w:val="none"/>
                <w:lang w:eastAsia="zh-CN"/>
              </w:rPr>
            </w:pPr>
            <w:r>
              <w:rPr>
                <w:rFonts w:hint="eastAsia"/>
                <w:color w:val="auto"/>
              </w:rPr>
              <w:sym w:font="Wingdings 2" w:char="0052"/>
            </w:r>
            <w:r>
              <w:rPr>
                <w:rFonts w:hint="eastAsia"/>
                <w:color w:val="auto"/>
              </w:rPr>
              <w:t xml:space="preserve"> 在持续适宜性方面得到评审。</w:t>
            </w:r>
            <w:r>
              <w:rPr>
                <w:rFonts w:hint="eastAsia"/>
                <w:color w:val="auto"/>
                <w:lang w:eastAsia="zh-CN"/>
              </w:rPr>
              <w:t>（</w:t>
            </w:r>
            <w:r>
              <w:rPr>
                <w:rFonts w:hint="eastAsia"/>
                <w:color w:val="auto"/>
                <w:lang w:val="en-US" w:eastAsia="zh-CN"/>
              </w:rPr>
              <w:t>HACCP体系</w:t>
            </w:r>
            <w:r>
              <w:rPr>
                <w:rFonts w:hint="eastAsia"/>
                <w:color w:val="auto"/>
                <w:lang w:eastAsia="zh-CN"/>
              </w:rPr>
              <w:t>）</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FE"/>
            </w:r>
            <w:r>
              <w:rPr>
                <w:rFonts w:hint="eastAsia"/>
              </w:rPr>
              <w:t>其他</w:t>
            </w:r>
            <w:r>
              <w:rPr>
                <w:rFonts w:hint="eastAsia"/>
                <w:lang w:eastAsia="zh-CN"/>
              </w:rPr>
              <w:t>——</w:t>
            </w:r>
            <w:r>
              <w:rPr>
                <w:rFonts w:hint="eastAsia"/>
                <w:lang w:val="en-US" w:eastAsia="zh-CN"/>
              </w:rPr>
              <w:t>合同、招投标书等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rPr>
              <w:t>组织的岗位、职责和权限</w:t>
            </w:r>
          </w:p>
          <w:p/>
        </w:tc>
        <w:tc>
          <w:tcPr>
            <w:tcW w:w="1129" w:type="dxa"/>
            <w:vMerge w:val="restart"/>
            <w:shd w:val="clear" w:color="auto" w:fill="auto"/>
          </w:tcPr>
          <w:p>
            <w:r>
              <w:rPr>
                <w:rFonts w:hint="eastAsia"/>
              </w:rPr>
              <w:t>Q</w:t>
            </w:r>
            <w:r>
              <w:rPr>
                <w:rFonts w:hint="eastAsia"/>
                <w:lang w:val="en-US" w:eastAsia="zh-CN"/>
              </w:rPr>
              <w:t>EOF</w:t>
            </w:r>
            <w:r>
              <w:rPr>
                <w:rFonts w:hint="eastAsia"/>
              </w:rPr>
              <w:t>5.3</w:t>
            </w:r>
          </w:p>
          <w:p>
            <w:pPr>
              <w:shd w:val="clear"/>
              <w:rPr>
                <w:rFonts w:hint="eastAsia"/>
                <w:lang w:val="en-US" w:eastAsia="zh-CN"/>
              </w:rPr>
            </w:pPr>
            <w:r>
              <w:rPr>
                <w:rFonts w:hint="eastAsia"/>
                <w:lang w:val="en-US" w:eastAsia="zh-CN"/>
              </w:rPr>
              <w:t>H(V1.0)</w:t>
            </w:r>
          </w:p>
          <w:p>
            <w:pPr>
              <w:pStyle w:val="9"/>
            </w:pPr>
            <w:r>
              <w:rPr>
                <w:rFonts w:hint="eastAsia"/>
              </w:rPr>
              <w:t xml:space="preserve">2.5.1 </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2"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最高管理者确定了组织架构及相关岗位的职责、权限，并进行了全员的沟通和理解；</w:t>
            </w:r>
          </w:p>
          <w:p>
            <w:pPr>
              <w:rPr>
                <w:rFonts w:hint="default"/>
                <w:lang w:val="en-US" w:eastAsia="zh-CN"/>
              </w:rPr>
            </w:pPr>
            <w:r>
              <w:rPr>
                <w:rFonts w:hint="eastAsia"/>
              </w:rPr>
              <w:t>如：</w:t>
            </w:r>
            <w:r>
              <w:rPr>
                <w:rFonts w:hint="eastAsia"/>
                <w:lang w:val="en-US" w:eastAsia="zh-CN"/>
              </w:rPr>
              <w:t>QMS</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655"/>
              <w:gridCol w:w="2580"/>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547" w:type="dxa"/>
                </w:tcPr>
                <w:p>
                  <w:r>
                    <w:rPr>
                      <w:rFonts w:hint="eastAsia"/>
                    </w:rPr>
                    <w:t>过程名称</w:t>
                  </w:r>
                </w:p>
              </w:tc>
              <w:tc>
                <w:tcPr>
                  <w:tcW w:w="1655" w:type="dxa"/>
                </w:tcPr>
                <w:p>
                  <w:r>
                    <w:rPr>
                      <w:rFonts w:hint="eastAsia"/>
                    </w:rPr>
                    <w:t>主管部门名称</w:t>
                  </w:r>
                </w:p>
              </w:tc>
              <w:tc>
                <w:tcPr>
                  <w:tcW w:w="2580"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质量管理体系策划和推动</w:t>
                  </w:r>
                </w:p>
              </w:tc>
              <w:tc>
                <w:tcPr>
                  <w:tcW w:w="1655" w:type="dxa"/>
                </w:tcPr>
                <w:p>
                  <w:pPr>
                    <w:rPr>
                      <w:rFonts w:hint="default" w:eastAsia="宋体"/>
                      <w:lang w:val="en-US" w:eastAsia="zh-CN"/>
                    </w:rPr>
                  </w:pPr>
                  <w:r>
                    <w:rPr>
                      <w:rFonts w:hint="eastAsia"/>
                      <w:lang w:val="en-US" w:eastAsia="zh-CN"/>
                    </w:rPr>
                    <w:t>质检部</w:t>
                  </w:r>
                </w:p>
              </w:tc>
              <w:tc>
                <w:tcPr>
                  <w:tcW w:w="2580" w:type="dxa"/>
                </w:tcPr>
                <w:p>
                  <w:r>
                    <w:rPr>
                      <w:rFonts w:hint="eastAsia"/>
                    </w:rPr>
                    <w:t>生产/服务设计开发过程</w:t>
                  </w:r>
                </w:p>
              </w:tc>
              <w:tc>
                <w:tcPr>
                  <w:tcW w:w="2261" w:type="dxa"/>
                </w:tcPr>
                <w:p>
                  <w:pPr>
                    <w:rPr>
                      <w:rFonts w:hint="default"/>
                      <w:lang w:val="en-US" w:eastAsia="zh-CN"/>
                    </w:rPr>
                  </w:pPr>
                  <w:r>
                    <w:rPr>
                      <w:rFonts w:hint="eastAsia"/>
                      <w:lang w:val="en-US" w:eastAsia="zh-CN"/>
                    </w:rPr>
                    <w:t>生产管理部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547" w:type="dxa"/>
                </w:tcPr>
                <w:p>
                  <w:r>
                    <w:rPr>
                      <w:rFonts w:hint="eastAsia"/>
                    </w:rPr>
                    <w:t>顾客满意调查分析</w:t>
                  </w:r>
                </w:p>
              </w:tc>
              <w:tc>
                <w:tcPr>
                  <w:tcW w:w="1655" w:type="dxa"/>
                </w:tcPr>
                <w:p>
                  <w:pPr>
                    <w:rPr>
                      <w:rFonts w:hint="default"/>
                      <w:lang w:val="en-US" w:eastAsia="zh-CN"/>
                    </w:rPr>
                  </w:pPr>
                  <w:r>
                    <w:rPr>
                      <w:rFonts w:hint="eastAsia"/>
                      <w:lang w:val="en-US" w:eastAsia="zh-CN"/>
                    </w:rPr>
                    <w:t>市场部</w:t>
                  </w:r>
                </w:p>
              </w:tc>
              <w:tc>
                <w:tcPr>
                  <w:tcW w:w="2580" w:type="dxa"/>
                </w:tcPr>
                <w:p>
                  <w:r>
                    <w:rPr>
                      <w:rFonts w:hint="eastAsia"/>
                    </w:rPr>
                    <w:t>生产/服务提供过程</w:t>
                  </w:r>
                </w:p>
              </w:tc>
              <w:tc>
                <w:tcPr>
                  <w:tcW w:w="2261" w:type="dxa"/>
                </w:tcPr>
                <w:p>
                  <w:pPr>
                    <w:rPr>
                      <w:rFonts w:hint="default"/>
                      <w:lang w:val="en-US" w:eastAsia="zh-CN"/>
                    </w:rPr>
                  </w:pPr>
                  <w:r>
                    <w:rPr>
                      <w:rFonts w:hint="eastAsia"/>
                      <w:lang w:val="en-US" w:eastAsia="zh-CN"/>
                    </w:rPr>
                    <w:t>生产管理部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外部供方控制</w:t>
                  </w:r>
                </w:p>
              </w:tc>
              <w:tc>
                <w:tcPr>
                  <w:tcW w:w="1655" w:type="dxa"/>
                </w:tcPr>
                <w:p>
                  <w:pPr>
                    <w:rPr>
                      <w:rFonts w:hint="default"/>
                      <w:lang w:val="en-US" w:eastAsia="zh-CN"/>
                    </w:rPr>
                  </w:pPr>
                  <w:r>
                    <w:rPr>
                      <w:rFonts w:hint="eastAsia"/>
                      <w:lang w:val="en-US" w:eastAsia="zh-CN"/>
                    </w:rPr>
                    <w:t>采购供应部</w:t>
                  </w:r>
                </w:p>
              </w:tc>
              <w:tc>
                <w:tcPr>
                  <w:tcW w:w="2580" w:type="dxa"/>
                </w:tcPr>
                <w:p>
                  <w:r>
                    <w:rPr>
                      <w:rFonts w:hint="eastAsia"/>
                    </w:rPr>
                    <w:t>生产/服务放行过程</w:t>
                  </w:r>
                </w:p>
              </w:tc>
              <w:tc>
                <w:tcPr>
                  <w:tcW w:w="2261" w:type="dxa"/>
                </w:tcPr>
                <w:p>
                  <w:pPr>
                    <w:rPr>
                      <w:rFonts w:hint="eastAsia"/>
                      <w:lang w:eastAsia="zh-CN"/>
                    </w:rPr>
                  </w:pPr>
                  <w:r>
                    <w:rPr>
                      <w:rFonts w:hint="eastAsia"/>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1655" w:type="dxa"/>
                </w:tcPr>
                <w:p/>
              </w:tc>
              <w:tc>
                <w:tcPr>
                  <w:tcW w:w="2580" w:type="dxa"/>
                </w:tcPr>
                <w:p>
                  <w:pPr>
                    <w:rPr>
                      <w:rFonts w:hint="default" w:eastAsia="宋体"/>
                      <w:highlight w:val="none"/>
                      <w:lang w:val="en-US" w:eastAsia="zh-CN"/>
                    </w:rPr>
                  </w:pPr>
                  <w:r>
                    <w:rPr>
                      <w:rFonts w:hint="eastAsia"/>
                      <w:highlight w:val="none"/>
                      <w:lang w:val="en-US" w:eastAsia="zh-CN"/>
                    </w:rPr>
                    <w:t>配送过程</w:t>
                  </w:r>
                </w:p>
              </w:tc>
              <w:tc>
                <w:tcPr>
                  <w:tcW w:w="2261" w:type="dxa"/>
                </w:tcPr>
                <w:p>
                  <w:pPr>
                    <w:rPr>
                      <w:rFonts w:hint="default" w:eastAsia="宋体"/>
                      <w:highlight w:val="none"/>
                      <w:lang w:val="en-US" w:eastAsia="zh-CN"/>
                    </w:rPr>
                  </w:pPr>
                  <w:r>
                    <w:rPr>
                      <w:rFonts w:hint="eastAsia"/>
                      <w:highlight w:val="none"/>
                      <w:lang w:val="en-US" w:eastAsia="zh-CN"/>
                    </w:rPr>
                    <w:t>——</w:t>
                  </w:r>
                </w:p>
              </w:tc>
            </w:tr>
          </w:tbl>
          <w:p>
            <w:pPr>
              <w:rPr>
                <w:rFonts w:hint="eastAsia"/>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赵福培先生   </w:t>
            </w:r>
            <w:r>
              <w:rPr>
                <w:rFonts w:hint="eastAsia"/>
                <w:lang w:val="en-US" w:eastAsia="zh-CN"/>
              </w:rPr>
              <w:sym w:font="Wingdings" w:char="00A8"/>
            </w:r>
            <w:r>
              <w:rPr>
                <w:rFonts w:hint="eastAsia"/>
                <w:lang w:val="en-US" w:eastAsia="zh-CN"/>
              </w:rPr>
              <w:t>各部门</w:t>
            </w:r>
          </w:p>
          <w:p>
            <w:pPr>
              <w:rPr>
                <w:rFonts w:hint="eastAsia"/>
                <w:lang w:val="en-US" w:eastAsia="zh-CN"/>
              </w:rPr>
            </w:pPr>
          </w:p>
          <w:p>
            <w:pPr>
              <w:rPr>
                <w:rFonts w:hint="default"/>
                <w:highlight w:val="none"/>
                <w:lang w:val="en-US" w:eastAsia="zh-CN"/>
              </w:rPr>
            </w:pPr>
            <w:r>
              <w:rPr>
                <w:rFonts w:hint="eastAsia"/>
                <w:lang w:val="en-US" w:eastAsia="zh-CN"/>
              </w:rPr>
              <w:t>FSMS/HACCP</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过程名称</w:t>
                  </w:r>
                </w:p>
              </w:tc>
              <w:tc>
                <w:tcPr>
                  <w:tcW w:w="2261" w:type="dxa"/>
                </w:tcPr>
                <w:p>
                  <w:pPr>
                    <w:rPr>
                      <w:highlight w:val="none"/>
                    </w:rPr>
                  </w:pPr>
                  <w:r>
                    <w:rPr>
                      <w:rFonts w:hint="eastAsia"/>
                      <w:highlight w:val="none"/>
                    </w:rPr>
                    <w:t>主管部门名称</w:t>
                  </w:r>
                </w:p>
              </w:tc>
              <w:tc>
                <w:tcPr>
                  <w:tcW w:w="2261" w:type="dxa"/>
                </w:tcPr>
                <w:p>
                  <w:pPr>
                    <w:rPr>
                      <w:highlight w:val="none"/>
                    </w:rPr>
                  </w:pPr>
                  <w:r>
                    <w:rPr>
                      <w:rFonts w:hint="eastAsia"/>
                      <w:highlight w:val="none"/>
                    </w:rPr>
                    <w:t>过程名称</w:t>
                  </w:r>
                </w:p>
              </w:tc>
              <w:tc>
                <w:tcPr>
                  <w:tcW w:w="2261" w:type="dxa"/>
                </w:tcPr>
                <w:p>
                  <w:pPr>
                    <w:rPr>
                      <w:highlight w:val="none"/>
                    </w:rPr>
                  </w:pPr>
                  <w:r>
                    <w:rPr>
                      <w:rFonts w:hint="eastAsia"/>
                      <w:highlight w:val="none"/>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食品安全管理体系</w:t>
                  </w:r>
                  <w:r>
                    <w:rPr>
                      <w:rFonts w:hint="eastAsia"/>
                      <w:highlight w:val="none"/>
                      <w:lang w:val="en-US" w:eastAsia="zh-CN"/>
                    </w:rPr>
                    <w:t>/HACCP体系</w:t>
                  </w:r>
                  <w:r>
                    <w:rPr>
                      <w:rFonts w:hint="eastAsia"/>
                      <w:highlight w:val="none"/>
                    </w:rPr>
                    <w:t>策划和推动</w:t>
                  </w:r>
                </w:p>
              </w:tc>
              <w:tc>
                <w:tcPr>
                  <w:tcW w:w="2261" w:type="dxa"/>
                </w:tcPr>
                <w:p>
                  <w:pPr>
                    <w:rPr>
                      <w:rFonts w:hint="default" w:eastAsia="宋体"/>
                      <w:highlight w:val="none"/>
                      <w:lang w:val="en-US" w:eastAsia="zh-CN"/>
                    </w:rPr>
                  </w:pPr>
                  <w:r>
                    <w:rPr>
                      <w:rFonts w:hint="eastAsia"/>
                      <w:highlight w:val="none"/>
                    </w:rPr>
                    <w:t>食品安全小组</w:t>
                  </w:r>
                  <w:r>
                    <w:rPr>
                      <w:rFonts w:hint="eastAsia"/>
                      <w:highlight w:val="none"/>
                      <w:lang w:val="en-US" w:eastAsia="zh-CN"/>
                    </w:rPr>
                    <w:t>/HACCP小组</w:t>
                  </w:r>
                </w:p>
              </w:tc>
              <w:tc>
                <w:tcPr>
                  <w:tcW w:w="2261" w:type="dxa"/>
                </w:tcPr>
                <w:p>
                  <w:pPr>
                    <w:rPr>
                      <w:highlight w:val="none"/>
                    </w:rPr>
                  </w:pPr>
                  <w:r>
                    <w:rPr>
                      <w:rFonts w:hint="eastAsia"/>
                      <w:highlight w:val="none"/>
                    </w:rPr>
                    <w:t>OPRP和HACCP的实施</w:t>
                  </w:r>
                </w:p>
              </w:tc>
              <w:tc>
                <w:tcPr>
                  <w:tcW w:w="2261" w:type="dxa"/>
                </w:tcPr>
                <w:p>
                  <w:pPr>
                    <w:rPr>
                      <w:rFonts w:hint="default"/>
                      <w:highlight w:val="none"/>
                      <w:lang w:val="en-US" w:eastAsia="zh-CN"/>
                    </w:rPr>
                  </w:pPr>
                  <w:r>
                    <w:rPr>
                      <w:rFonts w:hint="eastAsia"/>
                      <w:lang w:val="en-US" w:eastAsia="zh-CN"/>
                    </w:rPr>
                    <w:t>生产管理部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采购控制</w:t>
                  </w:r>
                </w:p>
              </w:tc>
              <w:tc>
                <w:tcPr>
                  <w:tcW w:w="2261" w:type="dxa"/>
                </w:tcPr>
                <w:p>
                  <w:pPr>
                    <w:rPr>
                      <w:rFonts w:hint="default"/>
                      <w:highlight w:val="none"/>
                      <w:lang w:val="en-US" w:eastAsia="zh-CN"/>
                    </w:rPr>
                  </w:pPr>
                  <w:r>
                    <w:rPr>
                      <w:rFonts w:hint="eastAsia"/>
                      <w:highlight w:val="none"/>
                      <w:lang w:val="en-US" w:eastAsia="zh-CN"/>
                    </w:rPr>
                    <w:t>采购供应部</w:t>
                  </w:r>
                </w:p>
              </w:tc>
              <w:tc>
                <w:tcPr>
                  <w:tcW w:w="2261" w:type="dxa"/>
                </w:tcPr>
                <w:p>
                  <w:pPr>
                    <w:rPr>
                      <w:highlight w:val="none"/>
                    </w:rPr>
                  </w:pPr>
                  <w:r>
                    <w:rPr>
                      <w:rFonts w:hint="eastAsia"/>
                      <w:highlight w:val="none"/>
                    </w:rPr>
                    <w:t>FSMS验证和确认</w:t>
                  </w:r>
                </w:p>
              </w:tc>
              <w:tc>
                <w:tcPr>
                  <w:tcW w:w="2261" w:type="dxa"/>
                </w:tcPr>
                <w:p>
                  <w:pPr>
                    <w:rPr>
                      <w:rFonts w:hint="default" w:eastAsia="宋体"/>
                      <w:highlight w:val="none"/>
                      <w:lang w:val="en-US" w:eastAsia="zh-CN"/>
                    </w:rPr>
                  </w:pPr>
                  <w:r>
                    <w:rPr>
                      <w:rFonts w:hint="eastAsia"/>
                      <w:highlight w:val="none"/>
                    </w:rPr>
                    <w:t>食品安全小组</w:t>
                  </w:r>
                  <w:r>
                    <w:rPr>
                      <w:rFonts w:hint="eastAsia"/>
                      <w:highlight w:val="none"/>
                      <w:lang w:val="en-US" w:eastAsia="zh-CN"/>
                    </w:rPr>
                    <w:t>/HACCP小组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highlight w:val="none"/>
                    </w:rPr>
                  </w:pPr>
                  <w:r>
                    <w:rPr>
                      <w:rFonts w:hint="eastAsia"/>
                      <w:highlight w:val="none"/>
                    </w:rPr>
                    <w:t>人员健康</w:t>
                  </w:r>
                </w:p>
              </w:tc>
              <w:tc>
                <w:tcPr>
                  <w:tcW w:w="2261" w:type="dxa"/>
                </w:tcPr>
                <w:p>
                  <w:pPr>
                    <w:rPr>
                      <w:rFonts w:hint="default" w:eastAsia="宋体"/>
                      <w:highlight w:val="none"/>
                      <w:lang w:val="en-US" w:eastAsia="zh-CN"/>
                    </w:rPr>
                  </w:pPr>
                  <w:r>
                    <w:rPr>
                      <w:rFonts w:hint="eastAsia"/>
                      <w:highlight w:val="none"/>
                      <w:lang w:val="en-US" w:eastAsia="zh-CN"/>
                    </w:rPr>
                    <w:t>组织人事部</w:t>
                  </w:r>
                </w:p>
              </w:tc>
              <w:tc>
                <w:tcPr>
                  <w:tcW w:w="2261" w:type="dxa"/>
                </w:tcPr>
                <w:p>
                  <w:pPr>
                    <w:rPr>
                      <w:highlight w:val="none"/>
                    </w:rPr>
                  </w:pPr>
                  <w:r>
                    <w:rPr>
                      <w:rFonts w:hint="eastAsia"/>
                      <w:highlight w:val="none"/>
                    </w:rPr>
                    <w:t>基础设施</w:t>
                  </w:r>
                </w:p>
              </w:tc>
              <w:tc>
                <w:tcPr>
                  <w:tcW w:w="2261" w:type="dxa"/>
                </w:tcPr>
                <w:p>
                  <w:pPr>
                    <w:rPr>
                      <w:rFonts w:hint="default"/>
                      <w:highlight w:val="none"/>
                      <w:lang w:val="en-US" w:eastAsia="zh-CN"/>
                    </w:rPr>
                  </w:pPr>
                  <w:r>
                    <w:rPr>
                      <w:rFonts w:hint="eastAsia"/>
                      <w:highlight w:val="none"/>
                      <w:lang w:val="en-US" w:eastAsia="zh-CN"/>
                    </w:rPr>
                    <w:t>设备能源部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rFonts w:hint="default" w:eastAsia="宋体"/>
                      <w:highlight w:val="none"/>
                      <w:lang w:val="en-US" w:eastAsia="zh-CN"/>
                    </w:rPr>
                  </w:pPr>
                  <w:r>
                    <w:rPr>
                      <w:rFonts w:hint="eastAsia"/>
                      <w:highlight w:val="none"/>
                      <w:lang w:val="en-US" w:eastAsia="zh-CN"/>
                    </w:rPr>
                    <w:t>顾客投诉</w:t>
                  </w:r>
                </w:p>
              </w:tc>
              <w:tc>
                <w:tcPr>
                  <w:tcW w:w="2261" w:type="dxa"/>
                </w:tcPr>
                <w:p>
                  <w:pPr>
                    <w:rPr>
                      <w:rFonts w:hint="eastAsia" w:eastAsia="宋体"/>
                      <w:highlight w:val="none"/>
                      <w:lang w:val="en-US" w:eastAsia="zh-CN"/>
                    </w:rPr>
                  </w:pPr>
                  <w:r>
                    <w:rPr>
                      <w:rFonts w:hint="eastAsia"/>
                      <w:highlight w:val="none"/>
                      <w:lang w:val="en-US" w:eastAsia="zh-CN"/>
                    </w:rPr>
                    <w:t>市场部</w:t>
                  </w:r>
                </w:p>
              </w:tc>
              <w:tc>
                <w:tcPr>
                  <w:tcW w:w="2261" w:type="dxa"/>
                </w:tcPr>
                <w:p>
                  <w:pPr>
                    <w:rPr>
                      <w:rFonts w:hint="eastAsia" w:eastAsia="宋体"/>
                      <w:highlight w:val="none"/>
                      <w:lang w:val="en-US" w:eastAsia="zh-CN"/>
                    </w:rPr>
                  </w:pPr>
                  <w:r>
                    <w:rPr>
                      <w:rFonts w:hint="eastAsia"/>
                      <w:highlight w:val="none"/>
                      <w:lang w:val="en-US" w:eastAsia="zh-CN"/>
                    </w:rPr>
                    <w:t>生产/服务放行</w:t>
                  </w:r>
                </w:p>
              </w:tc>
              <w:tc>
                <w:tcPr>
                  <w:tcW w:w="2261" w:type="dxa"/>
                </w:tcPr>
                <w:p>
                  <w:pPr>
                    <w:rPr>
                      <w:rFonts w:hint="default" w:eastAsia="宋体"/>
                      <w:highlight w:val="none"/>
                      <w:lang w:val="en-US" w:eastAsia="zh-CN"/>
                    </w:rPr>
                  </w:pPr>
                  <w:r>
                    <w:rPr>
                      <w:rFonts w:hint="eastAsia"/>
                      <w:highlight w:val="none"/>
                      <w:lang w:val="en-US" w:eastAsia="zh-CN"/>
                    </w:rPr>
                    <w:t>质检部</w:t>
                  </w:r>
                </w:p>
              </w:tc>
            </w:tr>
          </w:tbl>
          <w:p>
            <w:pPr>
              <w:rPr>
                <w:rFonts w:hint="eastAsia"/>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刘磊先生   </w:t>
            </w:r>
            <w:r>
              <w:rPr>
                <w:rFonts w:hint="eastAsia"/>
                <w:lang w:val="en-US" w:eastAsia="zh-CN"/>
              </w:rPr>
              <w:sym w:font="Wingdings" w:char="00A8"/>
            </w:r>
            <w:r>
              <w:rPr>
                <w:rFonts w:hint="eastAsia"/>
                <w:lang w:val="en-US" w:eastAsia="zh-CN"/>
              </w:rPr>
              <w:t>各部门</w:t>
            </w:r>
          </w:p>
          <w:p>
            <w:pPr>
              <w:rPr>
                <w:highlight w:val="none"/>
              </w:rPr>
            </w:pPr>
          </w:p>
          <w:p>
            <w:pPr>
              <w:rPr>
                <w:rFonts w:hint="eastAsia"/>
                <w:highlight w:val="none"/>
                <w:lang w:val="en-US" w:eastAsia="zh-CN"/>
              </w:rPr>
            </w:pPr>
          </w:p>
          <w:p>
            <w:pPr>
              <w:rPr>
                <w:rFonts w:hint="eastAsia"/>
                <w:highlight w:val="none"/>
                <w:lang w:val="en-US" w:eastAsia="zh-CN"/>
              </w:rPr>
            </w:pPr>
            <w:r>
              <w:rPr>
                <w:rFonts w:hint="eastAsia"/>
                <w:highlight w:val="none"/>
                <w:lang w:val="en-US" w:eastAsia="zh-CN"/>
              </w:rPr>
              <w:t>EMS</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环境管理体系策划和推动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安全环保部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生产/服务设计开发过程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lang w:val="en-US" w:eastAsia="zh-CN"/>
                    </w:rPr>
                    <w:t>生产管理部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公用工程过程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设备能源部、工程建设部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生产/服务提供过程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lang w:val="en-US" w:eastAsia="zh-CN"/>
                    </w:rPr>
                    <w:t>生产管理部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外部供方控制</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供应采购部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产品/服务放行</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lang w:val="en-US"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消防</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r>
                    <w:rPr>
                      <w:rFonts w:hint="eastAsia"/>
                      <w:highlight w:val="none"/>
                      <w:vertAlign w:val="baseline"/>
                      <w:lang w:val="en-US" w:eastAsia="zh-CN"/>
                    </w:rPr>
                    <w:t>设备能源部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highlight w:val="none"/>
                      <w:vertAlign w:val="baseline"/>
                      <w:lang w:val="en-US" w:eastAsia="zh-CN"/>
                    </w:rPr>
                  </w:pPr>
                </w:p>
              </w:tc>
            </w:tr>
          </w:tbl>
          <w:p>
            <w:pPr>
              <w:pStyle w:val="9"/>
              <w:rPr>
                <w:rFonts w:hint="eastAsia"/>
                <w:sz w:val="21"/>
                <w:szCs w:val="21"/>
                <w:highlight w:val="yellow"/>
                <w:lang w:val="en-US" w:eastAsia="zh-CN"/>
              </w:rPr>
            </w:pPr>
            <w:r>
              <w:rPr>
                <w:rFonts w:hint="eastAsia"/>
                <w:sz w:val="21"/>
                <w:szCs w:val="21"/>
                <w:highlight w:val="none"/>
                <w:lang w:val="en-US" w:eastAsia="zh-CN"/>
              </w:rPr>
              <w:t>向最高管理者汇报，</w:t>
            </w:r>
            <w:r>
              <w:rPr>
                <w:rFonts w:hint="eastAsia"/>
                <w:sz w:val="21"/>
                <w:szCs w:val="21"/>
                <w:highlight w:val="none"/>
                <w:lang w:val="en-US" w:eastAsia="zh-CN"/>
              </w:rPr>
              <w:sym w:font="Wingdings" w:char="00FE"/>
            </w:r>
            <w:r>
              <w:rPr>
                <w:rFonts w:hint="eastAsia"/>
                <w:sz w:val="21"/>
                <w:szCs w:val="21"/>
                <w:highlight w:val="none"/>
                <w:lang w:val="en-US" w:eastAsia="zh-CN"/>
              </w:rPr>
              <w:t>管理者代表：</w:t>
            </w:r>
            <w:r>
              <w:rPr>
                <w:rFonts w:hint="eastAsia"/>
                <w:sz w:val="21"/>
                <w:szCs w:val="21"/>
                <w:highlight w:val="none"/>
                <w:u w:val="single"/>
                <w:lang w:val="en-US" w:eastAsia="zh-CN"/>
              </w:rPr>
              <w:t xml:space="preserve">    刘磊先生   </w:t>
            </w:r>
            <w:r>
              <w:rPr>
                <w:rFonts w:hint="eastAsia"/>
                <w:sz w:val="21"/>
                <w:szCs w:val="21"/>
                <w:highlight w:val="none"/>
                <w:lang w:val="en-US" w:eastAsia="zh-CN"/>
              </w:rPr>
              <w:sym w:font="Wingdings" w:char="00A8"/>
            </w:r>
            <w:r>
              <w:rPr>
                <w:rFonts w:hint="eastAsia"/>
                <w:sz w:val="21"/>
                <w:szCs w:val="21"/>
                <w:highlight w:val="none"/>
                <w:lang w:val="en-US" w:eastAsia="zh-CN"/>
              </w:rPr>
              <w:t>各部门</w:t>
            </w:r>
          </w:p>
          <w:p>
            <w:pPr>
              <w:pStyle w:val="9"/>
              <w:rPr>
                <w:rFonts w:hint="eastAsia"/>
                <w:sz w:val="21"/>
                <w:szCs w:val="21"/>
                <w:highlight w:val="yellow"/>
                <w:lang w:val="en-US" w:eastAsia="zh-CN"/>
              </w:rPr>
            </w:pPr>
          </w:p>
          <w:p>
            <w:pPr>
              <w:pStyle w:val="9"/>
              <w:rPr>
                <w:rFonts w:hint="default"/>
                <w:sz w:val="21"/>
                <w:szCs w:val="21"/>
                <w:highlight w:val="none"/>
                <w:lang w:val="en-US" w:eastAsia="zh-CN"/>
              </w:rPr>
            </w:pPr>
            <w:r>
              <w:rPr>
                <w:rFonts w:hint="eastAsia"/>
                <w:sz w:val="21"/>
                <w:szCs w:val="21"/>
                <w:highlight w:val="none"/>
                <w:lang w:val="en-US" w:eastAsia="zh-CN"/>
              </w:rPr>
              <w:t>OHSMS：</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过程过程</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安全环保部</w:t>
                  </w: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生产/服务设计开发过程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lang w:val="en-US" w:eastAsia="zh-CN"/>
                    </w:rPr>
                    <w:t>生产管理部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公用工程过程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设备能源部、工程建设部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lang w:val="en-US" w:eastAsia="zh-CN"/>
                    </w:rPr>
                    <w:t>生产管理部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供应采购部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spacing w:val="-8"/>
                      <w:sz w:val="24"/>
                      <w:u w:val="single"/>
                      <w:lang w:val="en-US" w:eastAsia="zh-CN"/>
                    </w:rPr>
                    <w:t>陈先伟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消防</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设备能源部</w:t>
                  </w:r>
                </w:p>
              </w:tc>
              <w:tc>
                <w:tcPr>
                  <w:tcW w:w="22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2261"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bl>
          <w:p>
            <w:pPr>
              <w:rPr>
                <w:rFonts w:hint="eastAsia"/>
                <w:color w:val="C00000"/>
                <w:highlight w:val="none"/>
              </w:rPr>
            </w:pPr>
          </w:p>
          <w:p>
            <w:pPr>
              <w:pStyle w:val="9"/>
              <w:rPr>
                <w:rFonts w:hint="default"/>
                <w:lang w:val="en-US" w:eastAsia="zh-CN"/>
              </w:rPr>
            </w:pPr>
            <w:r>
              <w:rPr>
                <w:rFonts w:hint="eastAsia"/>
                <w:color w:val="auto"/>
                <w:sz w:val="21"/>
                <w:szCs w:val="21"/>
                <w:highlight w:val="none"/>
                <w:lang w:val="en-US" w:eastAsia="zh-CN"/>
              </w:rPr>
              <w:t>向最高管理者汇报，</w:t>
            </w:r>
            <w:r>
              <w:rPr>
                <w:rFonts w:hint="eastAsia"/>
                <w:color w:val="auto"/>
                <w:sz w:val="21"/>
                <w:szCs w:val="21"/>
                <w:highlight w:val="none"/>
                <w:lang w:val="en-US" w:eastAsia="zh-CN"/>
              </w:rPr>
              <w:sym w:font="Wingdings" w:char="00FE"/>
            </w:r>
            <w:r>
              <w:rPr>
                <w:rFonts w:hint="eastAsia"/>
                <w:color w:val="auto"/>
                <w:sz w:val="21"/>
                <w:szCs w:val="21"/>
                <w:highlight w:val="none"/>
                <w:lang w:val="en-US" w:eastAsia="zh-CN"/>
              </w:rPr>
              <w:t>管理者代表：</w:t>
            </w:r>
            <w:r>
              <w:rPr>
                <w:rFonts w:hint="eastAsia"/>
                <w:color w:val="auto"/>
                <w:sz w:val="21"/>
                <w:szCs w:val="21"/>
                <w:highlight w:val="none"/>
                <w:u w:val="single"/>
                <w:lang w:val="en-US" w:eastAsia="zh-CN"/>
              </w:rPr>
              <w:t xml:space="preserve"> </w:t>
            </w:r>
            <w:r>
              <w:rPr>
                <w:rFonts w:hint="eastAsia"/>
                <w:sz w:val="21"/>
                <w:szCs w:val="21"/>
                <w:highlight w:val="none"/>
                <w:u w:val="single"/>
                <w:lang w:val="en-US" w:eastAsia="zh-CN"/>
              </w:rPr>
              <w:t xml:space="preserve">刘磊先生 </w:t>
            </w:r>
            <w:r>
              <w:rPr>
                <w:rFonts w:hint="eastAsia"/>
                <w:color w:val="auto"/>
                <w:sz w:val="21"/>
                <w:szCs w:val="21"/>
                <w:u w:val="single"/>
                <w:lang w:val="en-US" w:eastAsia="zh-CN"/>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sym w:font="Wingdings" w:char="00A8"/>
            </w:r>
            <w:r>
              <w:rPr>
                <w:rFonts w:hint="eastAsia"/>
                <w:color w:val="auto"/>
                <w:sz w:val="21"/>
                <w:szCs w:val="21"/>
                <w:highlight w:val="none"/>
                <w:lang w:val="en-US" w:eastAsia="zh-CN"/>
              </w:rPr>
              <w:t>各部门</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3" w:hRule="atLeast"/>
        </w:trPr>
        <w:tc>
          <w:tcPr>
            <w:tcW w:w="1902" w:type="dxa"/>
            <w:shd w:val="clear" w:color="auto" w:fill="auto"/>
          </w:tcPr>
          <w:p/>
        </w:tc>
        <w:tc>
          <w:tcPr>
            <w:tcW w:w="1129" w:type="dxa"/>
            <w:shd w:val="clear" w:color="auto" w:fill="auto"/>
          </w:tcPr>
          <w:p/>
        </w:tc>
        <w:tc>
          <w:tcPr>
            <w:tcW w:w="745" w:type="dxa"/>
            <w:shd w:val="clear" w:color="auto" w:fill="auto"/>
          </w:tcPr>
          <w:p/>
        </w:tc>
        <w:tc>
          <w:tcPr>
            <w:tcW w:w="9260" w:type="dxa"/>
            <w:gridSpan w:val="2"/>
            <w:shd w:val="clear" w:color="auto" w:fill="auto"/>
          </w:tcPr>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lang w:val="en-US" w:eastAsia="zh-CN"/>
              </w:rPr>
              <w:t>/食品安全小组组长</w:t>
            </w:r>
            <w:r>
              <w:rPr>
                <w:rFonts w:hint="eastAsia"/>
              </w:rPr>
              <w:t>：</w:t>
            </w:r>
            <w:r>
              <w:rPr>
                <w:rFonts w:hint="eastAsia"/>
                <w:u w:val="single"/>
              </w:rPr>
              <w:t xml:space="preserve">  </w:t>
            </w:r>
            <w:r>
              <w:rPr>
                <w:rFonts w:hint="eastAsia"/>
                <w:b/>
                <w:color w:val="auto"/>
                <w:sz w:val="24"/>
                <w:highlight w:val="none"/>
                <w:u w:val="single"/>
                <w:shd w:val="clear"/>
                <w:lang w:val="en-US" w:eastAsia="zh-CN"/>
              </w:rPr>
              <w:t>赵福培先生</w:t>
            </w:r>
            <w:r>
              <w:rPr>
                <w:rFonts w:hint="eastAsia"/>
                <w:u w:val="single"/>
              </w:rPr>
              <w:t xml:space="preserve">       </w:t>
            </w:r>
            <w:r>
              <w:rPr>
                <w:rFonts w:hint="eastAsia"/>
              </w:rPr>
              <w:t>，</w:t>
            </w:r>
          </w:p>
          <w:p>
            <w:pPr>
              <w:shd w:val="clear"/>
            </w:pPr>
          </w:p>
          <w:p>
            <w:pPr>
              <w:shd w:val="clear"/>
            </w:pPr>
            <w:r>
              <w:rPr>
                <w:rFonts w:hint="eastAsia"/>
              </w:rPr>
              <w:t>HACCP小组长</w:t>
            </w:r>
            <w:r>
              <w:rPr>
                <w:rFonts w:hint="eastAsia"/>
                <w:lang w:val="en-US" w:eastAsia="zh-CN"/>
              </w:rPr>
              <w:t>/</w:t>
            </w:r>
            <w:r>
              <w:t>食品安全组长负责：</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lang w:val="en-US" w:eastAsia="zh-CN"/>
              </w:rPr>
              <w:t>/HACCP体系</w:t>
            </w:r>
            <w:r>
              <w:t>的建立、实施、维护和更新；</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lang w:val="en-US" w:eastAsia="zh-CN"/>
              </w:rPr>
              <w:t>/</w:t>
            </w:r>
            <w:r>
              <w:rPr>
                <w:rFonts w:hint="eastAsia"/>
              </w:rPr>
              <w:t>HACCP小组</w:t>
            </w:r>
            <w:r>
              <w:t>的工作；</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lang w:val="en-US" w:eastAsia="zh-CN"/>
              </w:rPr>
              <w:t>/HACCP体系</w:t>
            </w:r>
            <w:r>
              <w:t>的有效性和适宜性。</w:t>
            </w:r>
          </w:p>
          <w:p>
            <w:pPr>
              <w:shd w:val="clear"/>
            </w:pPr>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5" w:type="dxa"/>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pPr>
              <w:rPr>
                <w:color w:val="000000"/>
                <w:szCs w:val="21"/>
                <w:highlight w:val="none"/>
              </w:rPr>
            </w:pPr>
            <w:r>
              <w:rPr>
                <w:rFonts w:hint="eastAsia"/>
                <w:color w:val="000000"/>
                <w:szCs w:val="21"/>
                <w:highlight w:val="none"/>
              </w:rPr>
              <w:t>应对风险和机遇的措施</w:t>
            </w:r>
          </w:p>
          <w:p>
            <w:pPr>
              <w:rPr>
                <w:highlight w:val="none"/>
              </w:rPr>
            </w:pPr>
          </w:p>
        </w:tc>
        <w:tc>
          <w:tcPr>
            <w:tcW w:w="1129" w:type="dxa"/>
            <w:vMerge w:val="restart"/>
            <w:shd w:val="clear" w:color="auto" w:fill="auto"/>
          </w:tcPr>
          <w:p>
            <w:pPr>
              <w:rPr>
                <w:highlight w:val="none"/>
              </w:rPr>
            </w:pPr>
            <w:r>
              <w:rPr>
                <w:rFonts w:hint="eastAsia"/>
                <w:highlight w:val="none"/>
              </w:rPr>
              <w:t>Q6.1</w:t>
            </w:r>
          </w:p>
          <w:p>
            <w:pPr>
              <w:rPr>
                <w:rFonts w:hint="eastAsia"/>
                <w:highlight w:val="none"/>
              </w:rPr>
            </w:pPr>
            <w:r>
              <w:rPr>
                <w:rFonts w:hint="eastAsia"/>
                <w:highlight w:val="none"/>
              </w:rPr>
              <w:t>F6.1.1</w:t>
            </w:r>
          </w:p>
          <w:p>
            <w:pPr>
              <w:pStyle w:val="9"/>
              <w:rPr>
                <w:rFonts w:hint="default" w:eastAsia="宋体"/>
                <w:highlight w:val="none"/>
                <w:lang w:val="en-US" w:eastAsia="zh-CN"/>
              </w:rPr>
            </w:pPr>
            <w:r>
              <w:rPr>
                <w:rFonts w:hint="eastAsia"/>
                <w:color w:val="000000"/>
                <w:szCs w:val="21"/>
                <w:highlight w:val="none"/>
                <w:lang w:val="en-US" w:eastAsia="zh-CN"/>
              </w:rPr>
              <w:t>E6.1</w:t>
            </w: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highlight w:val="none"/>
              </w:rPr>
              <w:t>如：</w:t>
            </w:r>
            <w:r>
              <w:rPr>
                <w:color w:val="auto"/>
                <w:highlight w:val="none"/>
              </w:rPr>
              <w:sym w:font="Wingdings" w:char="00FE"/>
            </w:r>
            <w:r>
              <w:rPr>
                <w:rFonts w:hint="eastAsia"/>
                <w:color w:val="auto"/>
                <w:highlight w:val="none"/>
                <w:lang w:val="en-US" w:eastAsia="zh-CN"/>
              </w:rPr>
              <w:t>《风险和机遇控制程序》</w:t>
            </w:r>
            <w:r>
              <w:rPr>
                <w:rFonts w:hint="eastAsia"/>
                <w:highlight w:val="none"/>
              </w:rPr>
              <w:t>、</w:t>
            </w:r>
            <w:r>
              <w:rPr>
                <w:rFonts w:hint="eastAsia"/>
                <w:highlight w:val="none"/>
              </w:rPr>
              <w:sym w:font="Wingdings" w:char="00FE"/>
            </w:r>
            <w:r>
              <w:rPr>
                <w:rFonts w:hint="eastAsia"/>
                <w:highlight w:val="none"/>
              </w:rPr>
              <w:t>管理手册第6.1章</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trPr>
        <w:tc>
          <w:tcPr>
            <w:tcW w:w="1902" w:type="dxa"/>
            <w:vMerge w:val="continue"/>
            <w:shd w:val="clear" w:color="auto" w:fill="auto"/>
          </w:tcPr>
          <w:p>
            <w:pPr>
              <w:rPr>
                <w:highlight w:val="none"/>
              </w:rPr>
            </w:pPr>
          </w:p>
        </w:tc>
        <w:tc>
          <w:tcPr>
            <w:tcW w:w="1129"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60" w:type="dxa"/>
            <w:gridSpan w:val="2"/>
            <w:shd w:val="clear" w:color="auto" w:fill="auto"/>
          </w:tcPr>
          <w:p>
            <w:pPr>
              <w:rPr>
                <w:highlight w:val="none"/>
              </w:rPr>
            </w:pPr>
            <w:r>
              <w:rPr>
                <w:rFonts w:hint="eastAsia"/>
                <w:highlight w:val="none"/>
              </w:rPr>
              <w:t>分析风险的方法：</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头脑风暴法 </w:t>
            </w:r>
            <w:r>
              <w:rPr>
                <w:rFonts w:hint="eastAsia"/>
                <w:highlight w:val="none"/>
              </w:rPr>
              <w:sym w:font="Wingdings" w:char="00A8"/>
            </w:r>
            <w:r>
              <w:rPr>
                <w:rFonts w:hint="eastAsia"/>
                <w:highlight w:val="none"/>
              </w:rPr>
              <w:t>FMEA（潜在失效模式分析）</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应对风险的措施类型包括：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规避风险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为寻求机遇承担风险、</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消除风险源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改变风险的可能性和后果、</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分担风险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通过信息充分的决策而保留风险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列举2~3项应对主要风险的描述：</w:t>
            </w:r>
          </w:p>
          <w:tbl>
            <w:tblPr>
              <w:tblStyle w:val="13"/>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407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highlight w:val="none"/>
                    </w:rPr>
                  </w:pPr>
                  <w:r>
                    <w:rPr>
                      <w:rFonts w:hint="eastAsia"/>
                      <w:highlight w:val="none"/>
                    </w:rPr>
                    <w:t>主要的风险描述</w:t>
                  </w:r>
                </w:p>
              </w:tc>
              <w:tc>
                <w:tcPr>
                  <w:tcW w:w="4073"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center"/>
                </w:tcPr>
                <w:p>
                  <w:pPr>
                    <w:widowControl/>
                    <w:spacing w:line="360" w:lineRule="exact"/>
                    <w:jc w:val="left"/>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污水排放处理不达标</w:t>
                  </w:r>
                </w:p>
              </w:tc>
              <w:tc>
                <w:tcPr>
                  <w:tcW w:w="4073" w:type="dxa"/>
                </w:tcPr>
                <w:p>
                  <w:pPr>
                    <w:pStyle w:val="9"/>
                    <w:numPr>
                      <w:ilvl w:val="0"/>
                      <w:numId w:val="0"/>
                    </w:numPr>
                    <w:rPr>
                      <w:rFonts w:hint="eastAsia" w:ascii="宋体" w:hAnsi="宋体"/>
                      <w:lang w:val="en-US" w:eastAsia="zh-CN"/>
                    </w:rPr>
                  </w:pPr>
                  <w:r>
                    <w:rPr>
                      <w:rFonts w:hint="eastAsia" w:ascii="宋体" w:hAnsi="宋体"/>
                      <w:lang w:val="en-US" w:eastAsia="zh-CN"/>
                    </w:rPr>
                    <w:t>与承包方签订合同；</w:t>
                  </w:r>
                </w:p>
                <w:p>
                  <w:pPr>
                    <w:pStyle w:val="9"/>
                    <w:numPr>
                      <w:ilvl w:val="0"/>
                      <w:numId w:val="0"/>
                    </w:numPr>
                    <w:rPr>
                      <w:rFonts w:hint="default" w:ascii="宋体" w:hAnsi="宋体"/>
                      <w:lang w:val="en-US" w:eastAsia="zh-CN"/>
                    </w:rPr>
                  </w:pPr>
                  <w:r>
                    <w:rPr>
                      <w:rFonts w:hint="eastAsia" w:ascii="宋体" w:hAnsi="宋体"/>
                      <w:lang w:val="en-US" w:eastAsia="zh-CN"/>
                    </w:rPr>
                    <w:t>污水排放设备设施的管理；</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top"/>
                </w:tcPr>
                <w:p>
                  <w:pPr>
                    <w:rPr>
                      <w:rFonts w:hint="default"/>
                      <w:lang w:val="en-US" w:eastAsia="zh-CN"/>
                    </w:rPr>
                  </w:pPr>
                  <w:r>
                    <w:rPr>
                      <w:rFonts w:hint="eastAsia" w:ascii="宋体" w:hAnsi="宋体"/>
                    </w:rPr>
                    <w:t>员工能力、不能满足岗位需求；</w:t>
                  </w:r>
                </w:p>
              </w:tc>
              <w:tc>
                <w:tcPr>
                  <w:tcW w:w="4073" w:type="dxa"/>
                  <w:vAlign w:val="top"/>
                </w:tcPr>
                <w:p>
                  <w:pPr>
                    <w:widowControl/>
                    <w:numPr>
                      <w:ilvl w:val="0"/>
                      <w:numId w:val="2"/>
                    </w:numPr>
                    <w:spacing w:line="360" w:lineRule="exact"/>
                    <w:jc w:val="left"/>
                    <w:textAlignment w:val="center"/>
                    <w:rPr>
                      <w:rFonts w:hint="default"/>
                      <w:lang w:val="en-US" w:eastAsia="zh-CN"/>
                    </w:rPr>
                  </w:pPr>
                  <w:r>
                    <w:rPr>
                      <w:rFonts w:hint="eastAsia"/>
                      <w:lang w:val="en-US" w:eastAsia="zh-CN"/>
                    </w:rPr>
                    <w:t>培训以及实施方案的策划；</w:t>
                  </w:r>
                </w:p>
                <w:p>
                  <w:pPr>
                    <w:pStyle w:val="2"/>
                    <w:numPr>
                      <w:ilvl w:val="0"/>
                      <w:numId w:val="2"/>
                    </w:numPr>
                    <w:ind w:left="0" w:leftChars="0" w:firstLine="0" w:firstLineChars="0"/>
                    <w:rPr>
                      <w:rFonts w:hint="default"/>
                      <w:lang w:val="en-US" w:eastAsia="zh-CN"/>
                    </w:rPr>
                  </w:pPr>
                  <w:r>
                    <w:rPr>
                      <w:rFonts w:hint="eastAsia"/>
                      <w:lang w:val="en-US" w:eastAsia="zh-CN"/>
                    </w:rPr>
                    <w:t>不定期的员工能力评价；</w:t>
                  </w:r>
                </w:p>
                <w:p>
                  <w:pPr>
                    <w:pStyle w:val="2"/>
                    <w:numPr>
                      <w:ilvl w:val="0"/>
                      <w:numId w:val="2"/>
                    </w:numPr>
                    <w:ind w:left="0" w:leftChars="0" w:firstLine="0" w:firstLineChars="0"/>
                    <w:rPr>
                      <w:rFonts w:hint="default"/>
                      <w:lang w:val="en-US" w:eastAsia="zh-CN"/>
                    </w:rPr>
                  </w:pPr>
                  <w:r>
                    <w:rPr>
                      <w:rFonts w:hint="eastAsia"/>
                      <w:lang w:val="en-US" w:eastAsia="zh-CN"/>
                    </w:rPr>
                    <w:t>外派培训</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Align w:val="top"/>
                </w:tcPr>
                <w:p>
                  <w:pPr>
                    <w:rPr>
                      <w:rFonts w:hint="default" w:ascii="Times New Roman" w:hAnsi="Times New Roman" w:eastAsia="宋体" w:cs="Times New Roman"/>
                      <w:kern w:val="2"/>
                      <w:sz w:val="21"/>
                      <w:highlight w:val="none"/>
                      <w:lang w:val="en-US" w:eastAsia="zh-CN" w:bidi="ar-SA"/>
                    </w:rPr>
                  </w:pPr>
                </w:p>
              </w:tc>
              <w:tc>
                <w:tcPr>
                  <w:tcW w:w="4073" w:type="dxa"/>
                  <w:vAlign w:val="top"/>
                </w:tcPr>
                <w:p>
                  <w:pPr>
                    <w:pStyle w:val="2"/>
                    <w:numPr>
                      <w:ilvl w:val="0"/>
                      <w:numId w:val="0"/>
                    </w:numPr>
                    <w:ind w:left="0" w:leftChars="0" w:firstLine="0" w:firstLineChars="0"/>
                    <w:rPr>
                      <w:rFonts w:hint="default" w:ascii="宋体" w:hAnsi="宋体" w:eastAsia="宋体" w:cs="Times New Roman"/>
                      <w:kern w:val="2"/>
                      <w:sz w:val="21"/>
                      <w:szCs w:val="24"/>
                      <w:highlight w:val="none"/>
                      <w:lang w:val="en-US" w:eastAsia="zh-CN" w:bidi="ar-SA"/>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Times New Roman" w:hAnsi="Times New Roman" w:eastAsia="宋体" w:cs="Times New Roman"/>
                      <w:kern w:val="2"/>
                      <w:sz w:val="21"/>
                      <w:highlight w:val="yellow"/>
                      <w:lang w:val="en-US" w:eastAsia="zh-CN" w:bidi="ar-SA"/>
                    </w:rPr>
                  </w:pPr>
                </w:p>
              </w:tc>
              <w:tc>
                <w:tcPr>
                  <w:tcW w:w="0" w:type="auto"/>
                </w:tcPr>
                <w:p>
                  <w:pPr>
                    <w:rPr>
                      <w:highlight w:val="none"/>
                    </w:rPr>
                  </w:pPr>
                </w:p>
              </w:tc>
              <w:tc>
                <w:tcPr>
                  <w:tcW w:w="0" w:type="auto"/>
                </w:tcPr>
                <w:p>
                  <w:pPr>
                    <w:rPr>
                      <w:highlight w:val="none"/>
                    </w:rPr>
                  </w:pPr>
                </w:p>
              </w:tc>
            </w:tr>
          </w:tbl>
          <w:p>
            <w:pPr>
              <w:rPr>
                <w:highlight w:val="none"/>
              </w:rPr>
            </w:pPr>
          </w:p>
          <w:p>
            <w:pPr>
              <w:pStyle w:val="9"/>
              <w:rPr>
                <w:highlight w:val="none"/>
              </w:rPr>
            </w:pPr>
          </w:p>
          <w:p>
            <w:pPr>
              <w:rPr>
                <w:highlight w:val="none"/>
              </w:rPr>
            </w:pPr>
            <w:r>
              <w:rPr>
                <w:rFonts w:hint="eastAsia"/>
                <w:highlight w:val="none"/>
              </w:rPr>
              <w:t xml:space="preserve">应对机遇的措施类型包括：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采用新实践 </w:t>
            </w:r>
            <w:r>
              <w:rPr>
                <w:rFonts w:hint="eastAsia"/>
                <w:highlight w:val="none"/>
              </w:rPr>
              <w:sym w:font="Wingdings" w:char="00FE"/>
            </w:r>
            <w:r>
              <w:rPr>
                <w:rFonts w:hint="eastAsia"/>
                <w:highlight w:val="none"/>
              </w:rPr>
              <w:t xml:space="preserve">推出新产品  </w:t>
            </w:r>
            <w:r>
              <w:rPr>
                <w:rFonts w:hint="eastAsia"/>
                <w:highlight w:val="none"/>
              </w:rPr>
              <w:sym w:font="Wingdings" w:char="00FE"/>
            </w:r>
            <w:r>
              <w:rPr>
                <w:rFonts w:hint="eastAsia"/>
                <w:highlight w:val="none"/>
              </w:rPr>
              <w:t xml:space="preserve">开辟新市场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赢得新顾客  </w:t>
            </w:r>
            <w:r>
              <w:rPr>
                <w:rFonts w:hint="eastAsia"/>
                <w:highlight w:val="none"/>
              </w:rPr>
              <w:sym w:font="Wingdings" w:char="00FE"/>
            </w:r>
            <w:r>
              <w:rPr>
                <w:rFonts w:hint="eastAsia"/>
                <w:highlight w:val="none"/>
              </w:rPr>
              <w:t xml:space="preserve">建立合作伙伴关系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利用新技术  </w:t>
            </w:r>
            <w:r>
              <w:rPr>
                <w:rFonts w:hint="eastAsia"/>
                <w:highlight w:val="none"/>
              </w:rPr>
              <w:sym w:font="Wingdings" w:char="00A8"/>
            </w:r>
            <w:r>
              <w:rPr>
                <w:rFonts w:hint="eastAsia"/>
                <w:highlight w:val="none"/>
              </w:rPr>
              <w:t>其他</w:t>
            </w:r>
          </w:p>
          <w:p>
            <w:pPr>
              <w:rPr>
                <w:highlight w:val="none"/>
              </w:rPr>
            </w:pPr>
            <w:r>
              <w:rPr>
                <w:rFonts w:hint="eastAsia"/>
                <w:highlight w:val="none"/>
              </w:rPr>
              <w:t>列举2~3项应对重要机遇的描述：</w:t>
            </w:r>
          </w:p>
          <w:tbl>
            <w:tblPr>
              <w:tblStyle w:val="13"/>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452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highlight w:val="none"/>
                    </w:rPr>
                  </w:pPr>
                  <w:r>
                    <w:rPr>
                      <w:rFonts w:hint="eastAsia"/>
                      <w:highlight w:val="none"/>
                    </w:rPr>
                    <w:t>主要的机遇描述</w:t>
                  </w:r>
                </w:p>
              </w:tc>
              <w:tc>
                <w:tcPr>
                  <w:tcW w:w="4528"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rFonts w:hint="default" w:eastAsia="宋体"/>
                      <w:highlight w:val="none"/>
                      <w:lang w:val="en-US" w:eastAsia="zh-CN"/>
                    </w:rPr>
                  </w:pPr>
                  <w:r>
                    <w:rPr>
                      <w:rFonts w:hint="eastAsia"/>
                      <w:highlight w:val="none"/>
                      <w:lang w:val="en-US" w:eastAsia="zh-CN"/>
                    </w:rPr>
                    <w:t>产品优势开拓市场潜力大</w:t>
                  </w:r>
                </w:p>
              </w:tc>
              <w:tc>
                <w:tcPr>
                  <w:tcW w:w="4528" w:type="dxa"/>
                </w:tcPr>
                <w:p>
                  <w:pPr>
                    <w:pStyle w:val="2"/>
                    <w:numPr>
                      <w:ilvl w:val="0"/>
                      <w:numId w:val="0"/>
                    </w:numPr>
                    <w:jc w:val="both"/>
                    <w:rPr>
                      <w:rFonts w:hint="default" w:eastAsia="宋体"/>
                      <w:highlight w:val="none"/>
                      <w:lang w:val="en-US" w:eastAsia="zh-CN"/>
                    </w:rPr>
                  </w:pPr>
                  <w:r>
                    <w:rPr>
                      <w:rFonts w:hint="eastAsia"/>
                      <w:highlight w:val="none"/>
                      <w:lang w:val="en-US" w:eastAsia="zh-CN"/>
                    </w:rPr>
                    <w:t>1）翻碎沙酒体量大；</w:t>
                  </w:r>
                </w:p>
                <w:p>
                  <w:pPr>
                    <w:pStyle w:val="2"/>
                    <w:numPr>
                      <w:ilvl w:val="0"/>
                      <w:numId w:val="0"/>
                    </w:numPr>
                    <w:jc w:val="both"/>
                    <w:rPr>
                      <w:rFonts w:hint="default" w:eastAsia="宋体"/>
                      <w:highlight w:val="none"/>
                      <w:lang w:val="en-US" w:eastAsia="zh-CN"/>
                    </w:rPr>
                  </w:pPr>
                  <w:r>
                    <w:rPr>
                      <w:rFonts w:hint="eastAsia"/>
                      <w:highlight w:val="none"/>
                      <w:lang w:val="en-US" w:eastAsia="zh-CN"/>
                    </w:rPr>
                    <w:t>2）国家对生态循环产业的扶持</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rFonts w:hint="default" w:eastAsia="宋体"/>
                      <w:szCs w:val="24"/>
                      <w:highlight w:val="none"/>
                      <w:lang w:val="en-US" w:eastAsia="zh-CN"/>
                    </w:rPr>
                  </w:pPr>
                </w:p>
              </w:tc>
              <w:tc>
                <w:tcPr>
                  <w:tcW w:w="4528" w:type="dxa"/>
                </w:tcPr>
                <w:p>
                  <w:pPr>
                    <w:rPr>
                      <w:highlight w:val="none"/>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rPr>
                      <w:szCs w:val="24"/>
                      <w:highlight w:val="none"/>
                    </w:rPr>
                  </w:pPr>
                </w:p>
              </w:tc>
              <w:tc>
                <w:tcPr>
                  <w:tcW w:w="4528" w:type="dxa"/>
                </w:tcPr>
                <w:p>
                  <w:pPr>
                    <w:rPr>
                      <w:highlight w:val="none"/>
                    </w:rPr>
                  </w:pPr>
                </w:p>
              </w:tc>
              <w:tc>
                <w:tcPr>
                  <w:tcW w:w="1717" w:type="dxa"/>
                </w:tcPr>
                <w:p>
                  <w:pPr>
                    <w:rPr>
                      <w:highlight w:val="none"/>
                    </w:rPr>
                  </w:pPr>
                </w:p>
              </w:tc>
            </w:tr>
          </w:tbl>
          <w:p>
            <w:pPr>
              <w:rPr>
                <w:rFonts w:hint="eastAsia"/>
                <w:highlight w:val="lightGray"/>
                <w:lang w:val="en-US" w:eastAsia="zh-CN"/>
              </w:rPr>
            </w:pPr>
          </w:p>
          <w:p>
            <w:pPr>
              <w:rPr>
                <w:rFonts w:hint="default" w:eastAsia="宋体"/>
                <w:highlight w:val="none"/>
                <w:lang w:val="en-US" w:eastAsia="zh-CN"/>
              </w:rPr>
            </w:pPr>
            <w:r>
              <w:rPr>
                <w:rFonts w:hint="eastAsia"/>
                <w:highlight w:val="lightGray"/>
                <w:lang w:val="en-US" w:eastAsia="zh-CN"/>
              </w:rPr>
              <w:t>EMS</w:t>
            </w:r>
            <w:r>
              <w:rPr>
                <w:rFonts w:hint="eastAsia"/>
                <w:highlight w:val="none"/>
                <w:lang w:val="en-US" w:eastAsia="zh-CN"/>
              </w:rPr>
              <w:t>：</w:t>
            </w:r>
          </w:p>
          <w:p>
            <w:pPr>
              <w:pStyle w:val="9"/>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xml:space="preserve">组织环境管理体系范围内的潜在紧急情况，如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法规未识别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违规操作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其他 </w:t>
            </w:r>
            <w:r>
              <w:rPr>
                <w:rFonts w:hint="eastAsia" w:ascii="Times New Roman" w:hAnsi="Times New Roman" w:eastAsia="宋体" w:cs="Times New Roman"/>
                <w:kern w:val="2"/>
                <w:sz w:val="21"/>
                <w:szCs w:val="20"/>
                <w:highlight w:val="none"/>
                <w:u w:val="double"/>
                <w:lang w:val="en-US" w:eastAsia="zh-CN" w:bidi="ar-SA"/>
              </w:rPr>
              <w:t xml:space="preserve">             </w:t>
            </w:r>
            <w:r>
              <w:rPr>
                <w:rFonts w:hint="eastAsia" w:ascii="Times New Roman" w:hAnsi="Times New Roman" w:eastAsia="宋体" w:cs="Times New Roman"/>
                <w:kern w:val="2"/>
                <w:sz w:val="21"/>
                <w:szCs w:val="20"/>
                <w:highlight w:val="none"/>
                <w:lang w:val="en-US" w:eastAsia="zh-CN" w:bidi="ar-SA"/>
              </w:rPr>
              <w:t xml:space="preserve">        </w:t>
            </w:r>
          </w:p>
          <w:p>
            <w:pPr>
              <w:pStyle w:val="9"/>
              <w:rPr>
                <w:rFonts w:hint="eastAsia" w:ascii="Times New Roman" w:hAnsi="Times New Roman" w:eastAsia="宋体" w:cs="Times New Roman"/>
                <w:kern w:val="2"/>
                <w:sz w:val="21"/>
                <w:szCs w:val="20"/>
                <w:highlight w:val="none"/>
                <w:lang w:val="en-US" w:eastAsia="zh-CN" w:bidi="ar-SA"/>
              </w:rPr>
            </w:pPr>
          </w:p>
          <w:p>
            <w:pPr>
              <w:pStyle w:val="9"/>
              <w:rPr>
                <w:rFonts w:hint="eastAsia"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 xml:space="preserve">可能具有环境影响的潜在紧急情况，如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火灾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危化品泄露 </w:t>
            </w:r>
            <w:r>
              <w:rPr>
                <w:rFonts w:hint="eastAsia" w:ascii="Times New Roman" w:hAnsi="Times New Roman" w:eastAsia="宋体" w:cs="Times New Roman"/>
                <w:kern w:val="2"/>
                <w:sz w:val="21"/>
                <w:szCs w:val="20"/>
                <w:highlight w:val="none"/>
                <w:lang w:val="en-US" w:eastAsia="zh-CN" w:bidi="ar-SA"/>
              </w:rPr>
              <w:sym w:font="Wingdings" w:char="00FE"/>
            </w:r>
            <w:r>
              <w:rPr>
                <w:rFonts w:hint="eastAsia" w:ascii="Times New Roman" w:hAnsi="Times New Roman" w:eastAsia="宋体" w:cs="Times New Roman"/>
                <w:kern w:val="2"/>
                <w:sz w:val="21"/>
                <w:szCs w:val="20"/>
                <w:highlight w:val="none"/>
                <w:lang w:val="en-US" w:eastAsia="zh-CN" w:bidi="ar-SA"/>
              </w:rPr>
              <w:t xml:space="preserve">未达标排放  </w:t>
            </w:r>
            <w:r>
              <w:rPr>
                <w:rFonts w:hint="eastAsia" w:ascii="Times New Roman" w:hAnsi="Times New Roman" w:eastAsia="宋体" w:cs="Times New Roman"/>
                <w:kern w:val="2"/>
                <w:sz w:val="21"/>
                <w:szCs w:val="20"/>
                <w:highlight w:val="none"/>
                <w:lang w:val="en-US" w:eastAsia="zh-CN" w:bidi="ar-SA"/>
              </w:rPr>
              <w:sym w:font="Wingdings" w:char="00A8"/>
            </w:r>
            <w:r>
              <w:rPr>
                <w:rFonts w:hint="eastAsia" w:ascii="Times New Roman" w:hAnsi="Times New Roman" w:eastAsia="宋体" w:cs="Times New Roman"/>
                <w:kern w:val="2"/>
                <w:sz w:val="21"/>
                <w:szCs w:val="20"/>
                <w:highlight w:val="none"/>
                <w:lang w:val="en-US" w:eastAsia="zh-CN" w:bidi="ar-SA"/>
              </w:rPr>
              <w:t xml:space="preserve">锅炉爆炸  </w:t>
            </w:r>
          </w:p>
          <w:p>
            <w:pPr>
              <w:pStyle w:val="9"/>
              <w:rPr>
                <w:highlight w:val="none"/>
              </w:rPr>
            </w:pPr>
          </w:p>
          <w:p>
            <w:pPr>
              <w:pStyle w:val="9"/>
              <w:rPr>
                <w:highlight w:val="none"/>
              </w:rPr>
            </w:pPr>
          </w:p>
          <w:p>
            <w:pPr>
              <w:rPr>
                <w:rFonts w:hint="eastAsia" w:eastAsia="宋体"/>
                <w:highlight w:val="lightGray"/>
                <w:lang w:eastAsia="zh-CN"/>
              </w:rPr>
            </w:pPr>
            <w:r>
              <w:rPr>
                <w:rFonts w:hint="eastAsia"/>
                <w:highlight w:val="lightGray"/>
              </w:rPr>
              <w:t>FSMS</w:t>
            </w:r>
            <w:r>
              <w:rPr>
                <w:rFonts w:hint="eastAsia"/>
                <w:highlight w:val="lightGray"/>
                <w:lang w:eastAsia="zh-CN"/>
              </w:rPr>
              <w:t>：</w:t>
            </w:r>
          </w:p>
          <w:p>
            <w:pPr>
              <w:jc w:val="left"/>
              <w:rPr>
                <w:highlight w:val="none"/>
              </w:rPr>
            </w:pPr>
            <w:r>
              <w:rPr>
                <w:rFonts w:hint="eastAsia"/>
                <w:highlight w:val="none"/>
              </w:rPr>
              <w:t>组织食品安全管理体系范围内的潜在紧急情况，如</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法规未识别  </w:t>
            </w:r>
            <w:r>
              <w:rPr>
                <w:rFonts w:hint="eastAsia"/>
                <w:highlight w:val="none"/>
                <w:u w:val="single"/>
              </w:rPr>
              <w:sym w:font="Wingdings" w:char="00FE"/>
            </w:r>
            <w:r>
              <w:rPr>
                <w:rFonts w:hint="eastAsia"/>
                <w:highlight w:val="none"/>
                <w:u w:val="single"/>
              </w:rPr>
              <w:t xml:space="preserve">违规操作  </w:t>
            </w:r>
            <w:r>
              <w:rPr>
                <w:rFonts w:hint="eastAsia"/>
                <w:highlight w:val="none"/>
                <w:u w:val="single"/>
              </w:rPr>
              <w:sym w:font="Wingdings" w:char="00A8"/>
            </w:r>
            <w:r>
              <w:rPr>
                <w:rFonts w:hint="eastAsia"/>
                <w:highlight w:val="none"/>
                <w:u w:val="single"/>
              </w:rPr>
              <w:t xml:space="preserve">其他                      </w:t>
            </w:r>
          </w:p>
          <w:p>
            <w:pPr>
              <w:rPr>
                <w:highlight w:val="none"/>
              </w:rPr>
            </w:pPr>
          </w:p>
          <w:p>
            <w:pPr>
              <w:rPr>
                <w:highlight w:val="none"/>
                <w:u w:val="single"/>
              </w:rPr>
            </w:pPr>
            <w:r>
              <w:rPr>
                <w:rFonts w:hint="eastAsia"/>
                <w:highlight w:val="none"/>
              </w:rPr>
              <w:t>可能具有食品安全危害的潜在紧急情况，如</w:t>
            </w:r>
            <w:r>
              <w:rPr>
                <w:rFonts w:hint="eastAsia"/>
                <w:highlight w:val="none"/>
                <w:u w:val="single"/>
              </w:rPr>
              <w:t xml:space="preserve">  </w:t>
            </w:r>
            <w:r>
              <w:rPr>
                <w:rFonts w:hint="eastAsia"/>
                <w:highlight w:val="none"/>
                <w:u w:val="single"/>
              </w:rPr>
              <w:sym w:font="Wingdings" w:char="00A8"/>
            </w:r>
            <w:r>
              <w:rPr>
                <w:rFonts w:hint="eastAsia"/>
                <w:highlight w:val="none"/>
                <w:u w:val="single"/>
              </w:rPr>
              <w:t xml:space="preserve">食物中毒 </w:t>
            </w:r>
            <w:r>
              <w:rPr>
                <w:rFonts w:hint="eastAsia"/>
                <w:highlight w:val="none"/>
                <w:u w:val="single"/>
              </w:rPr>
              <w:sym w:font="Wingdings" w:char="00FE"/>
            </w:r>
            <w:r>
              <w:rPr>
                <w:rFonts w:hint="eastAsia"/>
                <w:highlight w:val="none"/>
                <w:u w:val="single"/>
              </w:rPr>
              <w:t xml:space="preserve">停水  </w:t>
            </w:r>
            <w:r>
              <w:rPr>
                <w:rFonts w:hint="eastAsia"/>
                <w:highlight w:val="none"/>
                <w:u w:val="single"/>
              </w:rPr>
              <w:sym w:font="Wingdings" w:char="00A8"/>
            </w:r>
            <w:r>
              <w:rPr>
                <w:rFonts w:hint="eastAsia"/>
                <w:highlight w:val="none"/>
                <w:u w:val="single"/>
              </w:rPr>
              <w:t xml:space="preserve">停电  </w:t>
            </w:r>
            <w:r>
              <w:rPr>
                <w:rFonts w:hint="eastAsia"/>
                <w:highlight w:val="none"/>
                <w:u w:val="single"/>
              </w:rPr>
              <w:sym w:font="Wingdings" w:char="00FE"/>
            </w:r>
            <w:r>
              <w:rPr>
                <w:rFonts w:hint="eastAsia"/>
                <w:highlight w:val="none"/>
                <w:u w:val="single"/>
              </w:rPr>
              <w:t xml:space="preserve"> 停蒸汽   </w:t>
            </w:r>
          </w:p>
          <w:p>
            <w:pPr>
              <w:rPr>
                <w:highlight w:val="none"/>
              </w:rPr>
            </w:pPr>
            <w:r>
              <w:rPr>
                <w:rFonts w:hint="eastAsia"/>
                <w:highlight w:val="none"/>
                <w:u w:val="single"/>
              </w:rPr>
              <w:t xml:space="preserve">    </w:t>
            </w:r>
            <w:r>
              <w:rPr>
                <w:rFonts w:hint="eastAsia"/>
                <w:highlight w:val="none"/>
                <w:u w:val="single"/>
              </w:rPr>
              <w:sym w:font="Wingdings" w:char="00A8"/>
            </w:r>
            <w:r>
              <w:rPr>
                <w:rFonts w:hint="eastAsia"/>
                <w:highlight w:val="none"/>
                <w:u w:val="single"/>
              </w:rPr>
              <w:t xml:space="preserve"> 制冷设备故障  </w:t>
            </w:r>
            <w:r>
              <w:rPr>
                <w:rFonts w:hint="eastAsia"/>
                <w:highlight w:val="none"/>
                <w:u w:val="single"/>
              </w:rPr>
              <w:sym w:font="Wingdings" w:char="00A8"/>
            </w:r>
            <w:r>
              <w:rPr>
                <w:rFonts w:hint="eastAsia"/>
                <w:highlight w:val="none"/>
                <w:u w:val="single"/>
              </w:rPr>
              <w:t xml:space="preserve">车辆故障   </w:t>
            </w:r>
            <w:r>
              <w:rPr>
                <w:rFonts w:hint="eastAsia"/>
                <w:highlight w:val="none"/>
                <w:u w:val="single"/>
              </w:rPr>
              <w:sym w:font="Wingdings" w:char="00FE"/>
            </w:r>
            <w:r>
              <w:rPr>
                <w:rFonts w:hint="eastAsia"/>
                <w:highlight w:val="none"/>
                <w:u w:val="single"/>
              </w:rPr>
              <w:t xml:space="preserve">其他—食品供应链的突变            </w:t>
            </w:r>
          </w:p>
          <w:p>
            <w:pPr>
              <w:rPr>
                <w:highlight w:val="none"/>
              </w:rPr>
            </w:pP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确保FSMS 能够达到其预期结果;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提高理想效果;</w:t>
            </w:r>
          </w:p>
          <w:p>
            <w:pPr>
              <w:jc w:val="left"/>
              <w:rPr>
                <w:rFonts w:ascii="CIDFont+F5" w:hAnsi="CIDFont+F5" w:eastAsia="CIDFont+F5"/>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防止或减少不良后果;</w:t>
            </w:r>
          </w:p>
          <w:p>
            <w:pPr>
              <w:rPr>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实现持续改进。</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pPr>
              <w:rPr>
                <w:rFonts w:hint="eastAsia"/>
                <w:color w:val="auto"/>
                <w:szCs w:val="21"/>
                <w:highlight w:val="none"/>
                <w:lang w:val="en-US" w:eastAsia="zh-CN"/>
              </w:rPr>
            </w:pPr>
            <w:r>
              <w:rPr>
                <w:rFonts w:hint="eastAsia"/>
                <w:color w:val="auto"/>
                <w:szCs w:val="21"/>
                <w:highlight w:val="none"/>
                <w:lang w:val="en-US" w:eastAsia="zh-CN"/>
              </w:rPr>
              <w:t>应对风险和机遇的措施</w:t>
            </w:r>
          </w:p>
          <w:p>
            <w:pPr>
              <w:rPr>
                <w:color w:val="auto"/>
                <w:highlight w:val="none"/>
              </w:rPr>
            </w:pPr>
          </w:p>
        </w:tc>
        <w:tc>
          <w:tcPr>
            <w:tcW w:w="1129" w:type="dxa"/>
            <w:vMerge w:val="restart"/>
            <w:shd w:val="clear" w:color="auto" w:fill="auto"/>
          </w:tcPr>
          <w:p>
            <w:pPr>
              <w:rPr>
                <w:color w:val="auto"/>
                <w:highlight w:val="none"/>
              </w:rPr>
            </w:pPr>
            <w:r>
              <w:rPr>
                <w:rFonts w:hint="eastAsia"/>
                <w:color w:val="auto"/>
                <w:szCs w:val="21"/>
                <w:highlight w:val="none"/>
                <w:lang w:val="en-US" w:eastAsia="zh-CN"/>
              </w:rPr>
              <w:t>O6.1.1</w:t>
            </w:r>
          </w:p>
        </w:tc>
        <w:tc>
          <w:tcPr>
            <w:tcW w:w="7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FE"/>
            </w:r>
            <w:r>
              <w:rPr>
                <w:rFonts w:hint="eastAsia"/>
                <w:color w:val="auto"/>
                <w:highlight w:val="none"/>
                <w:lang w:val="en-US" w:eastAsia="zh-CN"/>
              </w:rPr>
              <w:t>《</w:t>
            </w:r>
            <w:r>
              <w:rPr>
                <w:rFonts w:hint="eastAsia"/>
                <w:color w:val="auto"/>
                <w:szCs w:val="21"/>
                <w:highlight w:val="none"/>
                <w:lang w:val="en-US" w:eastAsia="zh-CN"/>
              </w:rPr>
              <w:t>应对风险和机遇</w:t>
            </w:r>
            <w:r>
              <w:rPr>
                <w:rFonts w:hint="eastAsia"/>
                <w:color w:val="auto"/>
                <w:highlight w:val="none"/>
              </w:rPr>
              <w:t>控制</w:t>
            </w:r>
            <w:r>
              <w:rPr>
                <w:rFonts w:hint="eastAsia"/>
                <w:color w:val="auto"/>
                <w:highlight w:val="none"/>
                <w:lang w:val="en-US" w:eastAsia="zh-CN"/>
              </w:rPr>
              <w:t>程序》、手册第6.1条款、</w:t>
            </w:r>
            <w:r>
              <w:rPr>
                <w:rFonts w:hint="eastAsia"/>
                <w:color w:val="auto"/>
                <w:highlight w:val="none"/>
                <w:lang w:val="en-US" w:eastAsia="zh-CN"/>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4" w:hRule="atLeast"/>
        </w:trPr>
        <w:tc>
          <w:tcPr>
            <w:tcW w:w="1902" w:type="dxa"/>
            <w:vMerge w:val="continue"/>
            <w:shd w:val="clear" w:color="auto" w:fill="auto"/>
          </w:tcPr>
          <w:p>
            <w:pPr>
              <w:rPr>
                <w:color w:val="auto"/>
                <w:highlight w:val="none"/>
              </w:rPr>
            </w:pPr>
          </w:p>
        </w:tc>
        <w:tc>
          <w:tcPr>
            <w:tcW w:w="1129" w:type="dxa"/>
            <w:vMerge w:val="continue"/>
            <w:shd w:val="clear" w:color="auto" w:fill="auto"/>
          </w:tcPr>
          <w:p>
            <w:pPr>
              <w:rPr>
                <w:color w:val="auto"/>
                <w:highlight w:val="none"/>
              </w:rPr>
            </w:pPr>
          </w:p>
        </w:tc>
        <w:tc>
          <w:tcPr>
            <w:tcW w:w="7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auto"/>
          </w:tcPr>
          <w:p>
            <w:pPr>
              <w:rPr>
                <w:rFonts w:hint="default"/>
                <w:color w:val="auto"/>
                <w:highlight w:val="none"/>
                <w:lang w:val="en-US" w:eastAsia="zh-CN"/>
              </w:rPr>
            </w:pPr>
            <w:r>
              <w:rPr>
                <w:rFonts w:hint="eastAsia"/>
                <w:color w:val="auto"/>
                <w:highlight w:val="none"/>
                <w:lang w:val="en-US" w:eastAsia="zh-CN"/>
              </w:rPr>
              <w:t>分析风险的方法：</w:t>
            </w:r>
            <w:r>
              <w:rPr>
                <w:rFonts w:hint="eastAsia"/>
                <w:color w:val="auto"/>
                <w:highlight w:val="none"/>
                <w:lang w:val="en-US" w:eastAsia="zh-CN"/>
              </w:rPr>
              <w:sym w:font="Wingdings" w:char="00FE"/>
            </w:r>
            <w:r>
              <w:rPr>
                <w:rFonts w:hint="eastAsia"/>
                <w:color w:val="auto"/>
                <w:highlight w:val="none"/>
                <w:lang w:val="en-US" w:eastAsia="zh-CN"/>
              </w:rPr>
              <w:t xml:space="preserve">头脑风暴法 </w:t>
            </w:r>
            <w:r>
              <w:rPr>
                <w:rFonts w:hint="eastAsia"/>
                <w:color w:val="auto"/>
                <w:highlight w:val="none"/>
                <w:lang w:val="en-US" w:eastAsia="zh-CN"/>
              </w:rPr>
              <w:sym w:font="Wingdings" w:char="00A8"/>
            </w:r>
            <w:r>
              <w:rPr>
                <w:rFonts w:hint="eastAsia"/>
                <w:color w:val="auto"/>
                <w:highlight w:val="none"/>
                <w:lang w:val="en-US" w:eastAsia="zh-CN"/>
              </w:rPr>
              <w:t>FMEA（潜在失效模式分析）</w:t>
            </w:r>
            <w:r>
              <w:rPr>
                <w:rFonts w:hint="eastAsia"/>
                <w:color w:val="auto"/>
                <w:highlight w:val="none"/>
                <w:lang w:val="en-US" w:eastAsia="zh-CN"/>
              </w:rPr>
              <w:sym w:font="Wingdings" w:char="00A8"/>
            </w:r>
            <w:r>
              <w:rPr>
                <w:rFonts w:hint="eastAsia"/>
                <w:color w:val="auto"/>
                <w:highlight w:val="none"/>
                <w:lang w:val="en-US" w:eastAsia="zh-CN"/>
              </w:rPr>
              <w:t>其他</w:t>
            </w:r>
          </w:p>
          <w:p>
            <w:pPr>
              <w:ind w:firstLine="420"/>
              <w:rPr>
                <w:rFonts w:hint="eastAsia"/>
                <w:color w:val="auto"/>
                <w:highlight w:val="none"/>
              </w:rPr>
            </w:pPr>
          </w:p>
          <w:p>
            <w:pPr>
              <w:rPr>
                <w:rFonts w:hint="eastAsia"/>
                <w:color w:val="auto"/>
                <w:highlight w:val="none"/>
              </w:rPr>
            </w:pPr>
            <w:r>
              <w:rPr>
                <w:rFonts w:hint="eastAsia"/>
                <w:color w:val="auto"/>
                <w:highlight w:val="none"/>
              </w:rPr>
              <w:t>在确定所需应对的与职业健康安全管理体系及其预期结果有关的风险和机遇时，组织考虑</w:t>
            </w:r>
            <w:r>
              <w:rPr>
                <w:rFonts w:hint="eastAsia"/>
                <w:color w:val="auto"/>
                <w:highlight w:val="none"/>
                <w:lang w:val="en-US" w:eastAsia="zh-CN"/>
              </w:rPr>
              <w:t>了</w:t>
            </w:r>
            <w:r>
              <w:rPr>
                <w:rFonts w:hint="eastAsia"/>
                <w:color w:val="auto"/>
                <w:highlight w:val="none"/>
              </w:rPr>
              <w:t>：</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危险源</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职业健康安全风险和其他风险</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职业健康安全机遇和其他机遇</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法律法规要求和其他要求</w:t>
            </w:r>
          </w:p>
          <w:p>
            <w:pPr>
              <w:rPr>
                <w:rFonts w:hint="eastAsia"/>
                <w:color w:val="auto"/>
                <w:highlight w:val="none"/>
                <w:lang w:val="en-US" w:eastAsia="zh-CN"/>
              </w:rPr>
            </w:pPr>
          </w:p>
          <w:p>
            <w:pPr>
              <w:rPr>
                <w:rFonts w:hint="eastAsia"/>
                <w:color w:val="auto"/>
                <w:highlight w:val="none"/>
              </w:rPr>
            </w:pPr>
            <w:r>
              <w:rPr>
                <w:rFonts w:hint="eastAsia"/>
                <w:color w:val="auto"/>
                <w:highlight w:val="none"/>
                <w:lang w:val="en-US" w:eastAsia="zh-CN"/>
              </w:rPr>
              <w:t xml:space="preserve">列举2~3项应对主要风险的描述：         </w:t>
            </w:r>
          </w:p>
          <w:tbl>
            <w:tblPr>
              <w:tblStyle w:val="13"/>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ascii="宋体" w:hAnsi="宋体" w:cs="宋体"/>
                      <w:szCs w:val="21"/>
                      <w:lang w:eastAsia="zh-CN"/>
                    </w:rPr>
                    <w:t>意外伤害风险</w:t>
                  </w:r>
                </w:p>
              </w:tc>
              <w:tc>
                <w:tcPr>
                  <w:tcW w:w="4861"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300" w:lineRule="exact"/>
                    <w:textAlignment w:val="auto"/>
                    <w:outlineLvl w:val="9"/>
                    <w:rPr>
                      <w:rFonts w:hint="eastAsia" w:ascii="宋体" w:hAnsi="宋体"/>
                      <w:color w:val="000000"/>
                      <w:szCs w:val="21"/>
                    </w:rPr>
                  </w:pPr>
                  <w:r>
                    <w:rPr>
                      <w:rFonts w:hint="eastAsia" w:ascii="宋体" w:hAnsi="宋体"/>
                      <w:color w:val="000000"/>
                      <w:szCs w:val="21"/>
                      <w:lang w:val="en-US" w:eastAsia="zh-CN"/>
                    </w:rPr>
                    <w:t>组织</w:t>
                  </w:r>
                  <w:r>
                    <w:rPr>
                      <w:rFonts w:hint="eastAsia" w:ascii="宋体" w:hAnsi="宋体"/>
                      <w:color w:val="000000"/>
                      <w:szCs w:val="21"/>
                    </w:rPr>
                    <w:t>安全意识教育和技术技能培训；</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textAlignment w:val="auto"/>
                    <w:outlineLvl w:val="9"/>
                    <w:rPr>
                      <w:rFonts w:hint="eastAsia" w:ascii="宋体" w:hAnsi="宋体"/>
                      <w:color w:val="000000"/>
                      <w:szCs w:val="21"/>
                    </w:rPr>
                  </w:pPr>
                  <w:r>
                    <w:rPr>
                      <w:rFonts w:hint="eastAsia" w:ascii="宋体" w:hAnsi="宋体"/>
                      <w:color w:val="000000"/>
                      <w:szCs w:val="21"/>
                      <w:lang w:val="en-US" w:eastAsia="zh-CN"/>
                    </w:rPr>
                    <w:t>完善</w:t>
                  </w:r>
                  <w:r>
                    <w:rPr>
                      <w:rFonts w:hint="eastAsia" w:ascii="宋体" w:hAnsi="宋体"/>
                      <w:color w:val="000000"/>
                      <w:szCs w:val="21"/>
                    </w:rPr>
                    <w:t>安全操作规程，设置警示标识；</w:t>
                  </w:r>
                </w:p>
                <w:p>
                  <w:pPr>
                    <w:keepNext w:val="0"/>
                    <w:keepLines w:val="0"/>
                    <w:widowControl w:val="0"/>
                    <w:numPr>
                      <w:ilvl w:val="0"/>
                      <w:numId w:val="3"/>
                    </w:numPr>
                    <w:suppressLineNumbers w:val="0"/>
                    <w:spacing w:before="0" w:beforeAutospacing="0" w:after="0" w:afterAutospacing="0"/>
                    <w:ind w:left="360" w:leftChars="0" w:right="0" w:rightChars="0" w:hanging="36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ascii="宋体" w:hAnsi="宋体"/>
                      <w:color w:val="000000"/>
                      <w:szCs w:val="21"/>
                    </w:rPr>
                    <w:t>配备防护装备，设立警示标识</w:t>
                  </w:r>
                  <w:r>
                    <w:rPr>
                      <w:rFonts w:hint="eastAsia" w:ascii="宋体" w:hAnsi="宋体"/>
                      <w:color w:val="000000"/>
                      <w:szCs w:val="21"/>
                      <w:lang w:eastAsia="zh-CN"/>
                    </w:rPr>
                    <w:t>。</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t>火灾</w:t>
                  </w:r>
                </w:p>
              </w:tc>
              <w:tc>
                <w:tcPr>
                  <w:tcW w:w="4861" w:type="dxa"/>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300" w:lineRule="exact"/>
                    <w:textAlignment w:val="auto"/>
                    <w:outlineLvl w:val="9"/>
                    <w:rPr>
                      <w:rFonts w:hint="eastAsia" w:ascii="宋体" w:hAnsi="宋体" w:eastAsia="宋体" w:cs="宋体"/>
                      <w:szCs w:val="21"/>
                      <w:lang w:eastAsia="zh-CN"/>
                    </w:rPr>
                  </w:pPr>
                  <w:r>
                    <w:rPr>
                      <w:rFonts w:hint="eastAsia" w:ascii="宋体" w:hAnsi="宋体" w:eastAsia="宋体" w:cs="宋体"/>
                      <w:szCs w:val="21"/>
                      <w:lang w:eastAsia="zh-CN"/>
                    </w:rPr>
                    <w:t>进行用电</w:t>
                  </w:r>
                  <w:r>
                    <w:rPr>
                      <w:rFonts w:hint="eastAsia" w:ascii="宋体" w:hAnsi="宋体" w:cs="宋体"/>
                      <w:szCs w:val="21"/>
                      <w:lang w:eastAsia="zh-CN"/>
                    </w:rPr>
                    <w:t>、</w:t>
                  </w:r>
                  <w:r>
                    <w:rPr>
                      <w:rFonts w:hint="eastAsia" w:ascii="宋体" w:hAnsi="宋体" w:cs="宋体"/>
                      <w:szCs w:val="21"/>
                      <w:lang w:val="en-US" w:eastAsia="zh-CN"/>
                    </w:rPr>
                    <w:t>防火等</w:t>
                  </w:r>
                  <w:r>
                    <w:rPr>
                      <w:rFonts w:hint="eastAsia" w:ascii="宋体" w:hAnsi="宋体" w:eastAsia="宋体" w:cs="宋体"/>
                      <w:szCs w:val="21"/>
                      <w:lang w:eastAsia="zh-CN"/>
                    </w:rPr>
                    <w:t>安全教育；</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textAlignment w:val="auto"/>
                    <w:outlineLvl w:val="9"/>
                    <w:rPr>
                      <w:rFonts w:hint="eastAsia" w:ascii="宋体" w:hAnsi="宋体" w:eastAsia="宋体" w:cs="宋体"/>
                      <w:szCs w:val="32"/>
                      <w:lang w:val="en-US" w:eastAsia="zh-CN"/>
                    </w:rPr>
                  </w:pPr>
                  <w:r>
                    <w:rPr>
                      <w:rFonts w:hint="eastAsia" w:ascii="宋体" w:hAnsi="宋体" w:eastAsia="宋体" w:cs="宋体"/>
                      <w:szCs w:val="21"/>
                      <w:lang w:eastAsia="zh-CN"/>
                    </w:rPr>
                    <w:t>专业电工进行用电线路的维修；</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ascii="宋体" w:hAnsi="宋体" w:cs="宋体"/>
                      <w:szCs w:val="32"/>
                      <w:lang w:val="en-US" w:eastAsia="zh-CN"/>
                    </w:rPr>
                    <w:t>3、定期进行火灾应急演练。</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bl>
          <w:p>
            <w:pPr>
              <w:rPr>
                <w:rFonts w:hint="default"/>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 xml:space="preserve">改进职业健康安全绩效的机遇可包括： </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rPr>
              <w:t>发挥检查和审核作用</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工作危险源分析（工作安全分析）和相关任务评价</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通过减轻单调的工作或具有潜在危险的预设工作速率的工作来改进职业健康安全绩效</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工作许可及其他的认可和控制方法</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事件或不符合调查和纠正措施</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人类工效学和其他与伤害预防有关的评价</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改进职业健康安全绩效的其他机遇包括：</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对于设施重置、过程重设，或机器和厂房的更换的策划，在设施、设备或过程的生命周期最早期阶段融入职业健康安全要求；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对于设施重置、过程重设，或机器和厂房的更换，在策划的最早期阶段融入职业健康安全要求；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应用新技术提升职业健康安全绩效；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通过诸如扩展超越要求的与职业健康安全相关的能力，或鼓励工作人员及时报告事件等来改善职业健康安全文化；</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提高对最高管理者支持职业健康安全管理体系的感知度；</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强化事件调查过程；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改进工作人员协商和参与的过程；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标杆管理，包括考虑组织自身以往的绩效和其他组织的绩效；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在职业健康安全专题论坛中寻求合作。</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列举2~3项应对重要机遇的描述：</w:t>
            </w:r>
          </w:p>
          <w:tbl>
            <w:tblPr>
              <w:tblStyle w:val="13"/>
              <w:tblpPr w:leftFromText="180" w:rightFromText="180" w:vertAnchor="text" w:horzAnchor="page" w:tblpX="106" w:tblpY="2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48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主要的机遇描述</w:t>
                  </w:r>
                </w:p>
              </w:tc>
              <w:tc>
                <w:tcPr>
                  <w:tcW w:w="485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949" w:type="dxa"/>
                  <w:vAlign w:val="top"/>
                </w:tcPr>
                <w:p>
                  <w:pPr>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良好的市场竞争</w:t>
                  </w:r>
                </w:p>
              </w:tc>
              <w:tc>
                <w:tcPr>
                  <w:tcW w:w="4856" w:type="dxa"/>
                  <w:vAlign w:val="top"/>
                </w:tcPr>
                <w:p>
                  <w:pPr>
                    <w:pStyle w:val="9"/>
                    <w:numPr>
                      <w:ilvl w:val="0"/>
                      <w:numId w:val="5"/>
                    </w:numPr>
                    <w:spacing w:line="360" w:lineRule="auto"/>
                    <w:rPr>
                      <w:rFonts w:hint="default"/>
                      <w:lang w:val="en-US" w:eastAsia="zh-CN"/>
                    </w:rPr>
                  </w:pPr>
                  <w:r>
                    <w:rPr>
                      <w:rFonts w:hint="eastAsia"/>
                      <w:lang w:val="en-US" w:eastAsia="zh-CN"/>
                    </w:rPr>
                    <w:t>团队凝聚力较强；</w:t>
                  </w:r>
                </w:p>
                <w:p>
                  <w:pPr>
                    <w:pStyle w:val="9"/>
                    <w:numPr>
                      <w:ilvl w:val="0"/>
                      <w:numId w:val="5"/>
                    </w:numPr>
                    <w:spacing w:line="360" w:lineRule="auto"/>
                    <w:rPr>
                      <w:rFonts w:hint="default"/>
                      <w:lang w:val="en-US" w:eastAsia="zh-CN"/>
                    </w:rPr>
                  </w:pPr>
                  <w:r>
                    <w:rPr>
                      <w:rFonts w:hint="eastAsia"/>
                      <w:lang w:val="en-US" w:eastAsia="zh-CN"/>
                    </w:rPr>
                    <w:t>翻碎沙酒生产体量大；</w:t>
                  </w:r>
                </w:p>
                <w:p>
                  <w:pPr>
                    <w:pStyle w:val="9"/>
                    <w:numPr>
                      <w:ilvl w:val="0"/>
                      <w:numId w:val="5"/>
                    </w:numPr>
                    <w:spacing w:line="360" w:lineRule="auto"/>
                    <w:rPr>
                      <w:rFonts w:hint="default"/>
                      <w:lang w:val="en-US" w:eastAsia="zh-CN"/>
                    </w:rPr>
                  </w:pPr>
                  <w:r>
                    <w:rPr>
                      <w:rFonts w:hint="eastAsia"/>
                      <w:lang w:val="en-US" w:eastAsia="zh-CN"/>
                    </w:rPr>
                    <w:t>产品质量稳定、满足客户要求</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856"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p>
              </w:tc>
              <w:tc>
                <w:tcPr>
                  <w:tcW w:w="4856"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r>
          </w:tbl>
          <w:p>
            <w:pPr>
              <w:rPr>
                <w:rFonts w:hint="eastAsia"/>
                <w:color w:val="auto"/>
                <w:highlight w:val="none"/>
              </w:rPr>
            </w:pPr>
          </w:p>
          <w:p>
            <w:pPr>
              <w:rPr>
                <w:rFonts w:hint="default" w:eastAsia="宋体"/>
                <w:color w:val="auto"/>
                <w:highlight w:val="none"/>
                <w:lang w:val="en-US" w:eastAsia="zh-CN"/>
              </w:rPr>
            </w:pPr>
            <w:r>
              <w:rPr>
                <w:rFonts w:hint="eastAsia"/>
                <w:color w:val="auto"/>
                <w:highlight w:val="none"/>
                <w:lang w:eastAsia="zh-CN"/>
              </w:rPr>
              <w:t>组织</w:t>
            </w:r>
            <w:r>
              <w:rPr>
                <w:rFonts w:hint="eastAsia"/>
                <w:color w:val="auto"/>
                <w:highlight w:val="none"/>
                <w:lang w:val="en-US" w:eastAsia="zh-CN"/>
              </w:rPr>
              <w:t>职业健康安全</w:t>
            </w:r>
            <w:r>
              <w:rPr>
                <w:rFonts w:hint="eastAsia"/>
                <w:color w:val="auto"/>
                <w:highlight w:val="none"/>
                <w:lang w:eastAsia="zh-CN"/>
              </w:rPr>
              <w:t>管理体系范围内的潜在紧急情况，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法规未识别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违规操作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其他                      </w:t>
            </w:r>
          </w:p>
          <w:p>
            <w:pPr>
              <w:rPr>
                <w:rFonts w:hint="eastAsia"/>
                <w:color w:val="auto"/>
                <w:highlight w:val="none"/>
                <w:lang w:eastAsia="zh-CN"/>
              </w:rPr>
            </w:pPr>
          </w:p>
          <w:p>
            <w:pPr>
              <w:rPr>
                <w:rFonts w:hint="eastAsia"/>
                <w:color w:val="auto"/>
                <w:highlight w:val="none"/>
                <w:u w:val="single"/>
                <w:lang w:val="en-US" w:eastAsia="zh-CN"/>
              </w:rPr>
            </w:pPr>
            <w:r>
              <w:rPr>
                <w:rFonts w:hint="eastAsia"/>
                <w:color w:val="auto"/>
                <w:highlight w:val="none"/>
                <w:lang w:eastAsia="zh-CN"/>
              </w:rPr>
              <w:t>可能具有</w:t>
            </w:r>
            <w:r>
              <w:rPr>
                <w:rFonts w:hint="eastAsia"/>
                <w:color w:val="auto"/>
                <w:highlight w:val="none"/>
                <w:lang w:val="en-US" w:eastAsia="zh-CN"/>
              </w:rPr>
              <w:t>职业健康安全风险</w:t>
            </w:r>
            <w:r>
              <w:rPr>
                <w:rFonts w:hint="eastAsia"/>
                <w:color w:val="auto"/>
                <w:highlight w:val="none"/>
                <w:lang w:eastAsia="zh-CN"/>
              </w:rPr>
              <w:t>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火灾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危化品泄露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发生工伤  </w:t>
            </w:r>
            <w:r>
              <w:rPr>
                <w:rFonts w:hint="eastAsia"/>
                <w:color w:val="auto"/>
                <w:highlight w:val="none"/>
                <w:u w:val="single"/>
                <w:lang w:val="en-US" w:eastAsia="zh-CN"/>
              </w:rPr>
              <w:sym w:font="Wingdings" w:char="00A8"/>
            </w:r>
            <w:r>
              <w:rPr>
                <w:rFonts w:hint="eastAsia"/>
                <w:color w:val="auto"/>
                <w:highlight w:val="none"/>
                <w:u w:val="single"/>
                <w:lang w:val="en-US" w:eastAsia="zh-CN"/>
              </w:rPr>
              <w:t>锅炉爆炸</w:t>
            </w:r>
          </w:p>
          <w:p>
            <w:pPr>
              <w:rPr>
                <w:rFonts w:hint="default" w:eastAsia="宋体"/>
                <w:color w:val="auto"/>
                <w:highlight w:val="none"/>
                <w:lang w:val="en-US" w:eastAsia="zh-CN"/>
              </w:rPr>
            </w:pP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 职业病产生             </w:t>
            </w:r>
          </w:p>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 w:hRule="atLeast"/>
        </w:trPr>
        <w:tc>
          <w:tcPr>
            <w:tcW w:w="1902" w:type="dxa"/>
            <w:vMerge w:val="restart"/>
            <w:shd w:val="clear" w:color="auto" w:fill="auto"/>
          </w:tcPr>
          <w:p/>
        </w:tc>
        <w:tc>
          <w:tcPr>
            <w:tcW w:w="1129" w:type="dxa"/>
            <w:shd w:val="clear" w:color="auto" w:fill="auto"/>
          </w:tcPr>
          <w:p>
            <w:r>
              <w:rPr>
                <w:rFonts w:hint="eastAsia"/>
                <w:color w:val="000000"/>
                <w:szCs w:val="21"/>
              </w:rPr>
              <w:t>F6.1.2</w:t>
            </w:r>
          </w:p>
        </w:tc>
        <w:tc>
          <w:tcPr>
            <w:tcW w:w="745" w:type="dxa"/>
            <w:shd w:val="clear" w:color="auto" w:fill="auto"/>
          </w:tcPr>
          <w:p>
            <w:r>
              <w:rPr>
                <w:rFonts w:hint="eastAsia"/>
              </w:rPr>
              <w:t>运行证据</w:t>
            </w:r>
          </w:p>
        </w:tc>
        <w:tc>
          <w:tcPr>
            <w:tcW w:w="9260" w:type="dxa"/>
            <w:gridSpan w:val="2"/>
            <w:shd w:val="clear" w:color="auto" w:fill="auto"/>
          </w:tcPr>
          <w:p>
            <w:pPr>
              <w:rPr>
                <w:rFonts w:ascii="CIDFont+F5" w:hAnsi="CIDFont+F5" w:eastAsia="CIDFont+F5"/>
              </w:rPr>
            </w:pPr>
            <w:r>
              <w:rPr>
                <w:rFonts w:hint="eastAsia" w:ascii="CIDFont+F5" w:hAnsi="CIDFont+F5" w:eastAsia="CIDFont+F5"/>
              </w:rPr>
              <w:t>该组织策划了：</w:t>
            </w:r>
          </w:p>
          <w:p>
            <w:pPr>
              <w:jc w:val="left"/>
              <w:rPr>
                <w:rFonts w:hint="default" w:ascii="CIDFont+F5" w:hAnsi="CIDFont+F5" w:eastAsia="CIDFont+F5"/>
                <w:lang w:val="en-US" w:eastAsia="zh-CN"/>
              </w:rPr>
            </w:pPr>
            <w:r>
              <w:rPr>
                <w:rFonts w:hint="eastAsia" w:ascii="CIDFont+F5" w:hAnsi="CIDFont+F5" w:eastAsia="CIDFont+F5"/>
              </w:rPr>
              <w:t>a) 解决这些风险和机遇的行动;——</w:t>
            </w:r>
            <w:r>
              <w:rPr>
                <w:rFonts w:hint="eastAsia" w:ascii="CIDFont+F5" w:hAnsi="CIDFont+F5" w:eastAsia="CIDFont+F5"/>
                <w:lang w:val="en-US" w:eastAsia="zh-CN"/>
              </w:rPr>
              <w:t>提供了《风险及机遇措施评估分析表》；</w:t>
            </w:r>
          </w:p>
          <w:p>
            <w:pPr>
              <w:jc w:val="left"/>
              <w:rPr>
                <w:rFonts w:ascii="CIDFont+F5" w:hAnsi="CIDFont+F5" w:eastAsia="CIDFont+F5"/>
              </w:rPr>
            </w:pPr>
            <w:r>
              <w:rPr>
                <w:rFonts w:hint="eastAsia" w:ascii="CIDFont+F5" w:hAnsi="CIDFont+F5" w:eastAsia="CIDFont+F5"/>
              </w:rPr>
              <w:t>b) 并进行了:</w:t>
            </w:r>
          </w:p>
          <w:p>
            <w:pPr>
              <w:ind w:firstLine="210" w:firstLineChars="100"/>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ind w:firstLine="210" w:firstLineChars="100"/>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1902" w:type="dxa"/>
            <w:vMerge w:val="continue"/>
            <w:shd w:val="clear" w:color="auto" w:fill="auto"/>
          </w:tcPr>
          <w:p/>
        </w:tc>
        <w:tc>
          <w:tcPr>
            <w:tcW w:w="1129" w:type="dxa"/>
            <w:shd w:val="clear" w:color="auto" w:fill="auto"/>
          </w:tcPr>
          <w:p>
            <w:r>
              <w:rPr>
                <w:rFonts w:hint="eastAsia"/>
                <w:color w:val="000000"/>
                <w:szCs w:val="21"/>
              </w:rPr>
              <w:t>F6.1.3</w:t>
            </w:r>
          </w:p>
        </w:tc>
        <w:tc>
          <w:tcPr>
            <w:tcW w:w="745" w:type="dxa"/>
            <w:shd w:val="clear" w:color="auto" w:fill="auto"/>
          </w:tcPr>
          <w:p>
            <w:r>
              <w:rPr>
                <w:rFonts w:hint="eastAsia"/>
              </w:rPr>
              <w:t>运行证据</w:t>
            </w:r>
          </w:p>
        </w:tc>
        <w:tc>
          <w:tcPr>
            <w:tcW w:w="9260" w:type="dxa"/>
            <w:gridSpan w:val="2"/>
            <w:shd w:val="clear" w:color="auto" w:fill="auto"/>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pPr>
              <w:rPr>
                <w:rFonts w:hint="default"/>
                <w:color w:val="auto"/>
                <w:highlight w:val="none"/>
                <w:lang w:val="en-US"/>
              </w:rPr>
            </w:pPr>
            <w:r>
              <w:rPr>
                <w:rFonts w:hint="eastAsia"/>
                <w:color w:val="auto"/>
                <w:highlight w:val="none"/>
              </w:rPr>
              <w:t xml:space="preserve">职业健康安全风险和职业健康安全管理体系的其他风险的评价 </w:t>
            </w:r>
          </w:p>
        </w:tc>
        <w:tc>
          <w:tcPr>
            <w:tcW w:w="1129" w:type="dxa"/>
            <w:vMerge w:val="restart"/>
            <w:shd w:val="clear" w:color="auto" w:fill="auto"/>
          </w:tcPr>
          <w:p>
            <w:pPr>
              <w:rPr>
                <w:rFonts w:hint="default"/>
                <w:color w:val="auto"/>
                <w:highlight w:val="none"/>
                <w:lang w:val="en-US"/>
              </w:rPr>
            </w:pPr>
            <w:r>
              <w:rPr>
                <w:rFonts w:hint="eastAsia"/>
                <w:color w:val="auto"/>
                <w:szCs w:val="21"/>
                <w:highlight w:val="none"/>
                <w:lang w:val="en-US" w:eastAsia="zh-CN"/>
              </w:rPr>
              <w:t>O6.1.3</w:t>
            </w:r>
          </w:p>
        </w:tc>
        <w:tc>
          <w:tcPr>
            <w:tcW w:w="7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auto"/>
          </w:tcPr>
          <w:p>
            <w:pPr>
              <w:rPr>
                <w:color w:val="auto"/>
                <w:highlight w:val="none"/>
              </w:rPr>
            </w:pPr>
            <w:r>
              <w:rPr>
                <w:rFonts w:hint="eastAsia"/>
                <w:color w:val="auto"/>
                <w:highlight w:val="none"/>
                <w:lang w:val="en-US" w:eastAsia="zh-CN"/>
              </w:rPr>
              <w:t>如：</w:t>
            </w:r>
            <w:r>
              <w:rPr>
                <w:color w:val="auto"/>
                <w:highlight w:val="none"/>
              </w:rPr>
              <w:sym w:font="Wingdings" w:char="00FE"/>
            </w:r>
            <w:r>
              <w:rPr>
                <w:rFonts w:hint="eastAsia"/>
                <w:color w:val="auto"/>
                <w:highlight w:val="none"/>
                <w:lang w:val="en-US" w:eastAsia="zh-CN"/>
              </w:rPr>
              <w:t>手册第</w:t>
            </w:r>
            <w:r>
              <w:rPr>
                <w:rFonts w:hint="eastAsia"/>
                <w:sz w:val="21"/>
                <w:szCs w:val="21"/>
                <w:lang w:val="en-US" w:eastAsia="zh-CN"/>
              </w:rPr>
              <w:t>6.1</w:t>
            </w:r>
            <w:r>
              <w:rPr>
                <w:rFonts w:hint="eastAsia"/>
                <w:color w:val="auto"/>
                <w:highlight w:val="none"/>
                <w:lang w:val="en-US" w:eastAsia="zh-CN"/>
              </w:rPr>
              <w:t>条款、</w:t>
            </w:r>
            <w:r>
              <w:rPr>
                <w:color w:val="auto"/>
                <w:highlight w:val="none"/>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1902" w:type="dxa"/>
            <w:vMerge w:val="continue"/>
            <w:shd w:val="clear" w:color="auto" w:fill="auto"/>
          </w:tcPr>
          <w:p>
            <w:pPr>
              <w:rPr>
                <w:color w:val="auto"/>
                <w:highlight w:val="none"/>
              </w:rPr>
            </w:pPr>
          </w:p>
        </w:tc>
        <w:tc>
          <w:tcPr>
            <w:tcW w:w="1129" w:type="dxa"/>
            <w:vMerge w:val="continue"/>
            <w:shd w:val="clear" w:color="auto" w:fill="auto"/>
          </w:tcPr>
          <w:p>
            <w:pPr>
              <w:rPr>
                <w:color w:val="auto"/>
                <w:highlight w:val="none"/>
              </w:rPr>
            </w:pPr>
          </w:p>
        </w:tc>
        <w:tc>
          <w:tcPr>
            <w:tcW w:w="7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bl>
            <w:tblPr>
              <w:tblStyle w:val="12"/>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3328"/>
              <w:gridCol w:w="1390"/>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0"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风险</w:t>
                  </w:r>
                </w:p>
              </w:tc>
              <w:tc>
                <w:tcPr>
                  <w:tcW w:w="3328"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90"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责任部门</w:t>
                  </w:r>
                </w:p>
              </w:tc>
              <w:tc>
                <w:tcPr>
                  <w:tcW w:w="1791" w:type="dxa"/>
                  <w:shd w:val="clear" w:color="auto" w:fill="auto"/>
                </w:tcPr>
                <w:p>
                  <w:pPr>
                    <w:keepNext w:val="0"/>
                    <w:keepLines w:val="0"/>
                    <w:suppressLineNumbers w:val="0"/>
                    <w:spacing w:before="0" w:beforeAutospacing="0" w:after="0" w:afterAutospacing="0"/>
                    <w:ind w:left="0" w:right="0"/>
                    <w:jc w:val="center"/>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机械伤害、摔倒</w:t>
                  </w:r>
                </w:p>
              </w:tc>
              <w:tc>
                <w:tcPr>
                  <w:tcW w:w="3328"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保持地面无积水、配备医药箱、安装防护标识、应急演练</w:t>
                  </w:r>
                </w:p>
              </w:tc>
              <w:tc>
                <w:tcPr>
                  <w:tcW w:w="1390"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9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Times New Roman"/>
                      <w:color w:val="auto"/>
                      <w:highlight w:val="none"/>
                      <w:lang w:val="en-US" w:eastAsia="zh-CN"/>
                    </w:rPr>
                  </w:pPr>
                  <w:r>
                    <w:rPr>
                      <w:rFonts w:hint="eastAsia" w:cs="Times New Roman"/>
                      <w:color w:val="auto"/>
                      <w:kern w:val="2"/>
                      <w:sz w:val="21"/>
                      <w:szCs w:val="24"/>
                      <w:highlight w:val="none"/>
                      <w:lang w:val="en-US" w:eastAsia="zh-CN" w:bidi="ar-SA"/>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val="en-US" w:eastAsia="zh-CN"/>
                    </w:rPr>
                  </w:pPr>
                  <w:r>
                    <w:rPr>
                      <w:rFonts w:hint="eastAsia"/>
                      <w:color w:val="auto"/>
                      <w:highlight w:val="none"/>
                      <w:lang w:val="en-US" w:eastAsia="zh-CN"/>
                    </w:rPr>
                    <w:t>高温烫伤、中暑</w:t>
                  </w:r>
                </w:p>
              </w:tc>
              <w:tc>
                <w:tcPr>
                  <w:tcW w:w="3328"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配备医药箱、发放防暑降温用品、警示标示</w:t>
                  </w:r>
                </w:p>
              </w:tc>
              <w:tc>
                <w:tcPr>
                  <w:tcW w:w="139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91"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火灾爆炸</w:t>
                  </w:r>
                </w:p>
              </w:tc>
              <w:tc>
                <w:tcPr>
                  <w:tcW w:w="3328" w:type="dxa"/>
                  <w:shd w:val="clear" w:color="auto" w:fill="auto"/>
                  <w:vAlign w:val="center"/>
                </w:tcPr>
                <w:p>
                  <w:pPr>
                    <w:keepNext w:val="0"/>
                    <w:keepLines w:val="0"/>
                    <w:suppressLineNumbers w:val="0"/>
                    <w:spacing w:before="0" w:beforeAutospacing="0" w:after="0" w:afterAutospacing="0"/>
                    <w:ind w:left="0" w:leftChars="0" w:right="0" w:rightChars="0"/>
                    <w:rPr>
                      <w:rFonts w:hint="default"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应急预案、应急演练、防雷检测等</w:t>
                  </w:r>
                </w:p>
              </w:tc>
              <w:tc>
                <w:tcPr>
                  <w:tcW w:w="139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91"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shd w:val="clear" w:color="auto" w:fill="auto"/>
                </w:tcPr>
                <w:p>
                  <w:pPr>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rPr>
                    <w:t>其他</w:t>
                  </w:r>
                  <w:r>
                    <w:rPr>
                      <w:rFonts w:hint="eastAsia"/>
                      <w:color w:val="auto"/>
                      <w:highlight w:val="none"/>
                      <w:lang w:val="en-US" w:eastAsia="zh-CN"/>
                    </w:rPr>
                    <w:t>风险（新冠疫情）</w:t>
                  </w:r>
                </w:p>
              </w:tc>
              <w:tc>
                <w:tcPr>
                  <w:tcW w:w="3328"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每年进行危险源识别、疫情防控应急预案</w:t>
                  </w:r>
                </w:p>
              </w:tc>
              <w:tc>
                <w:tcPr>
                  <w:tcW w:w="139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91"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shd w:val="clear" w:color="auto" w:fill="auto"/>
                </w:tcPr>
                <w:p>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lang w:eastAsia="zh-CN"/>
                    </w:rPr>
                    <w:t>物体打击、高处坠落</w:t>
                  </w:r>
                </w:p>
              </w:tc>
              <w:tc>
                <w:tcPr>
                  <w:tcW w:w="3328"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落实安全防护设施</w:t>
                  </w:r>
                </w:p>
              </w:tc>
              <w:tc>
                <w:tcPr>
                  <w:tcW w:w="139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设备能源部、生产管理部</w:t>
                  </w:r>
                </w:p>
              </w:tc>
              <w:tc>
                <w:tcPr>
                  <w:tcW w:w="1791"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color w:val="auto"/>
                      <w:highlight w:val="none"/>
                    </w:rPr>
                  </w:pPr>
                  <w:r>
                    <w:rPr>
                      <w:rFonts w:hint="eastAsia" w:cs="Times New Roman"/>
                      <w:color w:val="auto"/>
                      <w:kern w:val="2"/>
                      <w:sz w:val="21"/>
                      <w:szCs w:val="24"/>
                      <w:highlight w:val="none"/>
                      <w:lang w:val="en-US" w:eastAsia="zh-CN" w:bidi="ar-SA"/>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240" w:type="dxa"/>
                  <w:shd w:val="clear" w:color="auto" w:fill="auto"/>
                </w:tcPr>
                <w:p>
                  <w:pPr>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lang w:val="en-US" w:eastAsia="zh-CN"/>
                    </w:rPr>
                    <w:t>食物中毒</w:t>
                  </w:r>
                </w:p>
              </w:tc>
              <w:tc>
                <w:tcPr>
                  <w:tcW w:w="3328"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default" w:ascii="宋体" w:hAnsi="宋体" w:eastAsia="宋体" w:cs="Times New Roman"/>
                      <w:color w:val="auto"/>
                      <w:kern w:val="2"/>
                      <w:sz w:val="21"/>
                      <w:szCs w:val="24"/>
                      <w:highlight w:val="none"/>
                      <w:lang w:val="en-US" w:eastAsia="zh-CN" w:bidi="ar-SA"/>
                    </w:rPr>
                    <w:t>加强食堂物资采购管理、抽样检查，食品安全管理</w:t>
                  </w:r>
                </w:p>
              </w:tc>
              <w:tc>
                <w:tcPr>
                  <w:tcW w:w="1390"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综合管理办公室</w:t>
                  </w:r>
                </w:p>
              </w:tc>
              <w:tc>
                <w:tcPr>
                  <w:tcW w:w="1791"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eastAsia="zh-CN"/>
                    </w:rPr>
                  </w:pPr>
                  <w:r>
                    <w:rPr>
                      <w:rFonts w:hint="eastAsia" w:eastAsia="宋体"/>
                      <w:color w:val="auto"/>
                      <w:highlight w:val="none"/>
                      <w:lang w:eastAsia="zh-CN"/>
                    </w:rPr>
                    <w:t>交通事故</w:t>
                  </w:r>
                </w:p>
              </w:tc>
              <w:tc>
                <w:tcPr>
                  <w:tcW w:w="3328"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加强交规培训、持证上岗</w:t>
                  </w:r>
                </w:p>
              </w:tc>
              <w:tc>
                <w:tcPr>
                  <w:tcW w:w="139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综合管理办公室</w:t>
                  </w:r>
                </w:p>
              </w:tc>
              <w:tc>
                <w:tcPr>
                  <w:tcW w:w="1791"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r>
                    <w:rPr>
                      <w:rFonts w:hint="eastAsia" w:ascii="宋体" w:hAnsi="宋体"/>
                      <w:color w:val="auto"/>
                      <w:highlight w:val="none"/>
                      <w:lang w:val="en-US" w:eastAsia="zh-CN"/>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shd w:val="clear" w:color="auto" w:fill="auto"/>
                </w:tcPr>
                <w:p>
                  <w:pPr>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lang w:val="en-US" w:eastAsia="zh-CN"/>
                    </w:rPr>
                    <w:t>触电</w:t>
                  </w:r>
                </w:p>
              </w:tc>
              <w:tc>
                <w:tcPr>
                  <w:tcW w:w="3328" w:type="dxa"/>
                  <w:shd w:val="clear" w:color="auto" w:fill="auto"/>
                  <w:vAlign w:val="center"/>
                </w:tcPr>
                <w:p>
                  <w:pPr>
                    <w:keepNext w:val="0"/>
                    <w:keepLines w:val="0"/>
                    <w:suppressLineNumbers w:val="0"/>
                    <w:spacing w:before="0" w:beforeAutospacing="0" w:after="0" w:afterAutospacing="0"/>
                    <w:ind w:left="0" w:right="0"/>
                    <w:rPr>
                      <w:rFonts w:hint="default"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应急预案、持证上岗、加强培训等</w:t>
                  </w:r>
                </w:p>
              </w:tc>
              <w:tc>
                <w:tcPr>
                  <w:tcW w:w="139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设备能源部、生产管理部</w:t>
                  </w:r>
                </w:p>
              </w:tc>
              <w:tc>
                <w:tcPr>
                  <w:tcW w:w="1791"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安全环保部</w:t>
                  </w:r>
                </w:p>
              </w:tc>
            </w:tr>
          </w:tbl>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pPr>
              <w:pStyle w:val="22"/>
              <w:numPr>
                <w:ilvl w:val="4"/>
                <w:numId w:val="0"/>
              </w:numPr>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职业健康安全机遇和职业健康安全管理体系的其他机遇的评价</w:t>
            </w:r>
          </w:p>
          <w:p>
            <w:pPr>
              <w:rPr>
                <w:rFonts w:hint="default"/>
                <w:color w:val="auto"/>
                <w:highlight w:val="none"/>
                <w:lang w:val="en-US"/>
              </w:rPr>
            </w:pPr>
            <w:r>
              <w:rPr>
                <w:rFonts w:hint="eastAsia"/>
                <w:color w:val="auto"/>
                <w:highlight w:val="none"/>
              </w:rPr>
              <w:t xml:space="preserve"> </w:t>
            </w:r>
          </w:p>
        </w:tc>
        <w:tc>
          <w:tcPr>
            <w:tcW w:w="1129" w:type="dxa"/>
            <w:vMerge w:val="restart"/>
            <w:shd w:val="clear" w:color="auto" w:fill="auto"/>
          </w:tcPr>
          <w:p>
            <w:pPr>
              <w:rPr>
                <w:color w:val="auto"/>
                <w:highlight w:val="none"/>
              </w:rPr>
            </w:pPr>
            <w:r>
              <w:rPr>
                <w:rFonts w:hint="eastAsia"/>
                <w:color w:val="auto"/>
                <w:szCs w:val="21"/>
                <w:highlight w:val="none"/>
                <w:lang w:val="en-US" w:eastAsia="zh-CN"/>
              </w:rPr>
              <w:t>O6.1.3</w:t>
            </w:r>
          </w:p>
        </w:tc>
        <w:tc>
          <w:tcPr>
            <w:tcW w:w="745" w:type="dxa"/>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60"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FE"/>
            </w:r>
            <w:r>
              <w:rPr>
                <w:rFonts w:hint="eastAsia"/>
                <w:color w:val="auto"/>
                <w:highlight w:val="none"/>
                <w:lang w:val="en-US" w:eastAsia="zh-CN"/>
              </w:rPr>
              <w:t>手册第</w:t>
            </w:r>
            <w:r>
              <w:rPr>
                <w:rFonts w:hint="eastAsia"/>
                <w:sz w:val="21"/>
                <w:szCs w:val="21"/>
                <w:lang w:val="en-US" w:eastAsia="zh-CN"/>
              </w:rPr>
              <w:t>6.1</w:t>
            </w:r>
            <w:r>
              <w:rPr>
                <w:rFonts w:hint="eastAsia"/>
                <w:color w:val="auto"/>
                <w:highlight w:val="none"/>
                <w:lang w:val="en-US" w:eastAsia="zh-CN"/>
              </w:rPr>
              <w:t>条款、</w:t>
            </w:r>
            <w:r>
              <w:rPr>
                <w:color w:val="auto"/>
                <w:highlight w:val="none"/>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8" w:hRule="atLeast"/>
        </w:trPr>
        <w:tc>
          <w:tcPr>
            <w:tcW w:w="1902" w:type="dxa"/>
            <w:vMerge w:val="continue"/>
            <w:shd w:val="clear" w:color="auto" w:fill="auto"/>
          </w:tcPr>
          <w:p>
            <w:pPr>
              <w:rPr>
                <w:color w:val="auto"/>
                <w:highlight w:val="none"/>
              </w:rPr>
            </w:pPr>
          </w:p>
        </w:tc>
        <w:tc>
          <w:tcPr>
            <w:tcW w:w="1129" w:type="dxa"/>
            <w:vMerge w:val="continue"/>
            <w:shd w:val="clear" w:color="auto" w:fill="auto"/>
          </w:tcPr>
          <w:p>
            <w:pPr>
              <w:rPr>
                <w:color w:val="auto"/>
                <w:highlight w:val="none"/>
              </w:rPr>
            </w:pPr>
          </w:p>
        </w:tc>
        <w:tc>
          <w:tcPr>
            <w:tcW w:w="745" w:type="dxa"/>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60"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tbl>
            <w:tblPr>
              <w:tblStyle w:val="12"/>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562"/>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绩效</w:t>
                  </w:r>
                </w:p>
              </w:tc>
              <w:tc>
                <w:tcPr>
                  <w:tcW w:w="2562"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责任部门</w:t>
                  </w:r>
                </w:p>
              </w:tc>
              <w:tc>
                <w:tcPr>
                  <w:tcW w:w="1774"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工作、工作组织和工作环境适合</w:t>
                  </w:r>
                  <w:r>
                    <w:rPr>
                      <w:color w:val="auto"/>
                      <w:highlight w:val="none"/>
                    </w:rPr>
                    <w:t>于</w:t>
                  </w:r>
                  <w:r>
                    <w:rPr>
                      <w:rFonts w:hint="eastAsia"/>
                      <w:color w:val="auto"/>
                      <w:highlight w:val="none"/>
                    </w:rPr>
                    <w:t>工作人员</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制定方案、操作规程</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GB"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消除危险源</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减少误操作、定期培训</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rPr>
                    <w:t>降低职业健康安全风险</w:t>
                  </w:r>
                </w:p>
              </w:tc>
              <w:tc>
                <w:tcPr>
                  <w:tcW w:w="2562"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减少危险接触、应急演练及预案</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其他机遇</w:t>
                  </w:r>
                </w:p>
              </w:tc>
              <w:tc>
                <w:tcPr>
                  <w:tcW w:w="2562"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加强员工培训</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组织人事部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auto"/>
                </w:tcPr>
                <w:p>
                  <w:pPr>
                    <w:keepNext w:val="0"/>
                    <w:keepLines w:val="0"/>
                    <w:suppressLineNumbers w:val="0"/>
                    <w:spacing w:before="0" w:beforeAutospacing="0" w:after="0" w:afterAutospacing="0"/>
                    <w:ind w:left="0" w:right="0"/>
                    <w:rPr>
                      <w:rFonts w:hint="eastAsia"/>
                      <w:color w:val="auto"/>
                      <w:highlight w:val="none"/>
                    </w:rPr>
                  </w:pPr>
                </w:p>
              </w:tc>
              <w:tc>
                <w:tcPr>
                  <w:tcW w:w="2562"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pPr>
              <w:rPr>
                <w:color w:val="000000"/>
                <w:szCs w:val="21"/>
                <w:highlight w:val="none"/>
              </w:rPr>
            </w:pPr>
            <w:r>
              <w:rPr>
                <w:rFonts w:hint="eastAsia"/>
                <w:color w:val="000000"/>
                <w:szCs w:val="21"/>
                <w:highlight w:val="none"/>
                <w:lang w:val="en-US" w:eastAsia="zh-CN"/>
              </w:rPr>
              <w:t>管理</w:t>
            </w:r>
            <w:r>
              <w:rPr>
                <w:rFonts w:hint="eastAsia"/>
                <w:color w:val="000000"/>
                <w:szCs w:val="21"/>
                <w:highlight w:val="none"/>
              </w:rPr>
              <w:t>目标及其实现的策划</w:t>
            </w:r>
          </w:p>
          <w:p>
            <w:pPr>
              <w:rPr>
                <w:highlight w:val="none"/>
              </w:rPr>
            </w:pPr>
          </w:p>
        </w:tc>
        <w:tc>
          <w:tcPr>
            <w:tcW w:w="1129" w:type="dxa"/>
            <w:vMerge w:val="restart"/>
            <w:shd w:val="clear" w:color="auto" w:fill="auto"/>
          </w:tcPr>
          <w:p>
            <w:r>
              <w:rPr>
                <w:rFonts w:hint="eastAsia"/>
              </w:rPr>
              <w:t>Q6.2</w:t>
            </w:r>
          </w:p>
          <w:p>
            <w:pPr>
              <w:rPr>
                <w:rFonts w:hint="eastAsia"/>
              </w:rPr>
            </w:pPr>
            <w:r>
              <w:rPr>
                <w:rFonts w:hint="eastAsia"/>
              </w:rPr>
              <w:t>F6.2</w:t>
            </w:r>
          </w:p>
          <w:p>
            <w:pPr>
              <w:pStyle w:val="16"/>
              <w:rPr>
                <w:rFonts w:hint="eastAsia"/>
                <w:color w:val="000000"/>
                <w:szCs w:val="21"/>
                <w:highlight w:val="none"/>
                <w:lang w:val="en-US" w:eastAsia="zh-CN"/>
              </w:rPr>
            </w:pPr>
            <w:r>
              <w:rPr>
                <w:rFonts w:hint="eastAsia"/>
                <w:color w:val="000000"/>
                <w:szCs w:val="21"/>
                <w:highlight w:val="none"/>
                <w:lang w:val="en-US" w:eastAsia="zh-CN"/>
              </w:rPr>
              <w:t>E6.2</w:t>
            </w:r>
          </w:p>
          <w:p>
            <w:pPr>
              <w:pStyle w:val="16"/>
              <w:rPr>
                <w:rFonts w:hint="eastAsia"/>
                <w:color w:val="000000"/>
                <w:szCs w:val="21"/>
                <w:highlight w:val="none"/>
                <w:lang w:val="en-US" w:eastAsia="zh-CN"/>
              </w:rPr>
            </w:pPr>
            <w:r>
              <w:rPr>
                <w:rFonts w:hint="eastAsia"/>
                <w:color w:val="000000"/>
                <w:szCs w:val="21"/>
                <w:highlight w:val="none"/>
                <w:lang w:val="en-US" w:eastAsia="zh-CN"/>
              </w:rPr>
              <w:t>O6.2</w:t>
            </w:r>
          </w:p>
          <w:p>
            <w:pPr>
              <w:shd w:val="clear"/>
              <w:rPr>
                <w:rFonts w:hint="eastAsia"/>
                <w:lang w:val="en-US" w:eastAsia="zh-CN"/>
              </w:rPr>
            </w:pPr>
            <w:r>
              <w:rPr>
                <w:rFonts w:hint="eastAsia"/>
                <w:lang w:val="en-US" w:eastAsia="zh-CN"/>
              </w:rPr>
              <w:t>H(V1.0)</w:t>
            </w:r>
          </w:p>
          <w:p>
            <w:pPr>
              <w:shd w:val="clear"/>
              <w:rPr>
                <w:rFonts w:hint="eastAsia" w:eastAsia="宋体"/>
                <w:lang w:eastAsia="zh-CN"/>
              </w:rPr>
            </w:pPr>
            <w:r>
              <w:rPr>
                <w:rFonts w:hint="eastAsia"/>
              </w:rPr>
              <w:t>2.4.</w:t>
            </w:r>
            <w:r>
              <w:rPr>
                <w:rFonts w:hint="eastAsia"/>
                <w:lang w:val="en-US" w:eastAsia="zh-CN"/>
              </w:rPr>
              <w:t>2</w:t>
            </w:r>
          </w:p>
          <w:p>
            <w:pPr>
              <w:pStyle w:val="16"/>
              <w:rPr>
                <w:rFonts w:hint="default"/>
                <w:color w:val="000000"/>
                <w:szCs w:val="21"/>
                <w:highlight w:val="none"/>
                <w:lang w:val="en-US" w:eastAsia="zh-CN"/>
              </w:rPr>
            </w:pP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highlight w:val="none"/>
              </w:rPr>
              <w:t>如：</w:t>
            </w:r>
            <w:r>
              <w:rPr>
                <w:highlight w:val="none"/>
              </w:rPr>
              <w:sym w:font="Wingdings" w:char="00FE"/>
            </w:r>
            <w:r>
              <w:rPr>
                <w:rFonts w:hint="eastAsia"/>
                <w:highlight w:val="none"/>
              </w:rPr>
              <w:t>手册第6.2章、</w:t>
            </w:r>
            <w:r>
              <w:rPr>
                <w:highlight w:val="none"/>
              </w:rPr>
              <w:sym w:font="Wingdings" w:char="00FE"/>
            </w:r>
            <w:r>
              <w:rPr>
                <w:rFonts w:hint="eastAsia"/>
                <w:highlight w:val="none"/>
              </w:rPr>
              <w:t>《</w:t>
            </w:r>
            <w:r>
              <w:rPr>
                <w:rFonts w:hint="eastAsia"/>
                <w:highlight w:val="none"/>
                <w:lang w:val="en-US" w:eastAsia="zh-CN"/>
              </w:rPr>
              <w:t>管理目标及分解表</w:t>
            </w:r>
            <w:r>
              <w:rPr>
                <w:rFonts w:hint="eastAsia"/>
                <w:highlight w:val="none"/>
              </w:rPr>
              <w:t>》</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1902" w:type="dxa"/>
            <w:vMerge w:val="continue"/>
            <w:shd w:val="clear" w:color="auto" w:fill="auto"/>
          </w:tcPr>
          <w:p>
            <w:pPr>
              <w:rPr>
                <w:highlight w:val="none"/>
              </w:rPr>
            </w:pPr>
          </w:p>
        </w:tc>
        <w:tc>
          <w:tcPr>
            <w:tcW w:w="1129"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60" w:type="dxa"/>
            <w:gridSpan w:val="2"/>
            <w:shd w:val="clear" w:color="auto" w:fill="auto"/>
          </w:tcPr>
          <w:p>
            <w:pPr>
              <w:rPr>
                <w:rFonts w:hint="eastAsia"/>
                <w:highlight w:val="none"/>
              </w:rPr>
            </w:pPr>
            <w:r>
              <w:rPr>
                <w:rFonts w:hint="eastAsia"/>
                <w:highlight w:val="none"/>
              </w:rPr>
              <w:t>组织建立了与方针一致的文件化的管理目标。为实现总的</w:t>
            </w:r>
            <w:r>
              <w:rPr>
                <w:rFonts w:hint="eastAsia"/>
                <w:highlight w:val="none"/>
                <w:lang w:val="en-US" w:eastAsia="zh-CN"/>
              </w:rPr>
              <w:t>管理</w:t>
            </w:r>
            <w:r>
              <w:rPr>
                <w:rFonts w:hint="eastAsia"/>
                <w:highlight w:val="none"/>
              </w:rPr>
              <w:t>目标而建立的各层级</w:t>
            </w:r>
            <w:r>
              <w:rPr>
                <w:rFonts w:hint="eastAsia"/>
                <w:highlight w:val="none"/>
                <w:lang w:val="en-US" w:eastAsia="zh-CN"/>
              </w:rPr>
              <w:t>的</w:t>
            </w:r>
            <w:r>
              <w:rPr>
                <w:rFonts w:hint="eastAsia"/>
                <w:highlight w:val="none"/>
              </w:rPr>
              <w:t>目标</w:t>
            </w:r>
            <w:r>
              <w:rPr>
                <w:rFonts w:hint="eastAsia"/>
                <w:highlight w:val="none"/>
                <w:lang w:eastAsia="zh-CN"/>
              </w:rPr>
              <w:t>，</w:t>
            </w:r>
            <w:r>
              <w:rPr>
                <w:rFonts w:hint="eastAsia"/>
                <w:highlight w:val="none"/>
              </w:rPr>
              <w:t>具体、有针对性、可测量并且可实现。</w:t>
            </w:r>
          </w:p>
          <w:p>
            <w:pPr>
              <w:rPr>
                <w:rFonts w:hint="eastAsia"/>
                <w:highlight w:val="none"/>
              </w:rPr>
            </w:pPr>
            <w:r>
              <w:rPr>
                <w:rFonts w:hint="eastAsia"/>
                <w:highlight w:val="none"/>
              </w:rPr>
              <w:t>总</w:t>
            </w:r>
            <w:r>
              <w:rPr>
                <w:rFonts w:hint="eastAsia"/>
                <w:highlight w:val="none"/>
                <w:lang w:val="en-US" w:eastAsia="zh-CN"/>
              </w:rPr>
              <w:t>管理</w:t>
            </w:r>
            <w:r>
              <w:rPr>
                <w:rFonts w:hint="eastAsia"/>
                <w:highlight w:val="none"/>
              </w:rPr>
              <w:t>目标</w:t>
            </w:r>
            <w:r>
              <w:rPr>
                <w:rFonts w:hint="eastAsia"/>
                <w:highlight w:val="none"/>
                <w:lang w:val="en-US" w:eastAsia="zh-CN"/>
              </w:rPr>
              <w:t>的</w:t>
            </w:r>
            <w:r>
              <w:rPr>
                <w:rFonts w:hint="eastAsia"/>
                <w:highlight w:val="none"/>
              </w:rPr>
              <w:t>实现情况的评价，及其测量方法是：</w:t>
            </w:r>
          </w:p>
          <w:p>
            <w:pPr>
              <w:pStyle w:val="9"/>
              <w:rPr>
                <w:rFonts w:hint="eastAsia"/>
                <w:highlight w:val="none"/>
              </w:rPr>
            </w:pPr>
          </w:p>
          <w:tbl>
            <w:tblPr>
              <w:tblStyle w:val="13"/>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810"/>
              <w:gridCol w:w="1620"/>
              <w:gridCol w:w="210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258" w:type="dxa"/>
                  <w:shd w:val="clear" w:color="auto" w:fill="auto"/>
                </w:tcPr>
                <w:p>
                  <w:pPr>
                    <w:widowControl/>
                    <w:spacing w:before="40"/>
                    <w:jc w:val="left"/>
                    <w:rPr>
                      <w:color w:val="000000"/>
                      <w:sz w:val="21"/>
                      <w:szCs w:val="21"/>
                      <w:highlight w:val="none"/>
                    </w:rPr>
                  </w:pPr>
                  <w:r>
                    <w:rPr>
                      <w:rFonts w:hint="eastAsia"/>
                      <w:color w:val="000000"/>
                      <w:sz w:val="21"/>
                      <w:szCs w:val="21"/>
                      <w:highlight w:val="none"/>
                    </w:rPr>
                    <w:t>目标</w:t>
                  </w:r>
                </w:p>
              </w:tc>
              <w:tc>
                <w:tcPr>
                  <w:tcW w:w="810" w:type="dxa"/>
                  <w:shd w:val="clear" w:color="auto" w:fill="auto"/>
                </w:tcPr>
                <w:p>
                  <w:pPr>
                    <w:widowControl/>
                    <w:spacing w:before="40"/>
                    <w:jc w:val="left"/>
                    <w:rPr>
                      <w:color w:val="000000"/>
                      <w:sz w:val="21"/>
                      <w:szCs w:val="21"/>
                      <w:highlight w:val="none"/>
                    </w:rPr>
                  </w:pPr>
                  <w:r>
                    <w:rPr>
                      <w:rFonts w:hint="eastAsia"/>
                      <w:color w:val="000000"/>
                      <w:sz w:val="21"/>
                      <w:szCs w:val="21"/>
                      <w:highlight w:val="none"/>
                    </w:rPr>
                    <w:t>考核频次</w:t>
                  </w:r>
                </w:p>
              </w:tc>
              <w:tc>
                <w:tcPr>
                  <w:tcW w:w="1620" w:type="dxa"/>
                  <w:shd w:val="clear" w:color="auto" w:fill="auto"/>
                </w:tcPr>
                <w:p>
                  <w:pPr>
                    <w:widowControl/>
                    <w:spacing w:before="40"/>
                    <w:jc w:val="left"/>
                    <w:rPr>
                      <w:color w:val="000000"/>
                      <w:sz w:val="21"/>
                      <w:szCs w:val="21"/>
                      <w:highlight w:val="none"/>
                    </w:rPr>
                  </w:pPr>
                  <w:r>
                    <w:rPr>
                      <w:rFonts w:hint="eastAsia"/>
                      <w:color w:val="000000"/>
                      <w:sz w:val="21"/>
                      <w:szCs w:val="21"/>
                      <w:highlight w:val="none"/>
                    </w:rPr>
                    <w:t>计算方法</w:t>
                  </w:r>
                </w:p>
              </w:tc>
              <w:tc>
                <w:tcPr>
                  <w:tcW w:w="2100" w:type="dxa"/>
                  <w:shd w:val="clear" w:color="auto" w:fill="auto"/>
                </w:tcPr>
                <w:p>
                  <w:pPr>
                    <w:widowControl/>
                    <w:spacing w:before="40"/>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责任部门</w:t>
                  </w:r>
                </w:p>
              </w:tc>
              <w:tc>
                <w:tcPr>
                  <w:tcW w:w="2150"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258" w:type="dxa"/>
                  <w:shd w:val="clear" w:color="auto" w:fill="auto"/>
                  <w:vAlign w:val="center"/>
                </w:tcPr>
                <w:p>
                  <w:pPr>
                    <w:spacing w:line="240" w:lineRule="auto"/>
                    <w:jc w:val="both"/>
                    <w:rPr>
                      <w:rFonts w:hint="default"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质量抽检合格率≥98%</w:t>
                  </w:r>
                </w:p>
              </w:tc>
              <w:tc>
                <w:tcPr>
                  <w:tcW w:w="810" w:type="dxa"/>
                  <w:shd w:val="clear" w:color="auto" w:fill="auto"/>
                  <w:vAlign w:val="center"/>
                </w:tcPr>
                <w:p>
                  <w:pPr>
                    <w:spacing w:line="240" w:lineRule="auto"/>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年度</w:t>
                  </w:r>
                </w:p>
              </w:tc>
              <w:tc>
                <w:tcPr>
                  <w:tcW w:w="162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sz w:val="21"/>
                      <w:szCs w:val="21"/>
                      <w:highlight w:val="none"/>
                      <w:lang w:val="en-US" w:eastAsia="zh-CN"/>
                    </w:rPr>
                  </w:pPr>
                  <w:r>
                    <w:rPr>
                      <w:rFonts w:hint="eastAsia" w:ascii="宋体" w:hAnsi="宋体"/>
                      <w:sz w:val="21"/>
                      <w:szCs w:val="21"/>
                      <w:highlight w:val="none"/>
                      <w:lang w:val="en-US" w:eastAsia="zh-CN"/>
                    </w:rPr>
                    <w:t>——</w:t>
                  </w:r>
                </w:p>
              </w:tc>
              <w:tc>
                <w:tcPr>
                  <w:tcW w:w="2100" w:type="dxa"/>
                  <w:shd w:val="clear" w:color="auto" w:fill="auto"/>
                  <w:vAlign w:val="center"/>
                </w:tcPr>
                <w:p>
                  <w:pPr>
                    <w:spacing w:line="240" w:lineRule="auto"/>
                    <w:jc w:val="both"/>
                    <w:rPr>
                      <w:rFonts w:hint="default" w:ascii="宋体" w:hAnsi="宋体"/>
                      <w:sz w:val="21"/>
                      <w:szCs w:val="21"/>
                      <w:highlight w:val="none"/>
                      <w:lang w:val="en-US" w:eastAsia="zh-CN"/>
                    </w:rPr>
                  </w:pPr>
                  <w:r>
                    <w:rPr>
                      <w:rFonts w:hint="eastAsia" w:ascii="宋体" w:hAnsi="宋体" w:cs="Times New Roman"/>
                      <w:kern w:val="2"/>
                      <w:sz w:val="21"/>
                      <w:szCs w:val="21"/>
                      <w:highlight w:val="none"/>
                      <w:lang w:val="en-US" w:eastAsia="zh-CN" w:bidi="ar-SA"/>
                    </w:rPr>
                    <w:t>质检部、供应采购部、生产管理部（制酒车间）</w:t>
                  </w:r>
                </w:p>
              </w:tc>
              <w:tc>
                <w:tcPr>
                  <w:tcW w:w="2150" w:type="dxa"/>
                  <w:shd w:val="clear" w:color="auto" w:fill="auto"/>
                  <w:vAlign w:val="center"/>
                </w:tcPr>
                <w:p>
                  <w:pPr>
                    <w:spacing w:line="240" w:lineRule="auto"/>
                    <w:rPr>
                      <w:rFonts w:hint="default" w:ascii="宋体" w:hAnsi="宋体" w:eastAsia="宋体" w:cs="Times New Roman"/>
                      <w:kern w:val="2"/>
                      <w:sz w:val="21"/>
                      <w:szCs w:val="21"/>
                      <w:highlight w:val="none"/>
                      <w:lang w:val="en-US" w:eastAsia="zh-CN" w:bidi="ar-SA"/>
                    </w:rPr>
                  </w:pPr>
                  <w:r>
                    <w:rPr>
                      <w:rFonts w:hint="eastAsia" w:ascii="宋体" w:hAnsi="宋体" w:cs="宋体"/>
                      <w:sz w:val="21"/>
                      <w:szCs w:val="21"/>
                      <w:highlight w:val="none"/>
                      <w:lang w:val="en-US" w:eastAsia="zh-CN"/>
                    </w:rPr>
                    <w:t>2021年度目标已实现，2022年度在实施中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258" w:type="dxa"/>
                  <w:shd w:val="clear" w:color="auto" w:fill="auto"/>
                  <w:vAlign w:val="center"/>
                </w:tcPr>
                <w:p>
                  <w:pPr>
                    <w:spacing w:line="240" w:lineRule="auto"/>
                    <w:jc w:val="both"/>
                    <w:rPr>
                      <w:rFonts w:hint="default" w:ascii="宋体" w:hAnsi="宋体" w:eastAsia="宋体" w:cs="Times New Roman"/>
                      <w:color w:val="auto"/>
                      <w:kern w:val="2"/>
                      <w:sz w:val="21"/>
                      <w:szCs w:val="21"/>
                      <w:highlight w:val="none"/>
                      <w:lang w:val="en-US" w:eastAsia="zh-CN" w:bidi="ar-SA"/>
                    </w:rPr>
                  </w:pPr>
                  <w:r>
                    <w:rPr>
                      <w:rFonts w:hint="eastAsia" w:ascii="宋体" w:hAnsi="宋体"/>
                      <w:sz w:val="21"/>
                      <w:szCs w:val="21"/>
                      <w:highlight w:val="none"/>
                      <w:lang w:val="en-US" w:eastAsia="zh-CN"/>
                    </w:rPr>
                    <w:t>食品安全事故为0</w:t>
                  </w:r>
                </w:p>
              </w:tc>
              <w:tc>
                <w:tcPr>
                  <w:tcW w:w="810" w:type="dxa"/>
                  <w:shd w:val="clear" w:color="auto" w:fill="auto"/>
                  <w:vAlign w:val="center"/>
                </w:tcPr>
                <w:p>
                  <w:pPr>
                    <w:spacing w:line="240" w:lineRule="auto"/>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年度</w:t>
                  </w:r>
                </w:p>
              </w:tc>
              <w:tc>
                <w:tcPr>
                  <w:tcW w:w="162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sz w:val="21"/>
                      <w:szCs w:val="21"/>
                      <w:highlight w:val="none"/>
                      <w:lang w:val="en-US" w:eastAsia="zh-CN"/>
                    </w:rPr>
                  </w:pPr>
                  <w:r>
                    <w:rPr>
                      <w:rFonts w:hint="eastAsia" w:ascii="宋体" w:hAnsi="宋体" w:cs="宋体"/>
                      <w:sz w:val="21"/>
                      <w:szCs w:val="21"/>
                      <w:highlight w:val="none"/>
                      <w:lang w:val="en-US" w:eastAsia="zh-CN"/>
                    </w:rPr>
                    <w:t>按照实际发生次数</w:t>
                  </w:r>
                </w:p>
              </w:tc>
              <w:tc>
                <w:tcPr>
                  <w:tcW w:w="2100" w:type="dxa"/>
                  <w:shd w:val="clear" w:color="auto" w:fill="auto"/>
                  <w:vAlign w:val="center"/>
                </w:tcPr>
                <w:p>
                  <w:pPr>
                    <w:spacing w:line="240" w:lineRule="auto"/>
                    <w:jc w:val="both"/>
                    <w:rPr>
                      <w:rFonts w:hint="default" w:ascii="宋体" w:hAnsi="宋体"/>
                      <w:sz w:val="21"/>
                      <w:szCs w:val="21"/>
                      <w:highlight w:val="none"/>
                      <w:lang w:val="en-US" w:eastAsia="zh-CN"/>
                    </w:rPr>
                  </w:pPr>
                  <w:r>
                    <w:rPr>
                      <w:rFonts w:hint="eastAsia" w:ascii="宋体" w:hAnsi="宋体" w:cs="Times New Roman"/>
                      <w:kern w:val="2"/>
                      <w:sz w:val="21"/>
                      <w:szCs w:val="21"/>
                      <w:highlight w:val="none"/>
                      <w:lang w:val="en-US" w:eastAsia="zh-CN" w:bidi="ar-SA"/>
                    </w:rPr>
                    <w:t>生产管理部（制酒车间）、质检部</w:t>
                  </w:r>
                </w:p>
              </w:tc>
              <w:tc>
                <w:tcPr>
                  <w:tcW w:w="2150" w:type="dxa"/>
                  <w:shd w:val="clear" w:color="auto" w:fill="auto"/>
                  <w:vAlign w:val="center"/>
                </w:tcPr>
                <w:p>
                  <w:pPr>
                    <w:spacing w:line="240" w:lineRule="auto"/>
                    <w:rPr>
                      <w:rFonts w:hint="eastAsia" w:ascii="宋体" w:hAnsi="宋体" w:eastAsia="宋体" w:cs="Times New Roman"/>
                      <w:kern w:val="2"/>
                      <w:sz w:val="21"/>
                      <w:szCs w:val="21"/>
                      <w:highlight w:val="none"/>
                      <w:lang w:val="en-US" w:eastAsia="zh-CN" w:bidi="ar-SA"/>
                    </w:rPr>
                  </w:pPr>
                  <w:r>
                    <w:rPr>
                      <w:rFonts w:hint="eastAsia" w:ascii="宋体" w:hAnsi="宋体" w:cs="宋体"/>
                      <w:sz w:val="21"/>
                      <w:szCs w:val="21"/>
                      <w:highlight w:val="none"/>
                      <w:lang w:val="en-US" w:eastAsia="zh-CN"/>
                    </w:rPr>
                    <w:t>2021年度：事故为0，2022年度在实施中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258" w:type="dxa"/>
                  <w:shd w:val="clear" w:color="auto" w:fill="auto"/>
                  <w:vAlign w:val="center"/>
                </w:tcPr>
                <w:p>
                  <w:pPr>
                    <w:spacing w:line="240" w:lineRule="auto"/>
                    <w:jc w:val="both"/>
                    <w:rPr>
                      <w:rFonts w:hint="default" w:ascii="宋体" w:hAnsi="宋体" w:eastAsia="宋体" w:cs="Times New Roman"/>
                      <w:color w:val="auto"/>
                      <w:kern w:val="2"/>
                      <w:sz w:val="21"/>
                      <w:szCs w:val="21"/>
                      <w:highlight w:val="none"/>
                      <w:lang w:val="en-US" w:eastAsia="zh-CN" w:bidi="ar-SA"/>
                    </w:rPr>
                  </w:pPr>
                  <w:r>
                    <w:rPr>
                      <w:rFonts w:hint="eastAsia" w:ascii="宋体" w:hAnsi="宋体"/>
                      <w:sz w:val="21"/>
                      <w:szCs w:val="21"/>
                      <w:highlight w:val="none"/>
                      <w:lang w:val="en-US" w:eastAsia="zh-CN"/>
                    </w:rPr>
                    <w:t>顾客满意度调查率100%</w:t>
                  </w:r>
                </w:p>
              </w:tc>
              <w:tc>
                <w:tcPr>
                  <w:tcW w:w="810" w:type="dxa"/>
                  <w:shd w:val="clear" w:color="auto" w:fill="auto"/>
                  <w:vAlign w:val="center"/>
                </w:tcPr>
                <w:p>
                  <w:pPr>
                    <w:spacing w:line="240" w:lineRule="auto"/>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年度</w:t>
                  </w:r>
                </w:p>
              </w:tc>
              <w:tc>
                <w:tcPr>
                  <w:tcW w:w="162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sz w:val="21"/>
                      <w:szCs w:val="21"/>
                      <w:highlight w:val="none"/>
                      <w:lang w:val="en-US" w:eastAsia="zh-CN"/>
                    </w:rPr>
                  </w:pPr>
                  <w:r>
                    <w:rPr>
                      <w:rFonts w:hint="eastAsia" w:ascii="宋体" w:hAnsi="宋体" w:eastAsia="宋体" w:cs="宋体"/>
                      <w:sz w:val="21"/>
                      <w:szCs w:val="21"/>
                      <w:highlight w:val="none"/>
                      <w:lang w:val="en-US" w:eastAsia="zh-CN"/>
                    </w:rPr>
                    <w:t>顾客满意度调查表</w:t>
                  </w:r>
                </w:p>
              </w:tc>
              <w:tc>
                <w:tcPr>
                  <w:tcW w:w="2100" w:type="dxa"/>
                  <w:shd w:val="clear" w:color="auto" w:fill="auto"/>
                  <w:vAlign w:val="center"/>
                </w:tcPr>
                <w:p>
                  <w:pPr>
                    <w:spacing w:line="240" w:lineRule="auto"/>
                    <w:jc w:val="both"/>
                    <w:rPr>
                      <w:rFonts w:hint="default" w:ascii="宋体" w:hAnsi="宋体"/>
                      <w:sz w:val="21"/>
                      <w:szCs w:val="21"/>
                      <w:highlight w:val="none"/>
                      <w:lang w:val="en-US" w:eastAsia="zh-CN"/>
                    </w:rPr>
                  </w:pPr>
                  <w:r>
                    <w:rPr>
                      <w:rFonts w:hint="eastAsia" w:ascii="宋体" w:hAnsi="宋体"/>
                      <w:sz w:val="21"/>
                      <w:szCs w:val="21"/>
                      <w:highlight w:val="none"/>
                      <w:lang w:val="en-US" w:eastAsia="zh-CN"/>
                    </w:rPr>
                    <w:t>市场部</w:t>
                  </w:r>
                </w:p>
              </w:tc>
              <w:tc>
                <w:tcPr>
                  <w:tcW w:w="2150" w:type="dxa"/>
                  <w:shd w:val="clear" w:color="auto" w:fill="auto"/>
                  <w:vAlign w:val="center"/>
                </w:tcPr>
                <w:p>
                  <w:pPr>
                    <w:spacing w:line="240" w:lineRule="auto"/>
                    <w:rPr>
                      <w:rFonts w:hint="default" w:ascii="宋体" w:hAnsi="宋体" w:eastAsia="宋体" w:cs="Times New Roman"/>
                      <w:kern w:val="2"/>
                      <w:sz w:val="21"/>
                      <w:szCs w:val="21"/>
                      <w:highlight w:val="none"/>
                      <w:lang w:val="en-US" w:eastAsia="zh-CN" w:bidi="ar-SA"/>
                    </w:rPr>
                  </w:pPr>
                  <w:r>
                    <w:rPr>
                      <w:rFonts w:hint="eastAsia" w:ascii="宋体" w:hAnsi="宋体" w:cs="宋体"/>
                      <w:sz w:val="21"/>
                      <w:szCs w:val="21"/>
                      <w:highlight w:val="none"/>
                      <w:lang w:val="en-US" w:eastAsia="zh-CN"/>
                    </w:rPr>
                    <w:t>2021年度100%，2022年度在实施中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258" w:type="dxa"/>
                  <w:shd w:val="clear" w:color="auto" w:fill="auto"/>
                  <w:vAlign w:val="center"/>
                </w:tcPr>
                <w:p>
                  <w:pPr>
                    <w:spacing w:line="240" w:lineRule="auto"/>
                    <w:jc w:val="both"/>
                    <w:rPr>
                      <w:rFonts w:hint="default"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客户满意率≥85%</w:t>
                  </w:r>
                </w:p>
              </w:tc>
              <w:tc>
                <w:tcPr>
                  <w:tcW w:w="810" w:type="dxa"/>
                  <w:shd w:val="clear" w:color="auto" w:fill="auto"/>
                  <w:vAlign w:val="center"/>
                </w:tcPr>
                <w:p>
                  <w:pPr>
                    <w:spacing w:line="240" w:lineRule="auto"/>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年度</w:t>
                  </w:r>
                </w:p>
              </w:tc>
              <w:tc>
                <w:tcPr>
                  <w:tcW w:w="162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sz w:val="21"/>
                      <w:szCs w:val="21"/>
                      <w:highlight w:val="none"/>
                      <w:lang w:val="en-US" w:eastAsia="zh-CN"/>
                    </w:rPr>
                  </w:pPr>
                  <w:r>
                    <w:rPr>
                      <w:rFonts w:hint="eastAsia" w:ascii="宋体" w:hAnsi="宋体" w:cs="宋体"/>
                      <w:sz w:val="21"/>
                      <w:szCs w:val="21"/>
                      <w:highlight w:val="none"/>
                      <w:lang w:val="en-US" w:eastAsia="zh-CN"/>
                    </w:rPr>
                    <w:t>——</w:t>
                  </w:r>
                </w:p>
              </w:tc>
              <w:tc>
                <w:tcPr>
                  <w:tcW w:w="2100" w:type="dxa"/>
                  <w:shd w:val="clear" w:color="auto" w:fill="auto"/>
                  <w:vAlign w:val="center"/>
                </w:tcPr>
                <w:p>
                  <w:pPr>
                    <w:spacing w:line="240" w:lineRule="auto"/>
                    <w:jc w:val="both"/>
                    <w:rPr>
                      <w:rFonts w:hint="default" w:ascii="宋体" w:hAnsi="宋体"/>
                      <w:sz w:val="21"/>
                      <w:szCs w:val="21"/>
                      <w:highlight w:val="none"/>
                      <w:lang w:val="en-US" w:eastAsia="zh-CN"/>
                    </w:rPr>
                  </w:pPr>
                  <w:r>
                    <w:rPr>
                      <w:rFonts w:hint="eastAsia" w:ascii="宋体" w:hAnsi="宋体" w:cs="Times New Roman"/>
                      <w:kern w:val="2"/>
                      <w:sz w:val="21"/>
                      <w:szCs w:val="21"/>
                      <w:highlight w:val="none"/>
                      <w:lang w:val="en-US" w:eastAsia="zh-CN" w:bidi="ar-SA"/>
                    </w:rPr>
                    <w:t>市场部、质检部、生产管理部</w:t>
                  </w:r>
                </w:p>
              </w:tc>
              <w:tc>
                <w:tcPr>
                  <w:tcW w:w="2150" w:type="dxa"/>
                  <w:shd w:val="clear" w:color="auto" w:fill="auto"/>
                  <w:vAlign w:val="center"/>
                </w:tcPr>
                <w:p>
                  <w:pPr>
                    <w:spacing w:line="240" w:lineRule="auto"/>
                    <w:rPr>
                      <w:rFonts w:hint="default" w:ascii="宋体" w:hAnsi="宋体" w:eastAsia="宋体" w:cs="Times New Roman"/>
                      <w:kern w:val="2"/>
                      <w:sz w:val="21"/>
                      <w:szCs w:val="21"/>
                      <w:highlight w:val="none"/>
                      <w:lang w:val="en-US" w:eastAsia="zh-CN" w:bidi="ar-SA"/>
                    </w:rPr>
                  </w:pPr>
                  <w:r>
                    <w:rPr>
                      <w:rFonts w:hint="eastAsia" w:ascii="宋体" w:hAnsi="宋体" w:cs="宋体"/>
                      <w:sz w:val="21"/>
                      <w:szCs w:val="21"/>
                      <w:highlight w:val="none"/>
                      <w:lang w:val="en-US" w:eastAsia="zh-CN"/>
                    </w:rPr>
                    <w:t>2021年度已完成，2022年度在实施中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258" w:type="dxa"/>
                  <w:shd w:val="clear" w:color="auto" w:fill="auto"/>
                  <w:vAlign w:val="center"/>
                </w:tcPr>
                <w:p>
                  <w:pPr>
                    <w:spacing w:line="240" w:lineRule="auto"/>
                    <w:jc w:val="both"/>
                    <w:rPr>
                      <w:rFonts w:hint="default" w:ascii="宋体" w:hAnsi="宋体"/>
                      <w:sz w:val="21"/>
                      <w:szCs w:val="21"/>
                      <w:highlight w:val="none"/>
                      <w:lang w:val="en-US" w:eastAsia="zh-CN"/>
                    </w:rPr>
                  </w:pPr>
                  <w:r>
                    <w:rPr>
                      <w:rFonts w:hint="eastAsia" w:ascii="宋体" w:hAnsi="宋体"/>
                      <w:sz w:val="21"/>
                      <w:szCs w:val="21"/>
                      <w:highlight w:val="none"/>
                      <w:lang w:val="en-US" w:eastAsia="zh-CN"/>
                    </w:rPr>
                    <w:t>固废分类收集合规处理率100%</w:t>
                  </w:r>
                </w:p>
              </w:tc>
              <w:tc>
                <w:tcPr>
                  <w:tcW w:w="810" w:type="dxa"/>
                  <w:shd w:val="clear" w:color="auto" w:fill="auto"/>
                  <w:vAlign w:val="center"/>
                </w:tcPr>
                <w:p>
                  <w:pPr>
                    <w:spacing w:line="240" w:lineRule="auto"/>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年度</w:t>
                  </w:r>
                </w:p>
              </w:tc>
              <w:tc>
                <w:tcPr>
                  <w:tcW w:w="162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sz w:val="21"/>
                      <w:szCs w:val="21"/>
                      <w:highlight w:val="none"/>
                      <w:lang w:val="en-US" w:eastAsia="zh-CN"/>
                    </w:rPr>
                  </w:pPr>
                  <w:r>
                    <w:rPr>
                      <w:rFonts w:hint="eastAsia" w:ascii="宋体" w:hAnsi="宋体" w:cs="宋体"/>
                      <w:color w:val="000000"/>
                      <w:sz w:val="21"/>
                      <w:szCs w:val="21"/>
                      <w:highlight w:val="none"/>
                      <w:lang w:eastAsia="zh-CN"/>
                    </w:rPr>
                    <w:t>——</w:t>
                  </w:r>
                </w:p>
              </w:tc>
              <w:tc>
                <w:tcPr>
                  <w:tcW w:w="2100" w:type="dxa"/>
                  <w:shd w:val="clear" w:color="auto" w:fill="auto"/>
                  <w:vAlign w:val="center"/>
                </w:tcPr>
                <w:p>
                  <w:pPr>
                    <w:spacing w:line="240" w:lineRule="auto"/>
                    <w:jc w:val="both"/>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生产管理部（制酒车间）、设备能源部（维修车间）、质检部、安全环保部、综合管理办公室</w:t>
                  </w:r>
                </w:p>
              </w:tc>
              <w:tc>
                <w:tcPr>
                  <w:tcW w:w="2150" w:type="dxa"/>
                  <w:shd w:val="clear" w:color="auto" w:fill="auto"/>
                  <w:vAlign w:val="center"/>
                </w:tcPr>
                <w:p>
                  <w:pPr>
                    <w:spacing w:line="24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100%分类、回收</w:t>
                  </w:r>
                </w:p>
                <w:p>
                  <w:pPr>
                    <w:spacing w:line="240" w:lineRule="auto"/>
                    <w:rPr>
                      <w:rFonts w:hint="eastAsia" w:ascii="宋体" w:hAnsi="宋体" w:eastAsia="宋体" w:cs="Times New Roman"/>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258" w:type="dxa"/>
                  <w:shd w:val="clear" w:color="auto" w:fill="auto"/>
                  <w:vAlign w:val="center"/>
                </w:tcPr>
                <w:p>
                  <w:pPr>
                    <w:spacing w:line="240" w:lineRule="auto"/>
                    <w:rPr>
                      <w:rFonts w:hint="default" w:ascii="宋体" w:hAnsi="宋体"/>
                      <w:sz w:val="21"/>
                      <w:szCs w:val="21"/>
                      <w:highlight w:val="none"/>
                      <w:lang w:val="en-US" w:eastAsia="zh-CN"/>
                    </w:rPr>
                  </w:pPr>
                  <w:r>
                    <w:rPr>
                      <w:rFonts w:hint="eastAsia" w:ascii="宋体" w:hAnsi="宋体"/>
                      <w:sz w:val="21"/>
                      <w:szCs w:val="21"/>
                      <w:highlight w:val="none"/>
                      <w:lang w:val="en-US" w:eastAsia="zh-CN"/>
                    </w:rPr>
                    <w:t>废水合规排放</w:t>
                  </w:r>
                </w:p>
              </w:tc>
              <w:tc>
                <w:tcPr>
                  <w:tcW w:w="810" w:type="dxa"/>
                  <w:shd w:val="clear" w:color="auto" w:fill="auto"/>
                  <w:vAlign w:val="center"/>
                </w:tcPr>
                <w:p>
                  <w:pPr>
                    <w:spacing w:line="240" w:lineRule="auto"/>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年度</w:t>
                  </w:r>
                </w:p>
              </w:tc>
              <w:tc>
                <w:tcPr>
                  <w:tcW w:w="162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sz w:val="21"/>
                      <w:szCs w:val="21"/>
                      <w:highlight w:val="none"/>
                      <w:lang w:val="en-US" w:eastAsia="zh-CN"/>
                    </w:rPr>
                  </w:pPr>
                  <w:r>
                    <w:rPr>
                      <w:rFonts w:hint="eastAsia" w:ascii="宋体" w:hAnsi="宋体"/>
                      <w:sz w:val="21"/>
                      <w:szCs w:val="21"/>
                      <w:highlight w:val="none"/>
                      <w:lang w:val="en-US" w:eastAsia="zh-CN"/>
                    </w:rPr>
                    <w:t>按照指南规定执行</w:t>
                  </w:r>
                </w:p>
              </w:tc>
              <w:tc>
                <w:tcPr>
                  <w:tcW w:w="2100" w:type="dxa"/>
                  <w:shd w:val="clear" w:color="auto" w:fill="auto"/>
                  <w:vAlign w:val="center"/>
                </w:tcPr>
                <w:p>
                  <w:pPr>
                    <w:spacing w:line="240" w:lineRule="auto"/>
                    <w:jc w:val="both"/>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安全环保部、生产管理部（制酒车间）、设备能源部（维修车间）</w:t>
                  </w:r>
                </w:p>
              </w:tc>
              <w:tc>
                <w:tcPr>
                  <w:tcW w:w="2150" w:type="dxa"/>
                  <w:shd w:val="clear" w:color="auto" w:fill="auto"/>
                  <w:vAlign w:val="center"/>
                </w:tcPr>
                <w:p>
                  <w:pPr>
                    <w:spacing w:line="240" w:lineRule="auto"/>
                    <w:rPr>
                      <w:rFonts w:hint="default" w:ascii="宋体" w:hAnsi="宋体" w:eastAsia="宋体" w:cs="Times New Roman"/>
                      <w:kern w:val="2"/>
                      <w:sz w:val="21"/>
                      <w:szCs w:val="21"/>
                      <w:highlight w:val="none"/>
                      <w:lang w:val="en-US" w:eastAsia="zh-CN" w:bidi="ar-SA"/>
                    </w:rPr>
                  </w:pPr>
                  <w:r>
                    <w:rPr>
                      <w:rFonts w:hint="eastAsia" w:ascii="宋体" w:hAnsi="宋体" w:cs="宋体"/>
                      <w:sz w:val="21"/>
                      <w:szCs w:val="21"/>
                      <w:highlight w:val="none"/>
                      <w:lang w:val="en-US" w:eastAsia="zh-CN"/>
                    </w:rPr>
                    <w:t>2021年度合规；2022年度在实施中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258" w:type="dxa"/>
                  <w:shd w:val="clear" w:color="auto" w:fill="auto"/>
                  <w:vAlign w:val="center"/>
                </w:tcPr>
                <w:p>
                  <w:pPr>
                    <w:spacing w:line="240" w:lineRule="auto"/>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废气达标排放</w:t>
                  </w:r>
                </w:p>
              </w:tc>
              <w:tc>
                <w:tcPr>
                  <w:tcW w:w="810" w:type="dxa"/>
                  <w:shd w:val="clear" w:color="auto" w:fill="auto"/>
                  <w:vAlign w:val="center"/>
                </w:tcPr>
                <w:p>
                  <w:pPr>
                    <w:spacing w:line="24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sz w:val="21"/>
                      <w:szCs w:val="21"/>
                      <w:highlight w:val="none"/>
                      <w:lang w:val="en-US" w:eastAsia="zh-CN"/>
                    </w:rPr>
                    <w:t>年度</w:t>
                  </w:r>
                </w:p>
              </w:tc>
              <w:tc>
                <w:tcPr>
                  <w:tcW w:w="1620" w:type="dxa"/>
                  <w:shd w:val="clear" w:color="auto" w:fill="auto"/>
                  <w:vAlign w:val="center"/>
                </w:tcPr>
                <w:p>
                  <w:pPr>
                    <w:spacing w:line="240" w:lineRule="auto"/>
                    <w:rPr>
                      <w:rFonts w:hint="default" w:ascii="宋体" w:hAnsi="宋体" w:eastAsia="宋体" w:cs="宋体"/>
                      <w:kern w:val="2"/>
                      <w:sz w:val="21"/>
                      <w:szCs w:val="21"/>
                      <w:highlight w:val="none"/>
                      <w:lang w:val="en-US" w:eastAsia="zh-CN" w:bidi="ar-SA"/>
                    </w:rPr>
                  </w:pPr>
                  <w:r>
                    <w:rPr>
                      <w:rFonts w:hint="eastAsia" w:ascii="宋体" w:hAnsi="宋体" w:cs="Times New Roman"/>
                      <w:sz w:val="21"/>
                      <w:szCs w:val="21"/>
                      <w:highlight w:val="none"/>
                      <w:lang w:val="en-US" w:eastAsia="zh-CN"/>
                    </w:rPr>
                    <w:t>按照指南规定执行</w:t>
                  </w:r>
                </w:p>
              </w:tc>
              <w:tc>
                <w:tcPr>
                  <w:tcW w:w="2100" w:type="dxa"/>
                  <w:shd w:val="clear" w:color="auto" w:fill="auto"/>
                  <w:vAlign w:val="center"/>
                </w:tcPr>
                <w:p>
                  <w:pPr>
                    <w:spacing w:line="240" w:lineRule="auto"/>
                    <w:jc w:val="center"/>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安全环保部</w:t>
                  </w:r>
                </w:p>
              </w:tc>
              <w:tc>
                <w:tcPr>
                  <w:tcW w:w="2150" w:type="dxa"/>
                  <w:shd w:val="clear" w:color="auto" w:fill="auto"/>
                  <w:vAlign w:val="center"/>
                </w:tcPr>
                <w:p>
                  <w:pPr>
                    <w:spacing w:line="240"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cs="宋体"/>
                      <w:sz w:val="21"/>
                      <w:szCs w:val="21"/>
                      <w:highlight w:val="none"/>
                      <w:lang w:val="en-US" w:eastAsia="zh-CN"/>
                    </w:rPr>
                    <w:t>2021年度达标；2022年度在实施中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258" w:type="dxa"/>
                  <w:shd w:val="clear" w:color="auto" w:fill="auto"/>
                  <w:vAlign w:val="center"/>
                </w:tcPr>
                <w:p>
                  <w:pPr>
                    <w:spacing w:line="400" w:lineRule="exact"/>
                    <w:rPr>
                      <w:rFonts w:hint="default"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重大安全责任事故为：0；</w:t>
                  </w:r>
                </w:p>
              </w:tc>
              <w:tc>
                <w:tcPr>
                  <w:tcW w:w="810" w:type="dxa"/>
                  <w:shd w:val="clear" w:color="auto" w:fill="auto"/>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sz w:val="21"/>
                      <w:szCs w:val="21"/>
                      <w:highlight w:val="none"/>
                      <w:lang w:val="en-US" w:eastAsia="zh-CN"/>
                    </w:rPr>
                    <w:t>年度</w:t>
                  </w:r>
                </w:p>
              </w:tc>
              <w:tc>
                <w:tcPr>
                  <w:tcW w:w="1620" w:type="dxa"/>
                  <w:shd w:val="clear" w:color="auto" w:fill="auto"/>
                  <w:vAlign w:val="center"/>
                </w:tcPr>
                <w:p>
                  <w:pP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按照实际发生次数</w:t>
                  </w:r>
                </w:p>
              </w:tc>
              <w:tc>
                <w:tcPr>
                  <w:tcW w:w="2100" w:type="dxa"/>
                  <w:shd w:val="clear" w:color="auto" w:fill="auto"/>
                  <w:vAlign w:val="center"/>
                </w:tcPr>
                <w:p>
                  <w:pPr>
                    <w:jc w:val="center"/>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各部门</w:t>
                  </w:r>
                </w:p>
              </w:tc>
              <w:tc>
                <w:tcPr>
                  <w:tcW w:w="2150" w:type="dxa"/>
                  <w:shd w:val="clear" w:color="auto" w:fill="auto"/>
                  <w:vAlign w:val="center"/>
                </w:tcPr>
                <w:p>
                  <w:pPr>
                    <w:jc w:val="center"/>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2021年度未发生，2022年度在实施中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258" w:type="dxa"/>
                  <w:shd w:val="clear" w:color="auto" w:fill="auto"/>
                  <w:vAlign w:val="center"/>
                </w:tcPr>
                <w:p>
                  <w:pPr>
                    <w:spacing w:line="400" w:lineRule="exact"/>
                    <w:rPr>
                      <w:rFonts w:hint="default"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kern w:val="2"/>
                      <w:sz w:val="21"/>
                      <w:szCs w:val="21"/>
                      <w:highlight w:val="none"/>
                      <w:lang w:val="en-US" w:eastAsia="zh-CN" w:bidi="ar-SA"/>
                    </w:rPr>
                    <w:t>火灾、触电事故发生率为：0</w:t>
                  </w:r>
                </w:p>
              </w:tc>
              <w:tc>
                <w:tcPr>
                  <w:tcW w:w="810" w:type="dxa"/>
                  <w:shd w:val="clear" w:color="auto" w:fill="auto"/>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sz w:val="21"/>
                      <w:szCs w:val="21"/>
                      <w:highlight w:val="none"/>
                      <w:lang w:val="en-US" w:eastAsia="zh-CN"/>
                    </w:rPr>
                    <w:t>年度</w:t>
                  </w:r>
                </w:p>
              </w:tc>
              <w:tc>
                <w:tcPr>
                  <w:tcW w:w="1620" w:type="dxa"/>
                  <w:shd w:val="clear" w:color="auto" w:fill="auto"/>
                  <w:vAlign w:val="center"/>
                </w:tcPr>
                <w:p>
                  <w:pPr>
                    <w:rPr>
                      <w:rFonts w:hint="eastAsia" w:ascii="宋体" w:hAnsi="宋体" w:eastAsia="宋体" w:cs="Times New Roman"/>
                      <w:color w:val="auto"/>
                      <w:kern w:val="2"/>
                      <w:sz w:val="21"/>
                      <w:szCs w:val="21"/>
                      <w:highlight w:val="none"/>
                      <w:lang w:val="en-US" w:eastAsia="zh-CN" w:bidi="ar-SA"/>
                    </w:rPr>
                  </w:pPr>
                  <w:r>
                    <w:rPr>
                      <w:rFonts w:hint="eastAsia" w:ascii="宋体" w:hAnsi="宋体" w:cs="宋体"/>
                      <w:kern w:val="2"/>
                      <w:sz w:val="21"/>
                      <w:szCs w:val="21"/>
                      <w:highlight w:val="none"/>
                      <w:lang w:val="en-US" w:eastAsia="zh-CN" w:bidi="ar-SA"/>
                    </w:rPr>
                    <w:t>按照实际发生次数</w:t>
                  </w:r>
                </w:p>
              </w:tc>
              <w:tc>
                <w:tcPr>
                  <w:tcW w:w="2100" w:type="dxa"/>
                  <w:shd w:val="clear" w:color="auto" w:fill="auto"/>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各部门</w:t>
                  </w:r>
                </w:p>
              </w:tc>
              <w:tc>
                <w:tcPr>
                  <w:tcW w:w="2150" w:type="dxa"/>
                  <w:shd w:val="clear" w:color="auto" w:fill="auto"/>
                  <w:vAlign w:val="center"/>
                </w:tcPr>
                <w:p>
                  <w:pPr>
                    <w:jc w:val="center"/>
                    <w:rPr>
                      <w:rFonts w:hint="eastAsia"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2021年度未发生，2022年度在实施中</w:t>
                  </w:r>
                </w:p>
              </w:tc>
            </w:tr>
          </w:tbl>
          <w:p>
            <w:pPr>
              <w:pStyle w:val="16"/>
            </w:pPr>
          </w:p>
          <w:p>
            <w:pPr>
              <w:rPr>
                <w:rFonts w:hint="default"/>
                <w:u w:val="singl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r>
              <w:rPr>
                <w:rFonts w:hint="eastAsia"/>
                <w:highlight w:val="none"/>
                <w:lang w:eastAsia="zh-CN"/>
              </w:rPr>
              <w:t>，</w:t>
            </w:r>
            <w:r>
              <w:rPr>
                <w:rFonts w:hint="eastAsia"/>
                <w:highlight w:val="none"/>
                <w:u w:val="single"/>
                <w:lang w:val="en-US" w:eastAsia="zh-CN"/>
              </w:rPr>
              <w:t>2022年度在实施中</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pPr>
              <w:rPr>
                <w:color w:val="000000"/>
                <w:szCs w:val="21"/>
              </w:rPr>
            </w:pPr>
            <w:r>
              <w:rPr>
                <w:rFonts w:hint="eastAsia"/>
                <w:color w:val="000000"/>
                <w:szCs w:val="21"/>
              </w:rPr>
              <w:t>变更的策划</w:t>
            </w:r>
          </w:p>
          <w:p/>
        </w:tc>
        <w:tc>
          <w:tcPr>
            <w:tcW w:w="1129" w:type="dxa"/>
            <w:vMerge w:val="restart"/>
            <w:shd w:val="clear" w:color="auto" w:fill="auto"/>
          </w:tcPr>
          <w:p>
            <w:pPr>
              <w:rPr>
                <w:color w:val="000000"/>
                <w:szCs w:val="21"/>
              </w:rPr>
            </w:pPr>
            <w:r>
              <w:rPr>
                <w:rFonts w:hint="eastAsia"/>
                <w:color w:val="000000"/>
                <w:szCs w:val="21"/>
              </w:rPr>
              <w:t>Q6.3</w:t>
            </w:r>
          </w:p>
          <w:p>
            <w:r>
              <w:rPr>
                <w:rFonts w:hint="eastAsia"/>
                <w:color w:val="000000"/>
                <w:szCs w:val="21"/>
              </w:rPr>
              <w:t>F6.3</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36"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sym w:font="Wingdings 2" w:char="00A3"/>
            </w:r>
            <w:r>
              <w:rPr>
                <w:rFonts w:hint="eastAsia"/>
              </w:rPr>
              <w:t xml:space="preserve">组织结构变更 </w:t>
            </w:r>
            <w:r>
              <w:rPr>
                <w:rFonts w:hint="eastAsia"/>
              </w:rPr>
              <w:sym w:font="Wingdings 2" w:char="00A3"/>
            </w:r>
            <w:r>
              <w:rPr>
                <w:rFonts w:hint="eastAsia"/>
              </w:rPr>
              <w:t>部门职责变更 □主要原材料 □关键人员</w:t>
            </w:r>
            <w:r>
              <w:rPr>
                <w:rFonts w:hint="eastAsia"/>
                <w:lang w:val="en-US" w:eastAsia="zh-CN"/>
              </w:rPr>
              <w:t xml:space="preserve"> </w:t>
            </w:r>
            <w:r>
              <w:rPr>
                <w:rFonts w:hint="eastAsia"/>
              </w:rPr>
              <w:t xml:space="preserve"> □生产工艺/服务流程 </w:t>
            </w:r>
          </w:p>
          <w:p>
            <w:pPr>
              <w:spacing w:before="40" w:after="40"/>
              <w:rPr>
                <w:rFonts w:hint="eastAsia" w:eastAsia="宋体"/>
                <w:lang w:val="en-US" w:eastAsia="zh-CN"/>
              </w:rPr>
            </w:pPr>
            <w:r>
              <w:rPr>
                <w:rFonts w:hint="eastAsia"/>
              </w:rPr>
              <w:sym w:font="Wingdings 2" w:char="00A3"/>
            </w:r>
            <w:r>
              <w:rPr>
                <w:rFonts w:hint="eastAsia"/>
              </w:rPr>
              <w:t xml:space="preserve">主要设备设施 □主要检测设备 </w:t>
            </w:r>
            <w:r>
              <w:rPr/>
              <w:sym w:font="Wingdings" w:char="00FE"/>
            </w:r>
            <w:r>
              <w:rPr>
                <w:rFonts w:hint="eastAsia"/>
              </w:rPr>
              <w:t>其他——</w:t>
            </w:r>
            <w:r>
              <w:rPr>
                <w:rFonts w:hint="eastAsia"/>
                <w:lang w:val="en-US" w:eastAsia="zh-CN"/>
              </w:rPr>
              <w:t>无</w:t>
            </w:r>
          </w:p>
          <w:p>
            <w:pPr>
              <w:pStyle w:val="9"/>
            </w:pP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3145"/>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883" w:type="dxa"/>
                </w:tcPr>
                <w:p>
                  <w:r>
                    <w:rPr>
                      <w:rFonts w:hint="eastAsia"/>
                    </w:rPr>
                    <w:t>体系变更的内容说明</w:t>
                  </w:r>
                </w:p>
              </w:tc>
              <w:tc>
                <w:tcPr>
                  <w:tcW w:w="3145"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评价内容</w:t>
                  </w:r>
                </w:p>
              </w:tc>
              <w:tc>
                <w:tcPr>
                  <w:tcW w:w="3145"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变更目的</w:t>
                  </w:r>
                </w:p>
              </w:tc>
              <w:tc>
                <w:tcPr>
                  <w:tcW w:w="3145" w:type="dxa"/>
                </w:tcPr>
                <w:p>
                  <w:pPr>
                    <w:rPr>
                      <w:rFonts w:hint="default" w:eastAsia="宋体"/>
                      <w:lang w:val="en-US" w:eastAsia="zh-CN"/>
                    </w:rPr>
                  </w:pPr>
                  <w:r>
                    <w:rPr>
                      <w:rFonts w:hint="eastAsia"/>
                      <w:lang w:val="en-US"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其潜在后果</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3" w:type="dxa"/>
                </w:tcPr>
                <w:p>
                  <w:r>
                    <w:rPr>
                      <w:rFonts w:hint="eastAsia"/>
                    </w:rPr>
                    <w:t>管理体系的完整性</w:t>
                  </w:r>
                </w:p>
              </w:tc>
              <w:tc>
                <w:tcPr>
                  <w:tcW w:w="3145" w:type="dxa"/>
                </w:tcPr>
                <w:p>
                  <w:pPr>
                    <w:rPr>
                      <w:rFonts w:hint="eastAsia" w:eastAsia="宋体"/>
                      <w:lang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资源的可获得性</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tcPr>
                <w:p>
                  <w:r>
                    <w:rPr>
                      <w:rFonts w:hint="eastAsia"/>
                    </w:rPr>
                    <w:t>职责和权限的分配或再分配</w:t>
                  </w:r>
                </w:p>
              </w:tc>
              <w:tc>
                <w:tcPr>
                  <w:tcW w:w="3145" w:type="dxa"/>
                </w:tcPr>
                <w:p>
                  <w:pPr>
                    <w:rPr>
                      <w:rFonts w:hint="default" w:eastAsia="宋体"/>
                      <w:lang w:val="en-US" w:eastAsia="zh-CN"/>
                    </w:rPr>
                  </w:p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Pr>
              <w:rPr>
                <w:rFonts w:hint="default" w:eastAsia="宋体"/>
                <w:lang w:val="en-US" w:eastAsia="zh-CN"/>
              </w:rPr>
            </w:pPr>
            <w:r>
              <w:rPr>
                <w:rFonts w:hint="eastAsia"/>
                <w:lang w:val="en-US" w:eastAsia="zh-CN"/>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1902" w:type="dxa"/>
            <w:vMerge w:val="restart"/>
            <w:shd w:val="clear" w:color="auto" w:fill="auto"/>
          </w:tcPr>
          <w:p>
            <w:r>
              <w:rPr>
                <w:rFonts w:hint="eastAsia"/>
              </w:rPr>
              <w:t>资源（总则）</w:t>
            </w:r>
          </w:p>
        </w:tc>
        <w:tc>
          <w:tcPr>
            <w:tcW w:w="1129" w:type="dxa"/>
            <w:vMerge w:val="restart"/>
            <w:shd w:val="clear" w:color="auto" w:fill="auto"/>
          </w:tcPr>
          <w:p>
            <w:pPr>
              <w:rPr>
                <w:sz w:val="21"/>
                <w:szCs w:val="21"/>
              </w:rPr>
            </w:pPr>
            <w:r>
              <w:rPr>
                <w:rFonts w:hint="eastAsia"/>
                <w:sz w:val="21"/>
                <w:szCs w:val="21"/>
              </w:rPr>
              <w:t>Q7.1</w:t>
            </w:r>
            <w:r>
              <w:rPr>
                <w:rFonts w:hint="eastAsia"/>
                <w:sz w:val="21"/>
                <w:szCs w:val="21"/>
                <w:lang w:val="en-US" w:eastAsia="zh-CN"/>
              </w:rPr>
              <w:t>.1</w:t>
            </w:r>
          </w:p>
          <w:p>
            <w:pPr>
              <w:rPr>
                <w:rFonts w:hint="eastAsia"/>
                <w:sz w:val="21"/>
                <w:szCs w:val="21"/>
                <w:lang w:val="en-US" w:eastAsia="zh-CN"/>
              </w:rPr>
            </w:pPr>
            <w:r>
              <w:rPr>
                <w:rFonts w:hint="eastAsia"/>
                <w:sz w:val="21"/>
                <w:szCs w:val="21"/>
              </w:rPr>
              <w:t>F7.1</w:t>
            </w:r>
            <w:r>
              <w:rPr>
                <w:rFonts w:hint="eastAsia"/>
                <w:sz w:val="21"/>
                <w:szCs w:val="21"/>
                <w:lang w:val="en-US" w:eastAsia="zh-CN"/>
              </w:rPr>
              <w:t>.1</w:t>
            </w:r>
          </w:p>
          <w:p>
            <w:pPr>
              <w:pStyle w:val="9"/>
              <w:rPr>
                <w:rFonts w:hint="eastAsia"/>
                <w:color w:val="000000"/>
                <w:sz w:val="21"/>
                <w:szCs w:val="21"/>
                <w:lang w:val="en-US" w:eastAsia="zh-CN"/>
              </w:rPr>
            </w:pPr>
            <w:r>
              <w:rPr>
                <w:rFonts w:hint="eastAsia"/>
                <w:color w:val="000000"/>
                <w:sz w:val="21"/>
                <w:szCs w:val="21"/>
                <w:lang w:val="en-US" w:eastAsia="zh-CN"/>
              </w:rPr>
              <w:t>E7.1</w:t>
            </w:r>
          </w:p>
          <w:p>
            <w:pPr>
              <w:pStyle w:val="9"/>
              <w:rPr>
                <w:rFonts w:hint="default"/>
                <w:color w:val="000000"/>
                <w:szCs w:val="21"/>
                <w:lang w:val="en-US" w:eastAsia="zh-CN"/>
              </w:rPr>
            </w:pPr>
            <w:r>
              <w:rPr>
                <w:rFonts w:hint="eastAsia"/>
                <w:color w:val="000000"/>
                <w:sz w:val="21"/>
                <w:szCs w:val="21"/>
                <w:lang w:val="en-US" w:eastAsia="zh-CN"/>
              </w:rPr>
              <w:t>O7.1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如：管理手册第7.1章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6"/>
              </w:numPr>
              <w:rPr>
                <w:color w:val="000000"/>
                <w:szCs w:val="21"/>
              </w:rPr>
            </w:pPr>
            <w:r>
              <w:rPr>
                <w:rFonts w:hint="eastAsia"/>
                <w:color w:val="000000"/>
                <w:szCs w:val="21"/>
              </w:rPr>
              <w:t>现有内部资源的能力；</w:t>
            </w:r>
          </w:p>
          <w:p>
            <w:pPr>
              <w:ind w:firstLine="210" w:firstLineChars="100"/>
              <w:rPr>
                <w:rFonts w:hint="default"/>
                <w:highlight w:val="none"/>
                <w:u w:val="single"/>
                <w:lang w:val="en-US" w:eastAsia="zh-CN"/>
              </w:rPr>
            </w:pPr>
            <w:r>
              <w:rPr>
                <w:rFonts w:hint="eastAsia"/>
                <w:highlight w:val="none"/>
                <w:u w:val="single"/>
                <w:lang w:val="en-US" w:eastAsia="zh-CN"/>
              </w:rPr>
              <w:t xml:space="preserve">厂区占地面积550亩；13.7万平方米（制酒车间）；化验室1个；储酒罐6个（共1万吨）；1辆班车 </w:t>
            </w:r>
          </w:p>
          <w:p>
            <w:pPr>
              <w:pStyle w:val="16"/>
              <w:rPr>
                <w:rFonts w:hint="eastAsia"/>
                <w:lang w:eastAsia="zh-CN"/>
              </w:rPr>
            </w:pPr>
          </w:p>
          <w:p>
            <w:pPr>
              <w:rPr>
                <w:rFonts w:hint="eastAsia"/>
                <w:highlight w:val="yellow"/>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板链输送机、加曲机、打量水罐、酒甑平台、酒甑等、</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灭火器、消防栓、污水处理设施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灭火器、消防栓、、急停按钮  （列举2~4种）</w:t>
            </w:r>
          </w:p>
          <w:p>
            <w:pPr>
              <w:pStyle w:val="9"/>
              <w:rPr>
                <w:highlight w:val="yellow"/>
              </w:rPr>
            </w:pPr>
          </w:p>
          <w:p>
            <w:pPr>
              <w:pStyle w:val="9"/>
              <w:rPr>
                <w:highlight w:val="yellow"/>
              </w:rPr>
            </w:pPr>
          </w:p>
          <w:p>
            <w:pPr>
              <w:widowControl/>
              <w:spacing w:before="40"/>
              <w:jc w:val="left"/>
              <w:rPr>
                <w:color w:val="000000"/>
                <w:highlight w:val="none"/>
              </w:rPr>
            </w:pPr>
            <w:r>
              <w:rPr>
                <w:rFonts w:hint="eastAsia"/>
                <w:color w:val="000000"/>
                <w:highlight w:val="none"/>
              </w:rPr>
              <w:t>动力设施和辅助设施的状况，存在下列的场所：</w:t>
            </w:r>
          </w:p>
          <w:p>
            <w:pPr>
              <w:widowControl/>
              <w:spacing w:before="40"/>
              <w:ind w:firstLine="210" w:firstLineChars="100"/>
              <w:jc w:val="left"/>
              <w:rPr>
                <w:color w:val="000000"/>
                <w:highlight w:val="none"/>
              </w:rPr>
            </w:pPr>
            <w:r>
              <w:rPr>
                <w:color w:val="000000"/>
                <w:highlight w:val="none"/>
              </w:rPr>
              <w:sym w:font="Wingdings" w:char="00FE"/>
            </w:r>
            <w:r>
              <w:rPr>
                <w:rFonts w:hint="eastAsia"/>
                <w:color w:val="000000"/>
                <w:highlight w:val="none"/>
              </w:rPr>
              <w:t>污水处理站</w:t>
            </w:r>
            <w:r>
              <w:rPr>
                <w:rFonts w:hint="eastAsia"/>
                <w:color w:val="000000"/>
                <w:highlight w:val="none"/>
                <w:lang w:eastAsia="zh-CN"/>
              </w:rPr>
              <w:t>（</w:t>
            </w:r>
            <w:r>
              <w:rPr>
                <w:rFonts w:hint="eastAsia"/>
                <w:color w:val="000000"/>
                <w:highlight w:val="none"/>
                <w:lang w:val="en-US" w:eastAsia="zh-CN"/>
              </w:rPr>
              <w:t>园区管理</w:t>
            </w:r>
            <w:r>
              <w:rPr>
                <w:rFonts w:hint="eastAsia"/>
                <w:color w:val="000000"/>
                <w:highlight w:val="none"/>
                <w:lang w:eastAsia="zh-CN"/>
              </w:rPr>
              <w:t>）</w:t>
            </w:r>
            <w:r>
              <w:rPr>
                <w:rFonts w:hint="eastAsia"/>
                <w:color w:val="000000"/>
                <w:highlight w:val="none"/>
              </w:rPr>
              <w:t xml:space="preserve">  </w:t>
            </w:r>
            <w:r>
              <w:rPr>
                <w:color w:val="000000"/>
                <w:highlight w:val="none"/>
              </w:rPr>
              <w:sym w:font="Wingdings" w:char="00A8"/>
            </w:r>
            <w:r>
              <w:rPr>
                <w:rFonts w:hint="eastAsia"/>
                <w:color w:val="000000"/>
                <w:highlight w:val="none"/>
              </w:rPr>
              <w:t xml:space="preserve">锅炉房  </w:t>
            </w:r>
            <w:r>
              <w:rPr>
                <w:color w:val="000000"/>
                <w:highlight w:val="none"/>
              </w:rPr>
              <w:sym w:font="Wingdings" w:char="00FE"/>
            </w:r>
            <w:r>
              <w:rPr>
                <w:rFonts w:hint="eastAsia"/>
                <w:color w:val="000000"/>
                <w:highlight w:val="none"/>
              </w:rPr>
              <w:t xml:space="preserve">高压配电室  </w:t>
            </w:r>
            <w:r>
              <w:rPr>
                <w:rFonts w:hint="eastAsia"/>
                <w:highlight w:val="none"/>
              </w:rPr>
              <w:sym w:font="Wingdings 2" w:char="00A3"/>
            </w:r>
            <w:r>
              <w:rPr>
                <w:rFonts w:hint="eastAsia"/>
                <w:color w:val="000000"/>
                <w:highlight w:val="none"/>
              </w:rPr>
              <w:t xml:space="preserve">低压配电室 </w:t>
            </w:r>
            <w:r>
              <w:rPr>
                <w:color w:val="000000"/>
                <w:highlight w:val="none"/>
              </w:rPr>
              <w:sym w:font="Wingdings" w:char="00FE"/>
            </w:r>
            <w:r>
              <w:rPr>
                <w:rFonts w:hint="eastAsia"/>
                <w:color w:val="000000"/>
                <w:highlight w:val="none"/>
              </w:rPr>
              <w:t xml:space="preserve">空压站  </w:t>
            </w:r>
            <w:r>
              <w:rPr>
                <w:color w:val="000000"/>
                <w:highlight w:val="none"/>
              </w:rPr>
              <w:sym w:font="Wingdings" w:char="00A8"/>
            </w:r>
            <w:r>
              <w:rPr>
                <w:rFonts w:hint="eastAsia"/>
                <w:color w:val="000000"/>
                <w:highlight w:val="none"/>
              </w:rPr>
              <w:t xml:space="preserve">制冷站  </w:t>
            </w:r>
            <w:r>
              <w:rPr>
                <w:rFonts w:hint="eastAsia"/>
                <w:color w:val="1D41D5"/>
                <w:highlight w:val="none"/>
                <w:lang w:val="en-US" w:eastAsia="zh-CN"/>
              </w:rPr>
              <w:t xml:space="preserve"> </w:t>
            </w:r>
            <w:r>
              <w:rPr>
                <w:rFonts w:hint="default"/>
                <w:color w:val="auto"/>
                <w:highlight w:val="none"/>
                <w:lang w:val="en-US" w:eastAsia="zh-CN"/>
              </w:rPr>
              <w:sym w:font="Wingdings" w:char="00A8"/>
            </w:r>
            <w:r>
              <w:rPr>
                <w:rFonts w:hint="eastAsia"/>
                <w:color w:val="auto"/>
                <w:highlight w:val="none"/>
                <w:lang w:val="en-US" w:eastAsia="zh-CN"/>
              </w:rPr>
              <w:t>水处理</w:t>
            </w:r>
            <w:r>
              <w:rPr>
                <w:rFonts w:hint="eastAsia"/>
                <w:color w:val="000000"/>
                <w:highlight w:val="none"/>
              </w:rPr>
              <w:t xml:space="preserve"> </w:t>
            </w:r>
            <w:r>
              <w:rPr>
                <w:color w:val="000000"/>
                <w:highlight w:val="none"/>
              </w:rPr>
              <w:sym w:font="Wingdings" w:char="00A8"/>
            </w:r>
            <w:r>
              <w:rPr>
                <w:rFonts w:hint="eastAsia"/>
                <w:color w:val="000000"/>
                <w:highlight w:val="none"/>
              </w:rPr>
              <w:t>消防中控室</w:t>
            </w:r>
            <w:r>
              <w:rPr>
                <w:rFonts w:hint="eastAsia"/>
                <w:color w:val="000000"/>
                <w:highlight w:val="none"/>
                <w:lang w:val="en-US" w:eastAsia="zh-CN"/>
              </w:rPr>
              <w:t xml:space="preserve">  </w:t>
            </w:r>
            <w:r>
              <w:rPr>
                <w:color w:val="000000"/>
                <w:highlight w:val="none"/>
              </w:rPr>
              <w:sym w:font="Wingdings" w:char="00A8"/>
            </w:r>
            <w:r>
              <w:rPr>
                <w:rFonts w:hint="eastAsia"/>
                <w:color w:val="000000"/>
                <w:highlight w:val="none"/>
              </w:rPr>
              <w:t xml:space="preserve">消防泵房 </w:t>
            </w:r>
            <w:bookmarkStart w:id="3" w:name="_GoBack"/>
            <w:bookmarkEnd w:id="3"/>
            <w:r>
              <w:rPr>
                <w:rFonts w:hint="eastAsia"/>
                <w:color w:val="000000"/>
                <w:highlight w:val="none"/>
              </w:rPr>
              <w:t xml:space="preserve">  </w:t>
            </w:r>
            <w:r>
              <w:rPr>
                <w:rFonts w:hint="eastAsia"/>
                <w:highlight w:val="none"/>
              </w:rPr>
              <w:t>□</w:t>
            </w:r>
            <w:r>
              <w:rPr>
                <w:rFonts w:hint="eastAsia"/>
                <w:color w:val="000000"/>
                <w:highlight w:val="none"/>
              </w:rPr>
              <w:t xml:space="preserve">除尘装置 </w:t>
            </w:r>
            <w:r>
              <w:rPr>
                <w:color w:val="000000"/>
                <w:highlight w:val="none"/>
              </w:rPr>
              <w:sym w:font="Wingdings" w:char="00A8"/>
            </w:r>
            <w:r>
              <w:rPr>
                <w:rFonts w:hint="eastAsia"/>
                <w:color w:val="000000"/>
                <w:highlight w:val="none"/>
              </w:rPr>
              <w:t xml:space="preserve">尾气处理  </w:t>
            </w:r>
            <w:r>
              <w:rPr>
                <w:color w:val="000000"/>
                <w:highlight w:val="none"/>
              </w:rPr>
              <w:sym w:font="Wingdings" w:char="00A8"/>
            </w:r>
            <w:r>
              <w:rPr>
                <w:rFonts w:hint="eastAsia"/>
                <w:color w:val="000000"/>
                <w:highlight w:val="none"/>
              </w:rPr>
              <w:t xml:space="preserve">危化品库房   </w:t>
            </w:r>
            <w:r>
              <w:rPr>
                <w:color w:val="000000"/>
                <w:highlight w:val="none"/>
              </w:rPr>
              <w:sym w:font="Wingdings" w:char="00A8"/>
            </w:r>
            <w:r>
              <w:rPr>
                <w:rFonts w:hint="eastAsia"/>
                <w:color w:val="000000"/>
                <w:highlight w:val="none"/>
              </w:rPr>
              <w:t xml:space="preserve">危险废弃物存放处   </w:t>
            </w:r>
            <w:r>
              <w:rPr>
                <w:color w:val="000000"/>
                <w:highlight w:val="none"/>
              </w:rPr>
              <w:sym w:font="Wingdings" w:char="00A8"/>
            </w:r>
            <w:r>
              <w:rPr>
                <w:rFonts w:hint="eastAsia"/>
                <w:color w:val="000000"/>
                <w:highlight w:val="none"/>
              </w:rPr>
              <w:t>改建/扩建施工现场</w:t>
            </w:r>
            <w:r>
              <w:rPr>
                <w:rFonts w:hint="eastAsia"/>
                <w:color w:val="000000"/>
                <w:highlight w:val="none"/>
                <w:lang w:val="en-US" w:eastAsia="zh-CN"/>
              </w:rPr>
              <w:t xml:space="preserve">  </w:t>
            </w:r>
            <w:r>
              <w:rPr>
                <w:rFonts w:hint="eastAsia"/>
                <w:highlight w:val="none"/>
              </w:rPr>
              <w:t>□</w:t>
            </w:r>
            <w:r>
              <w:rPr>
                <w:rFonts w:hint="eastAsia"/>
                <w:color w:val="000000"/>
                <w:highlight w:val="none"/>
              </w:rPr>
              <w:t xml:space="preserve">食堂  </w:t>
            </w:r>
            <w:r>
              <w:rPr>
                <w:color w:val="000000"/>
                <w:highlight w:val="none"/>
              </w:rPr>
              <w:sym w:font="Wingdings" w:char="00A8"/>
            </w:r>
            <w:r>
              <w:rPr>
                <w:rFonts w:hint="eastAsia"/>
                <w:color w:val="000000"/>
                <w:highlight w:val="none"/>
              </w:rPr>
              <w:t xml:space="preserve">宿舍  </w:t>
            </w:r>
            <w:r>
              <w:rPr>
                <w:color w:val="000000"/>
                <w:highlight w:val="none"/>
              </w:rPr>
              <w:sym w:font="Wingdings" w:char="00FE"/>
            </w:r>
            <w:r>
              <w:rPr>
                <w:rFonts w:hint="eastAsia"/>
                <w:color w:val="000000"/>
                <w:highlight w:val="none"/>
              </w:rPr>
              <w:t xml:space="preserve">班车  </w:t>
            </w:r>
            <w:r>
              <w:rPr>
                <w:color w:val="000000"/>
                <w:highlight w:val="none"/>
              </w:rPr>
              <w:sym w:font="Wingdings" w:char="00A8"/>
            </w:r>
            <w:r>
              <w:rPr>
                <w:rFonts w:hint="eastAsia"/>
                <w:color w:val="000000"/>
                <w:highlight w:val="none"/>
              </w:rPr>
              <w:t xml:space="preserve">其他——不涉及 </w:t>
            </w:r>
          </w:p>
          <w:p>
            <w:pPr>
              <w:pStyle w:val="9"/>
              <w:rPr>
                <w:highlight w:val="yellow"/>
              </w:rPr>
            </w:pPr>
          </w:p>
          <w:p>
            <w:pPr>
              <w:pStyle w:val="9"/>
              <w:rPr>
                <w:highlight w:val="yellow"/>
              </w:rPr>
            </w:pPr>
          </w:p>
          <w:p>
            <w:pPr>
              <w:rPr>
                <w:rFonts w:hint="eastAsia"/>
                <w:highlight w:val="none"/>
              </w:rPr>
            </w:pPr>
            <w:r>
              <w:rPr>
                <w:rFonts w:hint="eastAsia"/>
                <w:highlight w:val="none"/>
              </w:rPr>
              <w:t>特种设备：</w:t>
            </w:r>
          </w:p>
          <w:p>
            <w:pPr>
              <w:ind w:firstLine="210" w:firstLineChars="100"/>
              <w:rPr>
                <w:rFonts w:hint="eastAsia"/>
                <w:highlight w:val="none"/>
              </w:rPr>
            </w:pPr>
            <w:r>
              <w:rPr>
                <w:rFonts w:hint="eastAsia"/>
                <w:highlight w:val="none"/>
              </w:rPr>
              <w:sym w:font="Wingdings" w:char="00FE"/>
            </w:r>
            <w:r>
              <w:rPr>
                <w:rFonts w:hint="eastAsia"/>
                <w:highlight w:val="none"/>
              </w:rPr>
              <w:t xml:space="preserve">叉车 </w:t>
            </w:r>
            <w:r>
              <w:rPr>
                <w:rFonts w:hint="eastAsia"/>
                <w:highlight w:val="none"/>
              </w:rPr>
              <w:sym w:font="Wingdings" w:char="00FE"/>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lang w:val="en-US" w:eastAsia="zh-CN"/>
              </w:rPr>
              <w:t xml:space="preserve"> </w:t>
            </w:r>
            <w:r>
              <w:rPr>
                <w:rFonts w:hint="eastAsia"/>
                <w:highlight w:val="none"/>
              </w:rPr>
              <w:sym w:font="Wingdings" w:char="00A8"/>
            </w:r>
            <w:r>
              <w:rPr>
                <w:rFonts w:hint="eastAsia"/>
                <w:highlight w:val="none"/>
              </w:rPr>
              <w:t>电梯</w:t>
            </w:r>
            <w:r>
              <w:rPr>
                <w:rFonts w:hint="eastAsia"/>
                <w:highlight w:val="none"/>
                <w:lang w:val="en-US" w:eastAsia="zh-CN"/>
              </w:rPr>
              <w:t xml:space="preserve"> </w:t>
            </w:r>
            <w:r>
              <w:rPr>
                <w:rFonts w:hint="eastAsia"/>
                <w:highlight w:val="none"/>
              </w:rPr>
              <w:t xml:space="preserve">  </w:t>
            </w:r>
            <w:r>
              <w:rPr>
                <w:rFonts w:hint="eastAsia"/>
                <w:highlight w:val="none"/>
              </w:rPr>
              <w:sym w:font="Wingdings" w:char="00FE"/>
            </w:r>
            <w:r>
              <w:rPr>
                <w:rFonts w:hint="eastAsia"/>
                <w:highlight w:val="none"/>
              </w:rPr>
              <w:t xml:space="preserve">压力容器  </w:t>
            </w:r>
            <w:r>
              <w:rPr>
                <w:rFonts w:hint="eastAsia"/>
                <w:highlight w:val="none"/>
              </w:rPr>
              <w:sym w:font="Wingdings" w:char="00FE"/>
            </w:r>
            <w:r>
              <w:rPr>
                <w:rFonts w:hint="eastAsia"/>
                <w:highlight w:val="none"/>
              </w:rPr>
              <w:t xml:space="preserve">压力管道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不适用</w:t>
            </w:r>
          </w:p>
          <w:p>
            <w:pPr>
              <w:ind w:firstLine="210" w:firstLineChars="100"/>
              <w:rPr>
                <w:highlight w:val="none"/>
              </w:rPr>
            </w:pPr>
          </w:p>
          <w:p>
            <w:pPr>
              <w:rPr>
                <w:highlight w:val="none"/>
                <w:u w:val="single"/>
              </w:rPr>
            </w:pPr>
            <w:r>
              <w:rPr>
                <w:rFonts w:hint="eastAsia"/>
                <w:highlight w:val="none"/>
              </w:rPr>
              <w:t>特种设备管理：</w:t>
            </w:r>
            <w:r>
              <w:rPr>
                <w:rFonts w:hint="eastAsia"/>
                <w:highlight w:val="none"/>
              </w:rPr>
              <w:sym w:font="Wingdings" w:char="00FE"/>
            </w:r>
            <w:r>
              <w:rPr>
                <w:rFonts w:hint="eastAsia"/>
                <w:highlight w:val="none"/>
              </w:rPr>
              <w:t xml:space="preserve">进行了定期检验 </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pStyle w:val="9"/>
              <w:rPr>
                <w:rFonts w:hint="default"/>
                <w:color w:val="000000"/>
                <w:szCs w:val="21"/>
                <w:highlight w:val="none"/>
                <w:lang w:val="en-US" w:eastAsia="zh-CN"/>
              </w:rPr>
            </w:pPr>
          </w:p>
          <w:p>
            <w:pPr>
              <w:numPr>
                <w:ilvl w:val="0"/>
                <w:numId w:val="7"/>
              </w:numPr>
              <w:rPr>
                <w:color w:val="000000"/>
                <w:szCs w:val="21"/>
                <w:highlight w:val="none"/>
                <w:u w:val="single"/>
              </w:rPr>
            </w:pPr>
            <w:r>
              <w:rPr>
                <w:rFonts w:hint="eastAsia"/>
                <w:color w:val="000000"/>
                <w:szCs w:val="21"/>
                <w:highlight w:val="none"/>
              </w:rPr>
              <w:t>还存在哪些局限和不足：</w:t>
            </w:r>
            <w:r>
              <w:rPr>
                <w:rFonts w:hint="eastAsia"/>
                <w:color w:val="000000"/>
                <w:szCs w:val="21"/>
                <w:highlight w:val="none"/>
                <w:u w:val="single"/>
              </w:rPr>
              <w:t xml:space="preserve">                         </w:t>
            </w:r>
          </w:p>
          <w:p>
            <w:pPr>
              <w:pStyle w:val="26"/>
              <w:shd w:val="clear"/>
              <w:adjustRightInd w:val="0"/>
              <w:snapToGrid w:val="0"/>
              <w:spacing w:line="360" w:lineRule="auto"/>
              <w:rPr>
                <w:rFonts w:hint="default"/>
                <w:highlight w:val="yellow"/>
                <w:u w:val="single"/>
                <w:lang w:val="en-US"/>
              </w:rPr>
            </w:pPr>
            <w:r>
              <w:rPr>
                <w:rFonts w:hint="eastAsia"/>
                <w:color w:val="000000"/>
                <w:szCs w:val="21"/>
                <w:highlight w:val="none"/>
              </w:rPr>
              <w:t>需要从外部供方获得的资源：</w:t>
            </w:r>
            <w:r>
              <w:rPr>
                <w:rFonts w:hint="eastAsia"/>
                <w:highlight w:val="none"/>
                <w:u w:val="single"/>
              </w:rPr>
              <w:t xml:space="preserve"> </w:t>
            </w:r>
            <w:r>
              <w:rPr>
                <w:rFonts w:hint="eastAsia"/>
                <w:u w:val="single"/>
                <w:lang w:val="en-US" w:eastAsia="zh-CN"/>
              </w:rPr>
              <w:t xml:space="preserve"> </w:t>
            </w:r>
            <w:r>
              <w:rPr>
                <w:rFonts w:hint="eastAsia"/>
                <w:color w:val="000000"/>
                <w:u w:val="single"/>
                <w:lang w:val="en-US" w:eastAsia="zh-CN"/>
              </w:rPr>
              <w:t xml:space="preserve">无   </w:t>
            </w:r>
          </w:p>
          <w:p>
            <w:pPr>
              <w:numPr>
                <w:ilvl w:val="0"/>
                <w:numId w:val="6"/>
              </w:numPr>
            </w:pPr>
            <w:r>
              <w:rPr>
                <w:rFonts w:hint="eastAsia"/>
                <w:highlight w:val="none"/>
                <w:u w:val="single"/>
                <w:lang w:val="en-US" w:eastAsia="zh-CN"/>
              </w:rPr>
              <w:t xml:space="preserve">            </w:t>
            </w:r>
            <w:r>
              <w:rPr>
                <w:highlight w:val="none"/>
                <w:u w:val="single"/>
              </w:rPr>
              <w:t xml:space="preserve"> </w:t>
            </w:r>
            <w:r>
              <w:rPr>
                <w:rFonts w:hint="eastAsia"/>
                <w:highlight w:val="none"/>
                <w:u w:val="single"/>
              </w:rPr>
              <w:t xml:space="preserve"> </w:t>
            </w:r>
            <w:r>
              <w:rPr>
                <w:rFonts w:hint="eastAsia"/>
                <w:highlight w:val="non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1902" w:type="dxa"/>
            <w:vMerge w:val="restart"/>
            <w:shd w:val="clear" w:color="auto" w:fill="auto"/>
          </w:tcPr>
          <w:p>
            <w:r>
              <w:rPr>
                <w:rFonts w:hint="eastAsia"/>
              </w:rPr>
              <w:t xml:space="preserve">沟通  </w:t>
            </w:r>
          </w:p>
        </w:tc>
        <w:tc>
          <w:tcPr>
            <w:tcW w:w="1129" w:type="dxa"/>
            <w:vMerge w:val="restart"/>
            <w:shd w:val="clear" w:color="auto" w:fill="auto"/>
          </w:tcPr>
          <w:p>
            <w:r>
              <w:rPr>
                <w:rFonts w:hint="eastAsia"/>
              </w:rPr>
              <w:t>Q</w:t>
            </w:r>
            <w:r>
              <w:rPr>
                <w:rFonts w:hint="eastAsia"/>
                <w:lang w:val="en-US" w:eastAsia="zh-CN"/>
              </w:rPr>
              <w:t>EOF</w:t>
            </w:r>
            <w:r>
              <w:rPr>
                <w:rFonts w:hint="eastAsia"/>
              </w:rPr>
              <w:t>7.4</w:t>
            </w:r>
          </w:p>
          <w:p>
            <w:pPr>
              <w:pStyle w:val="16"/>
              <w:rPr>
                <w:rFonts w:hint="default"/>
                <w:lang w:val="en-US" w:eastAsia="zh-CN"/>
              </w:rPr>
            </w:pPr>
            <w:r>
              <w:rPr>
                <w:rFonts w:hint="eastAsia"/>
                <w:lang w:val="en-US" w:eastAsia="zh-CN"/>
              </w:rPr>
              <w:t>H2.5.2</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如：管理手册第7.4章、《沟通控制程序》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组织考虑了合规义务，确保质量/食品安全</w:t>
            </w:r>
            <w:r>
              <w:rPr>
                <w:rFonts w:hint="eastAsia"/>
                <w:lang w:val="en-US" w:eastAsia="zh-CN"/>
              </w:rPr>
              <w:t>/环境/职业健康</w:t>
            </w:r>
            <w:r>
              <w:rPr>
                <w:rFonts w:hint="eastAsia"/>
              </w:rPr>
              <w:t>信息与管理体系形成的信息一致且真实可信。一般</w:t>
            </w:r>
            <w:r>
              <w:rPr>
                <w:rFonts w:hint="eastAsia"/>
                <w:u w:val="single"/>
                <w:lang w:val="en-US" w:eastAsia="zh-CN"/>
              </w:rPr>
              <w:t>综合管理办公室</w:t>
            </w:r>
            <w:r>
              <w:rPr>
                <w:rFonts w:hint="eastAsia"/>
              </w:rPr>
              <w:t>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lang w:val="en-US" w:eastAsia="zh-CN"/>
              </w:rPr>
              <w:t>生态环保局</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表单传递 ☑微信 ☑QQ</w:t>
            </w:r>
            <w:r>
              <w:rPr>
                <w:rFonts w:hint="eastAsia"/>
                <w:color w:val="000000"/>
                <w:szCs w:val="21"/>
                <w:lang w:val="en-US" w:eastAsia="zh-CN"/>
              </w:rPr>
              <w:t xml:space="preserve">  </w:t>
            </w:r>
            <w:r>
              <w:rPr>
                <w:rFonts w:hint="eastAsia"/>
                <w:color w:val="000000"/>
                <w:szCs w:val="21"/>
                <w:lang w:eastAsia="zh-CN"/>
              </w:rPr>
              <w:sym w:font="Wingdings 2" w:char="0052"/>
            </w:r>
            <w:r>
              <w:rPr>
                <w:rFonts w:hint="eastAsia"/>
                <w:color w:val="000000"/>
                <w:szCs w:val="21"/>
              </w:rPr>
              <w:t xml:space="preserve">展板 </w:t>
            </w:r>
            <w:r>
              <w:rPr>
                <w:rFonts w:hint="eastAsia"/>
                <w:color w:val="000000"/>
                <w:szCs w:val="21"/>
              </w:rPr>
              <w:sym w:font="Wingdings 2" w:char="0052"/>
            </w:r>
            <w:r>
              <w:rPr>
                <w:rFonts w:hint="eastAsia"/>
                <w:color w:val="000000"/>
                <w:szCs w:val="21"/>
              </w:rPr>
              <w:t>标语</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902" w:type="dxa"/>
            <w:vMerge w:val="restart"/>
            <w:shd w:val="clear" w:color="auto" w:fill="auto"/>
          </w:tcPr>
          <w:p>
            <w:pPr>
              <w:shd w:val="clear"/>
            </w:pPr>
            <w:r>
              <w:rPr>
                <w:rFonts w:hint="eastAsia"/>
              </w:rPr>
              <w:t>文件要求</w:t>
            </w:r>
          </w:p>
        </w:tc>
        <w:tc>
          <w:tcPr>
            <w:tcW w:w="1129" w:type="dxa"/>
            <w:vMerge w:val="restart"/>
            <w:shd w:val="clear" w:color="auto" w:fill="auto"/>
          </w:tcPr>
          <w:p>
            <w:pPr>
              <w:shd w:val="clear"/>
              <w:rPr>
                <w:rFonts w:hint="eastAsia"/>
                <w:lang w:val="en-US" w:eastAsia="zh-CN"/>
              </w:rPr>
            </w:pPr>
            <w:r>
              <w:rPr>
                <w:rFonts w:hint="eastAsia"/>
                <w:lang w:val="en-US" w:eastAsia="zh-CN"/>
              </w:rPr>
              <w:t>Q7.5.1</w:t>
            </w:r>
          </w:p>
          <w:p>
            <w:pPr>
              <w:shd w:val="clear"/>
              <w:rPr>
                <w:rFonts w:hint="eastAsia"/>
                <w:lang w:val="en-US" w:eastAsia="zh-CN"/>
              </w:rPr>
            </w:pPr>
            <w:r>
              <w:rPr>
                <w:rFonts w:hint="eastAsia"/>
                <w:lang w:val="en-US" w:eastAsia="zh-CN"/>
              </w:rPr>
              <w:t>F7.5.1</w:t>
            </w:r>
          </w:p>
          <w:p>
            <w:pPr>
              <w:pStyle w:val="16"/>
              <w:rPr>
                <w:rFonts w:hint="eastAsia"/>
                <w:lang w:val="en-US" w:eastAsia="zh-CN"/>
              </w:rPr>
            </w:pPr>
            <w:r>
              <w:rPr>
                <w:rFonts w:hint="eastAsia"/>
                <w:lang w:val="en-US" w:eastAsia="zh-CN"/>
              </w:rPr>
              <w:t>E7.5.1</w:t>
            </w:r>
          </w:p>
          <w:p>
            <w:pPr>
              <w:pStyle w:val="16"/>
              <w:rPr>
                <w:rFonts w:hint="default"/>
                <w:lang w:val="en-US" w:eastAsia="zh-CN"/>
              </w:rPr>
            </w:pPr>
            <w:r>
              <w:rPr>
                <w:rFonts w:hint="eastAsia"/>
                <w:lang w:val="en-US" w:eastAsia="zh-CN"/>
              </w:rPr>
              <w:t>O7.5.1</w:t>
            </w:r>
          </w:p>
          <w:p>
            <w:pPr>
              <w:shd w:val="clear"/>
              <w:rPr>
                <w:rFonts w:hint="eastAsia"/>
                <w:lang w:val="en-US" w:eastAsia="zh-CN"/>
              </w:rPr>
            </w:pPr>
            <w:r>
              <w:rPr>
                <w:rFonts w:hint="eastAsia"/>
                <w:lang w:val="en-US" w:eastAsia="zh-CN"/>
              </w:rPr>
              <w:t>H(V1.0)</w:t>
            </w:r>
          </w:p>
          <w:p>
            <w:pPr>
              <w:shd w:val="clear"/>
            </w:pPr>
            <w:r>
              <w:rPr>
                <w:rFonts w:hint="eastAsia"/>
              </w:rPr>
              <w:t>1.2.1  HACCP体系文件</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sym w:font="Wingdings 2" w:char="0052"/>
            </w:r>
            <w:r>
              <w:rPr>
                <w:rFonts w:hint="eastAsia"/>
              </w:rPr>
              <w:t>《体系文件清单》、</w:t>
            </w:r>
            <w:r>
              <w:rPr>
                <w:rFonts w:hint="eastAsia"/>
              </w:rPr>
              <w:sym w:font="Wingdings 2" w:char="0052"/>
            </w:r>
            <w:r>
              <w:rPr>
                <w:rFonts w:hint="eastAsia"/>
              </w:rPr>
              <w:t>《</w:t>
            </w:r>
            <w:r>
              <w:rPr>
                <w:rFonts w:hint="eastAsia"/>
                <w:lang w:val="en-US" w:eastAsia="zh-CN"/>
              </w:rPr>
              <w:t>管理</w:t>
            </w:r>
            <w:r>
              <w:rPr>
                <w:rFonts w:hint="eastAsia"/>
              </w:rPr>
              <w:t>手册》、</w:t>
            </w:r>
            <w:r>
              <w:rPr>
                <w:rFonts w:hint="eastAsia"/>
              </w:rPr>
              <w:sym w:font="Wingdings 2" w:char="0052"/>
            </w:r>
            <w:r>
              <w:rPr>
                <w:rFonts w:hint="eastAsia"/>
              </w:rPr>
              <w:t>《程序文件》</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pStyle w:val="16"/>
              <w:shd w:val="clear"/>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1902" w:type="dxa"/>
            <w:vMerge w:val="continue"/>
            <w:shd w:val="clear" w:color="auto" w:fill="auto"/>
          </w:tcPr>
          <w:p>
            <w:pPr>
              <w:shd w:val="clear"/>
            </w:pPr>
          </w:p>
        </w:tc>
        <w:tc>
          <w:tcPr>
            <w:tcW w:w="1129"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pPr>
            <w:r>
              <w:rPr>
                <w:rFonts w:hint="eastAsia"/>
              </w:rPr>
              <w:t>组织的</w:t>
            </w:r>
            <w:r>
              <w:rPr>
                <w:rFonts w:hint="eastAsia"/>
                <w:lang w:val="en-US" w:eastAsia="zh-CN"/>
              </w:rPr>
              <w:t>QMS/FSMS/</w:t>
            </w:r>
            <w:r>
              <w:rPr>
                <w:rFonts w:hint="eastAsia"/>
              </w:rPr>
              <w:t>HACCP</w:t>
            </w:r>
            <w:r>
              <w:rPr>
                <w:rFonts w:hint="eastAsia"/>
                <w:lang w:val="en-US" w:eastAsia="zh-CN"/>
              </w:rPr>
              <w:t>/EMS/OHSMS</w:t>
            </w:r>
            <w:r>
              <w:rPr>
                <w:rFonts w:hint="eastAsia"/>
              </w:rPr>
              <w:t>体系文件包括：</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形成文件的</w:t>
            </w:r>
            <w:r>
              <w:rPr>
                <w:rFonts w:hint="eastAsia"/>
                <w:lang w:val="en-US" w:eastAsia="zh-CN"/>
              </w:rPr>
              <w:t>质量、</w:t>
            </w:r>
            <w:r>
              <w:rPr>
                <w:rFonts w:hint="eastAsia"/>
              </w:rPr>
              <w:t>食品安全</w:t>
            </w:r>
            <w:r>
              <w:rPr>
                <w:rFonts w:hint="eastAsia"/>
                <w:lang w:eastAsia="zh-CN"/>
              </w:rPr>
              <w:t>、</w:t>
            </w:r>
            <w:r>
              <w:rPr>
                <w:rFonts w:hint="eastAsia"/>
                <w:lang w:val="en-US" w:eastAsia="zh-CN"/>
              </w:rPr>
              <w:t>职业健康、环境</w:t>
            </w:r>
            <w:r>
              <w:rPr>
                <w:rFonts w:hint="eastAsia"/>
              </w:rPr>
              <w:t>方针；</w:t>
            </w:r>
            <w:r>
              <w:rPr>
                <w:rFonts w:hint="eastAsia"/>
                <w:lang w:eastAsia="zh-CN"/>
              </w:rPr>
              <w:t>——</w:t>
            </w:r>
            <w:r>
              <w:rPr>
                <w:rFonts w:hint="eastAsia"/>
                <w:lang w:val="en-US" w:eastAsia="zh-CN"/>
              </w:rPr>
              <w:t>见5.2条款</w:t>
            </w:r>
          </w:p>
          <w:p>
            <w:pPr>
              <w:shd w:val="clear"/>
              <w:rPr>
                <w:rFonts w:hint="eastAsia" w:eastAsia="宋体"/>
                <w:lang w:eastAsia="zh-CN"/>
              </w:rPr>
            </w:pPr>
            <w:r>
              <w:rPr>
                <w:rFonts w:hint="eastAsia" w:ascii="宋体" w:hAnsi="宋体"/>
              </w:rPr>
              <w:sym w:font="Wingdings 2" w:char="0052"/>
            </w:r>
            <w:r>
              <w:rPr>
                <w:rFonts w:hint="eastAsia" w:ascii="宋体" w:hAnsi="宋体"/>
              </w:rPr>
              <w:t xml:space="preserve"> </w:t>
            </w:r>
            <w:r>
              <w:rPr>
                <w:rFonts w:hint="eastAsia"/>
                <w:lang w:val="en-US" w:eastAsia="zh-CN"/>
              </w:rPr>
              <w:t>管理</w:t>
            </w:r>
            <w:r>
              <w:rPr>
                <w:rFonts w:hint="eastAsia"/>
              </w:rPr>
              <w:t>手册；</w:t>
            </w:r>
            <w:r>
              <w:rPr>
                <w:rFonts w:hint="eastAsia"/>
                <w:u w:val="single"/>
              </w:rPr>
              <w:t>《</w:t>
            </w:r>
            <w:r>
              <w:rPr>
                <w:rFonts w:hint="eastAsia"/>
                <w:u w:val="single"/>
                <w:lang w:val="en-US" w:eastAsia="zh-CN"/>
              </w:rPr>
              <w:t>综合</w:t>
            </w:r>
            <w:r>
              <w:rPr>
                <w:rFonts w:hint="eastAsia"/>
                <w:u w:val="single"/>
              </w:rPr>
              <w:t>管理手册》</w:t>
            </w:r>
          </w:p>
          <w:p>
            <w:pPr>
              <w:shd w:val="clear"/>
            </w:pPr>
            <w:r>
              <w:rPr>
                <w:rFonts w:hint="eastAsia" w:ascii="宋体" w:hAnsi="宋体"/>
              </w:rPr>
              <w:sym w:font="Wingdings 2" w:char="0052"/>
            </w:r>
            <w:r>
              <w:rPr>
                <w:rFonts w:hint="eastAsia" w:ascii="宋体" w:hAnsi="宋体"/>
              </w:rPr>
              <w:t xml:space="preserve"> </w:t>
            </w:r>
            <w:r>
              <w:rPr>
                <w:rFonts w:hint="eastAsia"/>
              </w:rPr>
              <w:t>本文件所要求的形成文件的程序；</w:t>
            </w:r>
          </w:p>
          <w:p>
            <w:pPr>
              <w:shd w:val="clear"/>
            </w:pPr>
            <w:r>
              <w:rPr>
                <w:rFonts w:hint="eastAsia" w:ascii="宋体" w:hAnsi="宋体"/>
              </w:rPr>
              <w:sym w:font="Wingdings 2" w:char="0052"/>
            </w:r>
            <w:r>
              <w:rPr>
                <w:rFonts w:hint="eastAsia" w:ascii="宋体" w:hAnsi="宋体"/>
              </w:rPr>
              <w:t xml:space="preserve"> </w:t>
            </w:r>
            <w:r>
              <w:rPr>
                <w:rFonts w:hint="eastAsia"/>
              </w:rPr>
              <w:t>企业为确保</w:t>
            </w:r>
            <w:r>
              <w:rPr>
                <w:rFonts w:hint="eastAsia"/>
                <w:lang w:val="en-US" w:eastAsia="zh-CN"/>
              </w:rPr>
              <w:t>QMS/FSMS/</w:t>
            </w:r>
            <w:r>
              <w:rPr>
                <w:rFonts w:hint="eastAsia"/>
              </w:rPr>
              <w:t>HACCP</w:t>
            </w:r>
            <w:r>
              <w:rPr>
                <w:rFonts w:hint="eastAsia"/>
                <w:lang w:val="en-US" w:eastAsia="zh-CN"/>
              </w:rPr>
              <w:t>/OHSMS/EMS</w:t>
            </w:r>
            <w:r>
              <w:rPr>
                <w:rFonts w:hint="eastAsia"/>
              </w:rPr>
              <w:t>体系过程的有效策划、运行和控制所需的文件；（三层次文件）</w:t>
            </w:r>
          </w:p>
          <w:p>
            <w:pPr>
              <w:shd w:val="clear"/>
            </w:pPr>
            <w:r>
              <w:rPr>
                <w:rFonts w:hint="eastAsia" w:ascii="宋体" w:hAnsi="宋体"/>
              </w:rPr>
              <w:sym w:font="Wingdings 2" w:char="0052"/>
            </w:r>
            <w:r>
              <w:rPr>
                <w:rFonts w:hint="eastAsia" w:ascii="宋体" w:hAnsi="宋体"/>
              </w:rPr>
              <w:t xml:space="preserve"> </w:t>
            </w:r>
            <w:r>
              <w:rPr>
                <w:rFonts w:hint="eastAsia"/>
              </w:rPr>
              <w:t>本文件所要求的记录。</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02" w:type="dxa"/>
            <w:vMerge w:val="continue"/>
            <w:shd w:val="clear" w:color="auto" w:fill="auto"/>
          </w:tcPr>
          <w:p>
            <w:pPr>
              <w:shd w:val="clear"/>
            </w:pPr>
          </w:p>
        </w:tc>
        <w:tc>
          <w:tcPr>
            <w:tcW w:w="1129" w:type="dxa"/>
            <w:vMerge w:val="restart"/>
            <w:shd w:val="clear" w:color="auto" w:fill="auto"/>
          </w:tcPr>
          <w:p>
            <w:pPr>
              <w:shd w:val="clear"/>
              <w:rPr>
                <w:rFonts w:hint="eastAsia"/>
                <w:lang w:val="en-US" w:eastAsia="zh-CN"/>
              </w:rPr>
            </w:pPr>
            <w:r>
              <w:rPr>
                <w:rFonts w:hint="eastAsia"/>
                <w:lang w:val="en-US" w:eastAsia="zh-CN"/>
              </w:rPr>
              <w:t>Q7.5.1</w:t>
            </w:r>
          </w:p>
          <w:p>
            <w:pPr>
              <w:shd w:val="clear"/>
              <w:rPr>
                <w:rFonts w:hint="eastAsia"/>
                <w:lang w:val="en-US" w:eastAsia="zh-CN"/>
              </w:rPr>
            </w:pPr>
            <w:r>
              <w:rPr>
                <w:rFonts w:hint="eastAsia"/>
                <w:lang w:val="en-US" w:eastAsia="zh-CN"/>
              </w:rPr>
              <w:t>F7.5.1</w:t>
            </w:r>
          </w:p>
          <w:p>
            <w:pPr>
              <w:pStyle w:val="16"/>
              <w:rPr>
                <w:rFonts w:hint="eastAsia"/>
                <w:lang w:val="en-US" w:eastAsia="zh-CN"/>
              </w:rPr>
            </w:pPr>
            <w:r>
              <w:rPr>
                <w:rFonts w:hint="eastAsia"/>
                <w:lang w:val="en-US" w:eastAsia="zh-CN"/>
              </w:rPr>
              <w:t>E7.5.1</w:t>
            </w:r>
          </w:p>
          <w:p>
            <w:pPr>
              <w:pStyle w:val="16"/>
              <w:rPr>
                <w:rFonts w:hint="default"/>
                <w:lang w:val="en-US" w:eastAsia="zh-CN"/>
              </w:rPr>
            </w:pPr>
            <w:r>
              <w:rPr>
                <w:rFonts w:hint="eastAsia"/>
                <w:lang w:val="en-US" w:eastAsia="zh-CN"/>
              </w:rPr>
              <w:t>O7.5.1</w:t>
            </w:r>
          </w:p>
          <w:p>
            <w:pPr>
              <w:shd w:val="clear"/>
              <w:rPr>
                <w:rFonts w:hint="eastAsia"/>
                <w:lang w:val="en-US" w:eastAsia="zh-CN"/>
              </w:rPr>
            </w:pPr>
            <w:r>
              <w:rPr>
                <w:rFonts w:hint="eastAsia"/>
                <w:lang w:val="en-US" w:eastAsia="zh-CN"/>
              </w:rPr>
              <w:t>H(V1.0)</w:t>
            </w:r>
          </w:p>
          <w:p>
            <w:pPr>
              <w:shd w:val="clear"/>
            </w:pPr>
            <w:r>
              <w:rPr>
                <w:rFonts w:hint="eastAsia"/>
              </w:rPr>
              <w:t>1.2.2  HACCP手册</w:t>
            </w:r>
          </w:p>
        </w:tc>
        <w:tc>
          <w:tcPr>
            <w:tcW w:w="745" w:type="dxa"/>
            <w:shd w:val="clear" w:color="auto" w:fill="auto"/>
          </w:tcPr>
          <w:p>
            <w:pPr>
              <w:shd w:val="clear"/>
            </w:pPr>
            <w:r>
              <w:rPr>
                <w:rFonts w:hint="eastAsia"/>
              </w:rPr>
              <w:t>文件名称</w:t>
            </w:r>
          </w:p>
        </w:tc>
        <w:tc>
          <w:tcPr>
            <w:tcW w:w="9260" w:type="dxa"/>
            <w:gridSpan w:val="2"/>
            <w:shd w:val="clear" w:color="auto" w:fill="auto"/>
          </w:tcPr>
          <w:p>
            <w:pPr>
              <w:shd w:val="clear"/>
            </w:pPr>
            <w:r>
              <w:rPr>
                <w:rFonts w:hint="eastAsia"/>
              </w:rPr>
              <w:sym w:font="Wingdings 2" w:char="0052"/>
            </w:r>
            <w:r>
              <w:rPr>
                <w:rFonts w:hint="eastAsia"/>
              </w:rPr>
              <w:t>《</w:t>
            </w:r>
            <w:r>
              <w:rPr>
                <w:rFonts w:hint="eastAsia"/>
                <w:u w:val="none"/>
              </w:rPr>
              <w:t>管理手册》</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shd w:val="clea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02" w:type="dxa"/>
            <w:vMerge w:val="continue"/>
            <w:shd w:val="clear" w:color="auto" w:fill="auto"/>
          </w:tcPr>
          <w:p>
            <w:pPr>
              <w:shd w:val="clear"/>
            </w:pPr>
          </w:p>
        </w:tc>
        <w:tc>
          <w:tcPr>
            <w:tcW w:w="1129" w:type="dxa"/>
            <w:vMerge w:val="continue"/>
            <w:shd w:val="clear" w:color="auto" w:fill="auto"/>
          </w:tcPr>
          <w:p>
            <w:pPr>
              <w:shd w:val="clear"/>
            </w:pPr>
          </w:p>
        </w:tc>
        <w:tc>
          <w:tcPr>
            <w:tcW w:w="745" w:type="dxa"/>
            <w:shd w:val="clear" w:color="auto" w:fill="auto"/>
          </w:tcPr>
          <w:p>
            <w:pPr>
              <w:shd w:val="clear"/>
            </w:pPr>
            <w:r>
              <w:rPr>
                <w:rFonts w:hint="eastAsia"/>
              </w:rPr>
              <w:t>运行证据</w:t>
            </w:r>
          </w:p>
        </w:tc>
        <w:tc>
          <w:tcPr>
            <w:tcW w:w="9260" w:type="dxa"/>
            <w:gridSpan w:val="2"/>
            <w:shd w:val="clear" w:color="auto" w:fill="auto"/>
          </w:tcPr>
          <w:p>
            <w:pPr>
              <w:shd w:val="clear"/>
            </w:pPr>
            <w:r>
              <w:rPr>
                <w:rFonts w:hint="eastAsia"/>
              </w:rPr>
              <w:t>企业应编制和保持</w:t>
            </w:r>
            <w:r>
              <w:rPr>
                <w:rFonts w:hint="eastAsia"/>
                <w:u w:val="single"/>
                <w:lang w:eastAsia="zh-CN"/>
              </w:rPr>
              <w:t>《</w:t>
            </w:r>
            <w:r>
              <w:rPr>
                <w:rFonts w:hint="eastAsia"/>
                <w:u w:val="single"/>
                <w:lang w:val="en-US" w:eastAsia="zh-CN"/>
              </w:rPr>
              <w:t>综合</w:t>
            </w:r>
            <w:r>
              <w:rPr>
                <w:rFonts w:hint="eastAsia"/>
                <w:u w:val="single"/>
              </w:rPr>
              <w:t>管理手册</w:t>
            </w:r>
            <w:r>
              <w:rPr>
                <w:rFonts w:hint="eastAsia"/>
                <w:u w:val="single"/>
                <w:lang w:eastAsia="zh-CN"/>
              </w:rPr>
              <w:t>》</w:t>
            </w:r>
            <w:r>
              <w:rPr>
                <w:rFonts w:hint="eastAsia"/>
              </w:rPr>
              <w:t>，内容包括：</w:t>
            </w:r>
          </w:p>
          <w:p>
            <w:pPr>
              <w:shd w:val="clear"/>
            </w:pPr>
            <w:r>
              <w:rPr>
                <w:rFonts w:hint="eastAsia"/>
              </w:rPr>
              <w:sym w:font="Wingdings 2" w:char="0052"/>
            </w:r>
            <w:r>
              <w:rPr>
                <w:rFonts w:hint="eastAsia"/>
                <w:lang w:val="en-US" w:eastAsia="zh-CN"/>
              </w:rPr>
              <w:t>管理</w:t>
            </w:r>
            <w:r>
              <w:rPr>
                <w:rFonts w:hint="eastAsia"/>
              </w:rPr>
              <w:t>体系的范围，包括所覆盖产品或产品类别、操作步骤和场所；</w:t>
            </w:r>
          </w:p>
          <w:p>
            <w:pPr>
              <w:shd w:val="clear"/>
            </w:pPr>
            <w:r>
              <w:rPr>
                <w:rFonts w:hint="eastAsia"/>
              </w:rPr>
              <w:sym w:font="Wingdings 2" w:char="0052"/>
            </w:r>
            <w:r>
              <w:rPr>
                <w:rFonts w:hint="eastAsia"/>
                <w:lang w:val="en-US" w:eastAsia="zh-CN"/>
              </w:rPr>
              <w:t>管理</w:t>
            </w:r>
            <w:r>
              <w:rPr>
                <w:rFonts w:hint="eastAsia"/>
              </w:rPr>
              <w:t>体系程序文件或对其的引用；</w:t>
            </w:r>
          </w:p>
          <w:p>
            <w:pPr>
              <w:shd w:val="clear"/>
            </w:pPr>
            <w:r>
              <w:rPr>
                <w:rFonts w:hint="eastAsia"/>
              </w:rPr>
              <w:sym w:font="Wingdings 2" w:char="0052"/>
            </w:r>
            <w:r>
              <w:rPr>
                <w:rFonts w:hint="eastAsia"/>
                <w:lang w:val="en-US" w:eastAsia="zh-CN"/>
              </w:rPr>
              <w:t>管理</w:t>
            </w:r>
            <w:r>
              <w:rPr>
                <w:rFonts w:hint="eastAsia"/>
              </w:rPr>
              <w:t>体系过程及其相互作用的表述。</w:t>
            </w:r>
          </w:p>
          <w:p>
            <w:pPr>
              <w:pStyle w:val="26"/>
              <w:shd w:val="clear"/>
              <w:adjustRightInd w:val="0"/>
              <w:snapToGrid w:val="0"/>
              <w:spacing w:line="360" w:lineRule="auto"/>
              <w:rPr>
                <w:rFonts w:hint="eastAsia"/>
                <w:color w:val="auto"/>
                <w:highlight w:val="none"/>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w:t>
            </w:r>
            <w:r>
              <w:rPr>
                <w:rFonts w:hint="eastAsia"/>
                <w:u w:val="single"/>
                <w:lang w:val="en-US" w:eastAsia="zh-CN"/>
              </w:rPr>
              <w:t xml:space="preserve"> </w:t>
            </w:r>
            <w:r>
              <w:rPr>
                <w:rFonts w:hint="eastAsia"/>
                <w:color w:val="auto"/>
                <w:u w:val="single"/>
                <w:lang w:val="en-US" w:eastAsia="zh-CN"/>
              </w:rPr>
              <w:t xml:space="preserve">无 </w:t>
            </w:r>
            <w:r>
              <w:rPr>
                <w:rFonts w:hint="eastAsia"/>
                <w:color w:val="auto"/>
                <w:highlight w:val="none"/>
                <w:u w:val="single"/>
                <w:lang w:val="en-US" w:eastAsia="zh-CN"/>
              </w:rPr>
              <w:t>；</w:t>
            </w:r>
          </w:p>
          <w:p>
            <w:pPr>
              <w:pStyle w:val="16"/>
              <w:shd w:val="clear"/>
              <w:rPr>
                <w:rFonts w:hint="default" w:eastAsia="宋体"/>
                <w:lang w:val="en-US" w:eastAsia="zh-CN"/>
              </w:rPr>
            </w:pPr>
            <w:r>
              <w:rPr>
                <w:rFonts w:hint="eastAsia" w:ascii="宋体" w:hAnsi="宋体"/>
                <w:lang w:val="en-US" w:eastAsia="zh-CN"/>
              </w:rPr>
              <w:t>详见</w:t>
            </w:r>
            <w:r>
              <w:rPr>
                <w:rFonts w:hint="eastAsia"/>
                <w:u w:val="single"/>
              </w:rPr>
              <w:t>《管理手册》</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1902" w:type="dxa"/>
            <w:vMerge w:val="restart"/>
            <w:shd w:val="clear" w:color="auto" w:fill="auto"/>
          </w:tcPr>
          <w:p>
            <w:pPr>
              <w:shd w:val="clear"/>
              <w:rPr>
                <w:rFonts w:hint="default" w:eastAsia="宋体"/>
                <w:highlight w:val="none"/>
                <w:lang w:val="en-US" w:eastAsia="zh-CN"/>
              </w:rPr>
            </w:pPr>
            <w:r>
              <w:rPr>
                <w:rFonts w:hint="eastAsia"/>
                <w:highlight w:val="none"/>
              </w:rPr>
              <w:t>应急准备和响应</w:t>
            </w:r>
            <w:r>
              <w:rPr>
                <w:rFonts w:hint="eastAsia"/>
                <w:highlight w:val="none"/>
                <w:lang w:val="en-US" w:eastAsia="zh-CN"/>
              </w:rPr>
              <w:t>/应急预案</w:t>
            </w:r>
          </w:p>
        </w:tc>
        <w:tc>
          <w:tcPr>
            <w:tcW w:w="1129" w:type="dxa"/>
            <w:vMerge w:val="restart"/>
            <w:shd w:val="clear" w:color="auto" w:fill="auto"/>
          </w:tcPr>
          <w:p>
            <w:pPr>
              <w:shd w:val="clear"/>
              <w:rPr>
                <w:rFonts w:hint="default"/>
                <w:lang w:val="en-US" w:eastAsia="zh-CN"/>
              </w:rPr>
            </w:pPr>
            <w:r>
              <w:rPr>
                <w:rFonts w:hint="eastAsia"/>
                <w:lang w:val="en-US" w:eastAsia="zh-CN"/>
              </w:rPr>
              <w:t>F8.4</w:t>
            </w:r>
          </w:p>
          <w:p>
            <w:pPr>
              <w:shd w:val="clear"/>
              <w:rPr>
                <w:rFonts w:hint="eastAsia"/>
                <w:lang w:val="en-US" w:eastAsia="zh-CN"/>
              </w:rPr>
            </w:pPr>
            <w:r>
              <w:rPr>
                <w:rFonts w:hint="eastAsia"/>
                <w:lang w:val="en-US" w:eastAsia="zh-CN"/>
              </w:rPr>
              <w:t>H(V1.0)</w:t>
            </w:r>
          </w:p>
          <w:p>
            <w:pPr>
              <w:shd w:val="clear"/>
              <w:rPr>
                <w:rFonts w:hint="eastAsia"/>
              </w:rPr>
            </w:pPr>
            <w:r>
              <w:rPr>
                <w:rFonts w:hint="eastAsia"/>
              </w:rPr>
              <w:t xml:space="preserve">3.13 </w:t>
            </w:r>
          </w:p>
          <w:p>
            <w:pPr>
              <w:pStyle w:val="16"/>
              <w:rPr>
                <w:rFonts w:hint="eastAsia"/>
                <w:highlight w:val="none"/>
                <w:lang w:val="en-US" w:eastAsia="zh-CN"/>
              </w:rPr>
            </w:pPr>
            <w:r>
              <w:rPr>
                <w:rFonts w:hint="eastAsia"/>
                <w:highlight w:val="none"/>
                <w:lang w:val="en-US" w:eastAsia="zh-CN"/>
              </w:rPr>
              <w:t>E 8.2</w:t>
            </w:r>
          </w:p>
          <w:p>
            <w:pPr>
              <w:pStyle w:val="16"/>
              <w:rPr>
                <w:rFonts w:hint="default"/>
                <w:highlight w:val="none"/>
                <w:lang w:val="en-US" w:eastAsia="zh-CN"/>
              </w:rPr>
            </w:pPr>
            <w:r>
              <w:rPr>
                <w:rFonts w:hint="eastAsia"/>
                <w:highlight w:val="none"/>
                <w:lang w:val="en-US" w:eastAsia="zh-CN"/>
              </w:rPr>
              <w:t>O8.2</w:t>
            </w:r>
          </w:p>
        </w:tc>
        <w:tc>
          <w:tcPr>
            <w:tcW w:w="745" w:type="dxa"/>
            <w:shd w:val="clear" w:color="auto" w:fill="auto"/>
          </w:tcPr>
          <w:p>
            <w:pPr>
              <w:shd w:val="clear"/>
              <w:rPr>
                <w:highlight w:val="none"/>
              </w:rPr>
            </w:pPr>
            <w:r>
              <w:rPr>
                <w:rFonts w:hint="eastAsia"/>
                <w:highlight w:val="none"/>
              </w:rPr>
              <w:t>文件名称</w:t>
            </w:r>
          </w:p>
        </w:tc>
        <w:tc>
          <w:tcPr>
            <w:tcW w:w="9260" w:type="dxa"/>
            <w:gridSpan w:val="2"/>
            <w:shd w:val="clear" w:color="auto" w:fill="auto"/>
          </w:tcPr>
          <w:p>
            <w:pPr>
              <w:shd w:val="clear"/>
              <w:rPr>
                <w:rFonts w:hint="default" w:eastAsia="宋体"/>
                <w:highlight w:val="none"/>
                <w:lang w:val="en-US" w:eastAsia="zh-CN"/>
              </w:rPr>
            </w:pPr>
            <w:r>
              <w:rPr>
                <w:rFonts w:hint="eastAsia"/>
                <w:highlight w:val="none"/>
              </w:rPr>
              <w:t>如：</w:t>
            </w:r>
            <w:r>
              <w:rPr>
                <w:rFonts w:hint="eastAsia"/>
                <w:highlight w:val="none"/>
              </w:rPr>
              <w:sym w:font="Wingdings" w:char="00FE"/>
            </w:r>
            <w:r>
              <w:rPr>
                <w:rFonts w:hint="eastAsia"/>
                <w:highlight w:val="none"/>
              </w:rPr>
              <w:t>《突发事件准备和响应控制程序》、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rPr>
              <w:sym w:font="Wingdings" w:char="00A8"/>
            </w:r>
            <w:r>
              <w:rPr>
                <w:rFonts w:hint="eastAsia"/>
                <w:highlight w:val="none"/>
                <w:lang w:val="en-US" w:eastAsia="zh-CN"/>
              </w:rPr>
              <w:t>管理手册8.8条款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rPr>
                <w:highlight w:val="yellow"/>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3" w:hRule="atLeast"/>
        </w:trPr>
        <w:tc>
          <w:tcPr>
            <w:tcW w:w="1902" w:type="dxa"/>
            <w:vMerge w:val="continue"/>
            <w:shd w:val="clear" w:color="auto" w:fill="auto"/>
          </w:tcPr>
          <w:p>
            <w:pPr>
              <w:shd w:val="clear"/>
              <w:rPr>
                <w:highlight w:val="none"/>
              </w:rPr>
            </w:pPr>
          </w:p>
        </w:tc>
        <w:tc>
          <w:tcPr>
            <w:tcW w:w="1129" w:type="dxa"/>
            <w:vMerge w:val="continue"/>
            <w:shd w:val="clear" w:color="auto" w:fill="auto"/>
          </w:tcPr>
          <w:p>
            <w:pPr>
              <w:shd w:val="clear"/>
              <w:rPr>
                <w:highlight w:val="none"/>
              </w:rPr>
            </w:pPr>
          </w:p>
        </w:tc>
        <w:tc>
          <w:tcPr>
            <w:tcW w:w="745" w:type="dxa"/>
            <w:shd w:val="clear" w:color="auto" w:fill="auto"/>
          </w:tcPr>
          <w:p>
            <w:pPr>
              <w:shd w:val="clear"/>
              <w:rPr>
                <w:highlight w:val="none"/>
              </w:rPr>
            </w:pPr>
            <w:r>
              <w:rPr>
                <w:rFonts w:hint="eastAsia"/>
                <w:highlight w:val="none"/>
              </w:rPr>
              <w:t>运行证据</w:t>
            </w:r>
          </w:p>
        </w:tc>
        <w:tc>
          <w:tcPr>
            <w:tcW w:w="9260" w:type="dxa"/>
            <w:gridSpan w:val="2"/>
            <w:shd w:val="clear" w:color="auto" w:fill="auto"/>
          </w:tcPr>
          <w:p>
            <w:pPr>
              <w:shd w:val="clear"/>
              <w:rPr>
                <w:highlight w:val="none"/>
              </w:rPr>
            </w:pPr>
            <w:r>
              <w:rPr>
                <w:rFonts w:hint="eastAsia"/>
                <w:highlight w:val="none"/>
                <w:lang w:val="en-US" w:eastAsia="zh-CN"/>
              </w:rPr>
              <w:t>经询问了解：审核周期内未发生</w:t>
            </w:r>
            <w:r>
              <w:rPr>
                <w:rFonts w:hint="eastAsia"/>
                <w:highlight w:val="none"/>
              </w:rPr>
              <w:t>影响食品安全事故和/或紧急情况</w:t>
            </w:r>
            <w:r>
              <w:rPr>
                <w:rFonts w:hint="eastAsia"/>
                <w:highlight w:val="none"/>
                <w:lang w:eastAsia="zh-CN"/>
              </w:rPr>
              <w:t>，</w:t>
            </w:r>
            <w:r>
              <w:rPr>
                <w:rFonts w:hint="eastAsia"/>
                <w:highlight w:val="none"/>
                <w:lang w:val="en-US" w:eastAsia="zh-CN"/>
              </w:rPr>
              <w:t>也未发生环境和安全方面的紧急情况</w:t>
            </w:r>
            <w:r>
              <w:rPr>
                <w:rFonts w:hint="eastAsia"/>
                <w:highlight w:val="none"/>
                <w:lang w:eastAsia="zh-CN"/>
              </w:rPr>
              <w:t>，</w:t>
            </w:r>
            <w:r>
              <w:rPr>
                <w:rFonts w:hint="eastAsia"/>
                <w:highlight w:val="none"/>
                <w:lang w:val="en-US" w:eastAsia="zh-CN"/>
              </w:rPr>
              <w:t>公司已建立</w:t>
            </w:r>
            <w:r>
              <w:rPr>
                <w:rFonts w:hint="eastAsia"/>
                <w:highlight w:val="none"/>
              </w:rPr>
              <w:sym w:font="Wingdings" w:char="00FE"/>
            </w:r>
            <w:r>
              <w:rPr>
                <w:rFonts w:hint="eastAsia"/>
                <w:highlight w:val="none"/>
              </w:rPr>
              <w:t>《突发事件准备和响应控制程序》、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lang w:val="en-US" w:eastAsia="zh-CN"/>
              </w:rPr>
              <w:t>并且由体系负责人牵头组织进行演练，经过评审基本可以达到演练效果，</w:t>
            </w:r>
            <w:r>
              <w:rPr>
                <w:rFonts w:hint="eastAsia"/>
                <w:highlight w:val="none"/>
                <w:u w:val="single"/>
                <w:lang w:val="en-US" w:eastAsia="zh-CN"/>
              </w:rPr>
              <w:t>具体“见生产管理部及安全环保部等审核记录”</w:t>
            </w:r>
          </w:p>
        </w:tc>
        <w:tc>
          <w:tcPr>
            <w:tcW w:w="1585" w:type="dxa"/>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02" w:type="dxa"/>
            <w:vMerge w:val="restart"/>
            <w:shd w:val="clear" w:color="auto" w:fill="auto"/>
          </w:tcPr>
          <w:p>
            <w:r>
              <w:rPr>
                <w:rFonts w:hint="eastAsia"/>
              </w:rPr>
              <w:t>监视、测量、分析和评价</w:t>
            </w:r>
          </w:p>
        </w:tc>
        <w:tc>
          <w:tcPr>
            <w:tcW w:w="1129" w:type="dxa"/>
            <w:vMerge w:val="restart"/>
            <w:shd w:val="clear" w:color="auto" w:fill="auto"/>
          </w:tcPr>
          <w:p>
            <w:r>
              <w:rPr>
                <w:rFonts w:hint="eastAsia"/>
              </w:rPr>
              <w:t>Q9.1.1 F9.1.1</w:t>
            </w:r>
          </w:p>
        </w:tc>
        <w:tc>
          <w:tcPr>
            <w:tcW w:w="745" w:type="dxa"/>
            <w:shd w:val="clear" w:color="auto" w:fill="auto"/>
          </w:tcPr>
          <w:p>
            <w:r>
              <w:rPr>
                <w:rFonts w:hint="eastAsia"/>
              </w:rPr>
              <w:t>文件名称</w:t>
            </w:r>
          </w:p>
        </w:tc>
        <w:tc>
          <w:tcPr>
            <w:tcW w:w="9260" w:type="dxa"/>
            <w:gridSpan w:val="2"/>
            <w:shd w:val="clear" w:color="auto" w:fill="auto"/>
          </w:tcPr>
          <w:p>
            <w:pPr>
              <w:rPr>
                <w:b/>
                <w:bCs/>
              </w:rPr>
            </w:pPr>
            <w:r>
              <w:rPr>
                <w:rFonts w:hint="eastAsia"/>
              </w:rPr>
              <w:t>如：</w:t>
            </w:r>
            <w:r>
              <w:rPr>
                <w:rFonts w:hint="eastAsia"/>
              </w:rPr>
              <w:sym w:font="Wingdings" w:char="00FE"/>
            </w:r>
            <w:r>
              <w:rPr>
                <w:rFonts w:hint="eastAsia"/>
              </w:rPr>
              <w:t>管理手册9.1.1条款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组织对监视和测量的质量食品安全绩效：</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372"/>
              <w:gridCol w:w="2304"/>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372" w:type="dxa"/>
                </w:tcPr>
                <w:p>
                  <w:pPr>
                    <w:rPr>
                      <w:szCs w:val="21"/>
                    </w:rPr>
                  </w:pPr>
                  <w:r>
                    <w:rPr>
                      <w:rFonts w:hint="eastAsia"/>
                      <w:szCs w:val="21"/>
                    </w:rPr>
                    <w:t>监视和测量的频次和时机</w:t>
                  </w:r>
                </w:p>
              </w:tc>
              <w:tc>
                <w:tcPr>
                  <w:tcW w:w="2304" w:type="dxa"/>
                </w:tcPr>
                <w:p>
                  <w:pPr>
                    <w:rPr>
                      <w:szCs w:val="21"/>
                    </w:rPr>
                  </w:pPr>
                  <w:r>
                    <w:rPr>
                      <w:rFonts w:hint="eastAsia"/>
                      <w:szCs w:val="21"/>
                    </w:rPr>
                    <w:t>评价其质量/食品安全绩效所依据的准则和适当的参数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lang w:val="en-US" w:eastAsia="zh-CN"/>
                    </w:rPr>
                    <w:t>产品</w:t>
                  </w:r>
                  <w:r>
                    <w:rPr>
                      <w:rFonts w:hint="eastAsia"/>
                      <w:szCs w:val="21"/>
                    </w:rPr>
                    <w:t>检测</w:t>
                  </w:r>
                </w:p>
              </w:tc>
              <w:tc>
                <w:tcPr>
                  <w:tcW w:w="2456" w:type="dxa"/>
                </w:tcPr>
                <w:p>
                  <w:pPr>
                    <w:numPr>
                      <w:ilvl w:val="0"/>
                      <w:numId w:val="8"/>
                    </w:numPr>
                    <w:rPr>
                      <w:rFonts w:hint="eastAsia"/>
                      <w:szCs w:val="21"/>
                      <w:lang w:val="en-US" w:eastAsia="zh-CN"/>
                    </w:rPr>
                  </w:pPr>
                  <w:r>
                    <w:rPr>
                      <w:rFonts w:hint="eastAsia"/>
                      <w:szCs w:val="21"/>
                      <w:lang w:val="en-US" w:eastAsia="zh-CN"/>
                    </w:rPr>
                    <w:t>水质：供方每半年提供</w:t>
                  </w:r>
                  <w:r>
                    <w:rPr>
                      <w:rFonts w:hint="eastAsia"/>
                      <w:szCs w:val="21"/>
                    </w:rPr>
                    <w:t>第三方</w:t>
                  </w:r>
                  <w:r>
                    <w:rPr>
                      <w:rFonts w:hint="eastAsia"/>
                      <w:szCs w:val="21"/>
                      <w:lang w:val="en-US" w:eastAsia="zh-CN"/>
                    </w:rPr>
                    <w:t>水质报告</w:t>
                  </w:r>
                </w:p>
                <w:p>
                  <w:pPr>
                    <w:numPr>
                      <w:ilvl w:val="0"/>
                      <w:numId w:val="8"/>
                    </w:numPr>
                    <w:rPr>
                      <w:rFonts w:hint="default" w:eastAsia="宋体"/>
                      <w:szCs w:val="21"/>
                      <w:lang w:val="en-US" w:eastAsia="zh-CN"/>
                    </w:rPr>
                  </w:pPr>
                  <w:r>
                    <w:rPr>
                      <w:rFonts w:hint="eastAsia"/>
                      <w:szCs w:val="21"/>
                      <w:lang w:val="en-US" w:eastAsia="zh-CN"/>
                    </w:rPr>
                    <w:t>餐食每年委托外部第三方进行检测</w:t>
                  </w:r>
                </w:p>
                <w:p>
                  <w:pPr>
                    <w:numPr>
                      <w:ilvl w:val="0"/>
                      <w:numId w:val="8"/>
                    </w:numPr>
                    <w:rPr>
                      <w:rFonts w:hint="default" w:eastAsia="宋体"/>
                      <w:szCs w:val="21"/>
                      <w:lang w:val="en-US" w:eastAsia="zh-CN"/>
                    </w:rPr>
                  </w:pPr>
                  <w:r>
                    <w:rPr>
                      <w:rFonts w:hint="eastAsia"/>
                      <w:szCs w:val="21"/>
                      <w:lang w:val="en-US" w:eastAsia="zh-CN"/>
                    </w:rPr>
                    <w:t>餐具索取产品的外检报告</w:t>
                  </w:r>
                </w:p>
              </w:tc>
              <w:tc>
                <w:tcPr>
                  <w:tcW w:w="1372" w:type="dxa"/>
                </w:tcPr>
                <w:p>
                  <w:pPr>
                    <w:widowControl/>
                    <w:spacing w:before="40"/>
                    <w:jc w:val="left"/>
                    <w:rPr>
                      <w:rFonts w:hint="default" w:eastAsia="宋体"/>
                      <w:color w:val="000000"/>
                      <w:szCs w:val="21"/>
                      <w:lang w:val="en-US" w:eastAsia="zh-CN"/>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 xml:space="preserve">每季度 </w:t>
                  </w:r>
                  <w:r>
                    <w:rPr>
                      <w:rFonts w:hint="eastAsia"/>
                      <w:color w:val="000000"/>
                      <w:sz w:val="15"/>
                      <w:szCs w:val="15"/>
                    </w:rPr>
                    <w:t>☑</w:t>
                  </w:r>
                  <w:r>
                    <w:rPr>
                      <w:rFonts w:hint="eastAsia"/>
                      <w:color w:val="000000"/>
                      <w:szCs w:val="21"/>
                    </w:rPr>
                    <w:t xml:space="preserve">每年 </w:t>
                  </w:r>
                  <w:r>
                    <w:rPr>
                      <w:rFonts w:hint="eastAsia"/>
                      <w:color w:val="000000"/>
                      <w:szCs w:val="21"/>
                    </w:rPr>
                    <w:sym w:font="Wingdings 2" w:char="00A3"/>
                  </w:r>
                  <w:r>
                    <w:rPr>
                      <w:rFonts w:hint="eastAsia"/>
                      <w:szCs w:val="21"/>
                    </w:rPr>
                    <w:t>其他</w:t>
                  </w:r>
                  <w:r>
                    <w:rPr>
                      <w:rFonts w:hint="eastAsia"/>
                      <w:szCs w:val="21"/>
                      <w:lang w:eastAsia="zh-CN"/>
                    </w:rPr>
                    <w:t>——</w:t>
                  </w:r>
                  <w:r>
                    <w:rPr>
                      <w:rFonts w:hint="eastAsia"/>
                      <w:szCs w:val="21"/>
                      <w:lang w:val="en-US" w:eastAsia="zh-CN"/>
                    </w:rPr>
                    <w:t>每半年</w:t>
                  </w:r>
                </w:p>
              </w:tc>
              <w:tc>
                <w:tcPr>
                  <w:tcW w:w="2304" w:type="dxa"/>
                </w:tcPr>
                <w:p>
                  <w:pPr>
                    <w:rPr>
                      <w:rFonts w:hint="default" w:eastAsia="宋体"/>
                      <w:szCs w:val="21"/>
                      <w:lang w:val="en-US" w:eastAsia="zh-CN"/>
                    </w:rPr>
                  </w:pPr>
                  <w:r>
                    <w:rPr>
                      <w:rFonts w:hint="eastAsia"/>
                      <w:szCs w:val="21"/>
                      <w:lang w:val="en-US" w:eastAsia="zh-CN"/>
                    </w:rPr>
                    <w:t>GB 5749-2006</w:t>
                  </w:r>
                </w:p>
                <w:p>
                  <w:pPr>
                    <w:rPr>
                      <w:rFonts w:hint="default" w:eastAsia="宋体"/>
                      <w:szCs w:val="21"/>
                      <w:lang w:val="en-US" w:eastAsia="zh-CN"/>
                    </w:rPr>
                  </w:pPr>
                  <w:r>
                    <w:rPr>
                      <w:rFonts w:hint="eastAsia"/>
                      <w:szCs w:val="21"/>
                    </w:rPr>
                    <w:t>相关国家标准</w:t>
                  </w:r>
                  <w:r>
                    <w:rPr>
                      <w:rFonts w:hint="eastAsia"/>
                      <w:szCs w:val="21"/>
                      <w:lang w:eastAsia="zh-CN"/>
                    </w:rPr>
                    <w:t>、</w:t>
                  </w:r>
                  <w:r>
                    <w:rPr>
                      <w:rFonts w:hint="eastAsia"/>
                      <w:szCs w:val="21"/>
                      <w:lang w:val="en-US" w:eastAsia="zh-CN"/>
                    </w:rPr>
                    <w:t>行业的抽查情况</w:t>
                  </w:r>
                </w:p>
              </w:tc>
              <w:tc>
                <w:tcPr>
                  <w:tcW w:w="1738" w:type="dxa"/>
                </w:tcPr>
                <w:p>
                  <w:pPr>
                    <w:widowControl/>
                    <w:spacing w:before="40"/>
                    <w:jc w:val="left"/>
                    <w:rPr>
                      <w:rFonts w:hint="eastAsia"/>
                    </w:rPr>
                  </w:pPr>
                  <w:r>
                    <w:rPr>
                      <w:rFonts w:hint="eastAsia"/>
                    </w:rPr>
                    <w:t xml:space="preserve">□每月 □每季度 </w:t>
                  </w:r>
                  <w:r>
                    <w:t>☑</w:t>
                  </w:r>
                  <w:r>
                    <w:rPr>
                      <w:rFonts w:hint="eastAsia"/>
                    </w:rPr>
                    <w:t>每年</w:t>
                  </w:r>
                </w:p>
                <w:p>
                  <w:pPr>
                    <w:pStyle w:val="16"/>
                  </w:pPr>
                  <w:r>
                    <w:rPr>
                      <w:rFonts w:ascii="Segoe UI Emoji" w:hAnsi="Segoe UI Emoji" w:cs="Segoe UI Emoji"/>
                      <w:color w:val="000000"/>
                      <w:sz w:val="15"/>
                      <w:szCs w:val="15"/>
                    </w:rPr>
                    <w:t>☑</w:t>
                  </w:r>
                  <w:r>
                    <w:rPr>
                      <w:rFonts w:hint="eastAsia"/>
                      <w:color w:val="000000"/>
                      <w:szCs w:val="21"/>
                    </w:rPr>
                    <w:t>每</w:t>
                  </w:r>
                  <w:r>
                    <w:rPr>
                      <w:rFonts w:hint="eastAsia"/>
                      <w:color w:val="000000"/>
                      <w:szCs w:val="21"/>
                      <w:lang w:val="en-US" w:eastAsia="zh-CN"/>
                    </w:rPr>
                    <w:t>半</w:t>
                  </w:r>
                  <w:r>
                    <w:rPr>
                      <w:rFonts w:hint="eastAsia"/>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456"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372"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2304" w:type="dxa"/>
                </w:tcPr>
                <w:p>
                  <w:pPr>
                    <w:rPr>
                      <w:rFonts w:hint="default" w:eastAsia="宋体"/>
                      <w:szCs w:val="21"/>
                      <w:lang w:val="en-US" w:eastAsia="zh-CN"/>
                    </w:rPr>
                  </w:pPr>
                  <w:r>
                    <w:rPr>
                      <w:rFonts w:hint="eastAsia"/>
                      <w:szCs w:val="21"/>
                      <w:lang w:val="en-US" w:eastAsia="zh-CN"/>
                    </w:rPr>
                    <w:t>PRP/GHP、危害控制计划、操作规程、SSOP等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r>
                    <w:rPr>
                      <w:rFonts w:ascii="Segoe UI Emoji" w:hAnsi="Segoe UI Emoji" w:cs="Segoe UI Emoji"/>
                      <w:color w:val="000000"/>
                      <w:sz w:val="15"/>
                      <w:szCs w:val="15"/>
                    </w:rPr>
                    <w:t>☑</w:t>
                  </w:r>
                  <w:r>
                    <w:rPr>
                      <w:rFonts w:hint="eastAsia"/>
                      <w:color w:val="000000"/>
                      <w:szCs w:val="21"/>
                    </w:rPr>
                    <w:t>每</w:t>
                  </w:r>
                  <w:r>
                    <w:rPr>
                      <w:rFonts w:hint="eastAsia"/>
                      <w:color w:val="000000"/>
                      <w:szCs w:val="21"/>
                      <w:lang w:val="en-US" w:eastAsia="zh-CN"/>
                    </w:rPr>
                    <w:t>半</w:t>
                  </w:r>
                  <w:r>
                    <w:rPr>
                      <w:rFonts w:hint="eastAsia"/>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372"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304" w:type="dxa"/>
                </w:tcPr>
                <w:p>
                  <w:r>
                    <w:rPr>
                      <w:rFonts w:hint="eastAsia"/>
                    </w:rPr>
                    <w:t>GB/T19001-2016</w:t>
                  </w:r>
                </w:p>
                <w:p>
                  <w:pPr>
                    <w:rPr>
                      <w:rFonts w:hint="eastAsia"/>
                    </w:rPr>
                  </w:pPr>
                  <w:r>
                    <w:rPr>
                      <w:rFonts w:hint="eastAsia"/>
                    </w:rPr>
                    <w:t>ISO22000：2018</w:t>
                  </w:r>
                </w:p>
                <w:p>
                  <w:pPr>
                    <w:pStyle w:val="16"/>
                    <w:rPr>
                      <w:rFonts w:hint="default" w:eastAsia="宋体"/>
                      <w:lang w:val="en-US" w:eastAsia="zh-CN"/>
                    </w:rPr>
                  </w:pPr>
                  <w:r>
                    <w:rPr>
                      <w:rFonts w:hint="eastAsia"/>
                      <w:szCs w:val="21"/>
                      <w:lang w:val="en-US" w:eastAsia="zh-CN"/>
                    </w:rPr>
                    <w:t>HACCP体系（V1.0）</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管理评审，对QMS/FSMS</w:t>
                  </w:r>
                  <w:r>
                    <w:rPr>
                      <w:rFonts w:hint="eastAsia"/>
                      <w:szCs w:val="21"/>
                      <w:lang w:val="en-US" w:eastAsia="zh-CN"/>
                    </w:rPr>
                    <w:t>/HACCP</w:t>
                  </w:r>
                  <w:r>
                    <w:rPr>
                      <w:rFonts w:hint="eastAsia"/>
                      <w:szCs w:val="21"/>
                    </w:rPr>
                    <w:t>存在的需要问题进行分析</w:t>
                  </w:r>
                </w:p>
              </w:tc>
              <w:tc>
                <w:tcPr>
                  <w:tcW w:w="1372"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304" w:type="dxa"/>
                </w:tcPr>
                <w:p>
                  <w:r>
                    <w:rPr>
                      <w:rFonts w:hint="eastAsia"/>
                    </w:rPr>
                    <w:t>GB/T19001-2016</w:t>
                  </w:r>
                </w:p>
                <w:p>
                  <w:pPr>
                    <w:rPr>
                      <w:rFonts w:hint="eastAsia"/>
                      <w:lang w:eastAsia="zh-CN"/>
                    </w:rPr>
                  </w:pPr>
                  <w:r>
                    <w:rPr>
                      <w:rFonts w:hint="eastAsia"/>
                    </w:rPr>
                    <w:t>ISO22000：2018</w:t>
                  </w:r>
                  <w:r>
                    <w:rPr>
                      <w:rFonts w:hint="eastAsia"/>
                      <w:lang w:eastAsia="zh-CN"/>
                    </w:rPr>
                    <w:t>《</w:t>
                  </w:r>
                  <w:r>
                    <w:rPr>
                      <w:rFonts w:hint="eastAsia"/>
                      <w:lang w:val="en-US" w:eastAsia="zh-CN"/>
                    </w:rPr>
                    <w:t>管理评审控制程序</w:t>
                  </w:r>
                  <w:r>
                    <w:rPr>
                      <w:rFonts w:hint="eastAsia"/>
                      <w:lang w:eastAsia="zh-CN"/>
                    </w:rPr>
                    <w:t>》</w:t>
                  </w:r>
                </w:p>
                <w:p>
                  <w:pPr>
                    <w:pStyle w:val="16"/>
                  </w:pPr>
                  <w:r>
                    <w:rPr>
                      <w:rFonts w:hint="eastAsia"/>
                      <w:szCs w:val="21"/>
                      <w:lang w:val="en-US" w:eastAsia="zh-CN"/>
                    </w:rPr>
                    <w:t>HACCP体系（V1.0）</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372"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2304" w:type="dxa"/>
                </w:tcPr>
                <w:p>
                  <w:pPr>
                    <w:rPr>
                      <w:rFonts w:hint="default" w:eastAsia="宋体"/>
                      <w:szCs w:val="21"/>
                      <w:lang w:val="en-US" w:eastAsia="zh-CN"/>
                    </w:rPr>
                  </w:pPr>
                  <w:r>
                    <w:rPr>
                      <w:rFonts w:hint="eastAsia"/>
                      <w:szCs w:val="21"/>
                    </w:rPr>
                    <w:t>按企业程序文件</w:t>
                  </w:r>
                  <w:r>
                    <w:rPr>
                      <w:rFonts w:hint="eastAsia"/>
                      <w:szCs w:val="21"/>
                      <w:lang w:eastAsia="zh-CN"/>
                    </w:rPr>
                    <w:t>、</w:t>
                  </w:r>
                  <w:r>
                    <w:rPr>
                      <w:rFonts w:hint="eastAsia"/>
                      <w:szCs w:val="21"/>
                      <w:lang w:val="en-US" w:eastAsia="zh-CN"/>
                    </w:rPr>
                    <w:t>顾客满意度调查</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02" w:type="dxa"/>
            <w:vMerge w:val="restart"/>
            <w:shd w:val="clear" w:color="auto" w:fill="auto"/>
          </w:tcPr>
          <w:p>
            <w:pPr>
              <w:rPr>
                <w:rFonts w:hint="eastAsia"/>
                <w:highlight w:val="none"/>
                <w:lang w:val="en-US" w:eastAsia="zh-CN"/>
              </w:rPr>
            </w:pPr>
            <w:r>
              <w:rPr>
                <w:rFonts w:hint="eastAsia"/>
                <w:highlight w:val="none"/>
                <w:lang w:val="en-US" w:eastAsia="zh-CN"/>
              </w:rPr>
              <w:t>监视、测量、分析和评价</w:t>
            </w:r>
          </w:p>
          <w:p>
            <w:pPr>
              <w:rPr>
                <w:rFonts w:hint="default" w:eastAsia="宋体"/>
                <w:highlight w:val="none"/>
                <w:lang w:val="en-US" w:eastAsia="zh-CN"/>
              </w:rPr>
            </w:pPr>
          </w:p>
        </w:tc>
        <w:tc>
          <w:tcPr>
            <w:tcW w:w="1129" w:type="dxa"/>
            <w:vMerge w:val="restart"/>
            <w:shd w:val="clear" w:color="auto" w:fill="auto"/>
          </w:tcPr>
          <w:p>
            <w:pPr>
              <w:rPr>
                <w:rFonts w:hint="default" w:eastAsia="宋体"/>
                <w:highlight w:val="none"/>
                <w:lang w:val="en-US" w:eastAsia="zh-CN"/>
              </w:rPr>
            </w:pPr>
            <w:r>
              <w:rPr>
                <w:rFonts w:hint="eastAsia"/>
                <w:highlight w:val="none"/>
                <w:lang w:val="en-US" w:eastAsia="zh-CN"/>
              </w:rPr>
              <w:t>E9.1.1</w:t>
            </w:r>
          </w:p>
        </w:tc>
        <w:tc>
          <w:tcPr>
            <w:tcW w:w="745" w:type="dxa"/>
            <w:shd w:val="clear" w:color="auto" w:fill="auto"/>
          </w:tcPr>
          <w:p>
            <w:pPr>
              <w:rPr>
                <w:rFonts w:hint="default" w:eastAsia="宋体"/>
                <w:highlight w:val="none"/>
                <w:lang w:val="en-US" w:eastAsia="zh-CN"/>
              </w:rPr>
            </w:pPr>
            <w:r>
              <w:rPr>
                <w:rFonts w:hint="eastAsia"/>
                <w:highlight w:val="none"/>
                <w:lang w:val="en-US" w:eastAsia="zh-CN"/>
              </w:rPr>
              <w:t>文件名称</w:t>
            </w:r>
          </w:p>
        </w:tc>
        <w:tc>
          <w:tcPr>
            <w:tcW w:w="9260" w:type="dxa"/>
            <w:gridSpan w:val="2"/>
            <w:shd w:val="clear" w:color="auto" w:fill="auto"/>
          </w:tcPr>
          <w:p>
            <w:pPr>
              <w:rPr>
                <w:rFonts w:hint="default"/>
                <w:highlight w:val="none"/>
                <w:lang w:val="en-US" w:eastAsia="zh-CN"/>
              </w:rPr>
            </w:pPr>
            <w:r>
              <w:rPr>
                <w:rFonts w:hint="eastAsia"/>
                <w:highlight w:val="none"/>
                <w:lang w:val="en-US" w:eastAsia="zh-CN"/>
              </w:rPr>
              <w:t>如：</w:t>
            </w:r>
            <w:r>
              <w:rPr>
                <w:rFonts w:hint="eastAsia"/>
                <w:highlight w:val="none"/>
              </w:rPr>
              <w:sym w:font="Wingdings" w:char="00FE"/>
            </w:r>
            <w:r>
              <w:rPr>
                <w:rFonts w:hint="eastAsia"/>
                <w:highlight w:val="none"/>
                <w:lang w:val="en-US" w:eastAsia="zh-CN"/>
              </w:rPr>
              <w:t>管理手册9.1.1章、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atLeast"/>
        </w:trPr>
        <w:tc>
          <w:tcPr>
            <w:tcW w:w="1902" w:type="dxa"/>
            <w:vMerge w:val="continue"/>
            <w:shd w:val="clear" w:color="auto" w:fill="auto"/>
          </w:tcPr>
          <w:p>
            <w:pPr>
              <w:rPr>
                <w:rFonts w:hint="eastAsia"/>
                <w:highlight w:val="none"/>
              </w:rPr>
            </w:pPr>
          </w:p>
        </w:tc>
        <w:tc>
          <w:tcPr>
            <w:tcW w:w="1129" w:type="dxa"/>
            <w:vMerge w:val="continue"/>
            <w:shd w:val="clear" w:color="auto" w:fill="auto"/>
          </w:tcPr>
          <w:p>
            <w:pPr>
              <w:rPr>
                <w:rFonts w:hint="eastAsia"/>
                <w:highlight w:val="none"/>
                <w:lang w:val="en-US" w:eastAsia="zh-CN"/>
              </w:rPr>
            </w:pPr>
          </w:p>
        </w:tc>
        <w:tc>
          <w:tcPr>
            <w:tcW w:w="745" w:type="dxa"/>
            <w:shd w:val="clear" w:color="auto" w:fill="auto"/>
          </w:tcPr>
          <w:p>
            <w:pPr>
              <w:rPr>
                <w:rFonts w:hint="default"/>
                <w:highlight w:val="none"/>
                <w:lang w:val="en-US" w:eastAsia="zh-CN"/>
              </w:rPr>
            </w:pPr>
            <w:r>
              <w:rPr>
                <w:rFonts w:hint="eastAsia"/>
                <w:highlight w:val="none"/>
                <w:lang w:val="en-US" w:eastAsia="zh-CN"/>
              </w:rPr>
              <w:t>运行证据</w:t>
            </w:r>
          </w:p>
        </w:tc>
        <w:tc>
          <w:tcPr>
            <w:tcW w:w="9260" w:type="dxa"/>
            <w:gridSpan w:val="2"/>
            <w:shd w:val="clear" w:color="auto" w:fill="auto"/>
          </w:tcPr>
          <w:p>
            <w:pPr>
              <w:rPr>
                <w:rFonts w:hint="default"/>
                <w:highlight w:val="none"/>
                <w:lang w:val="en-US" w:eastAsia="zh-CN"/>
              </w:rPr>
            </w:pPr>
            <w:r>
              <w:rPr>
                <w:rFonts w:hint="eastAsia"/>
                <w:highlight w:val="none"/>
                <w:lang w:val="en-US" w:eastAsia="zh-CN"/>
              </w:rPr>
              <w:t>组织对监视和测量的环境绩效</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tcPr>
                <w:p>
                  <w:pPr>
                    <w:rPr>
                      <w:rFonts w:hint="default"/>
                      <w:highlight w:val="none"/>
                      <w:vertAlign w:val="baseline"/>
                      <w:lang w:val="en-US" w:eastAsia="zh-CN"/>
                    </w:rPr>
                  </w:pPr>
                  <w:r>
                    <w:rPr>
                      <w:rFonts w:hint="eastAsia"/>
                      <w:highlight w:val="none"/>
                      <w:lang w:val="en-US" w:eastAsia="zh-CN"/>
                    </w:rPr>
                    <w:t>监视和测量的对象</w:t>
                  </w:r>
                </w:p>
              </w:tc>
              <w:tc>
                <w:tcPr>
                  <w:tcW w:w="2149" w:type="dxa"/>
                </w:tcPr>
                <w:p>
                  <w:pPr>
                    <w:rPr>
                      <w:rFonts w:hint="default"/>
                      <w:highlight w:val="none"/>
                      <w:vertAlign w:val="baseline"/>
                      <w:lang w:val="en-US" w:eastAsia="zh-CN"/>
                    </w:rPr>
                  </w:pPr>
                  <w:r>
                    <w:rPr>
                      <w:rFonts w:hint="eastAsia"/>
                      <w:highlight w:val="none"/>
                      <w:lang w:val="en-US" w:eastAsia="zh-CN"/>
                    </w:rPr>
                    <w:t>监视、测量、分析和评价的方法</w:t>
                  </w:r>
                </w:p>
              </w:tc>
              <w:tc>
                <w:tcPr>
                  <w:tcW w:w="1986" w:type="dxa"/>
                </w:tcPr>
                <w:p>
                  <w:pPr>
                    <w:rPr>
                      <w:rFonts w:hint="eastAsia"/>
                      <w:highlight w:val="none"/>
                      <w:lang w:val="en-US" w:eastAsia="zh-CN"/>
                    </w:rPr>
                  </w:pPr>
                  <w:r>
                    <w:rPr>
                      <w:rFonts w:hint="eastAsia"/>
                      <w:highlight w:val="none"/>
                      <w:lang w:val="en-US" w:eastAsia="zh-CN"/>
                    </w:rPr>
                    <w:t>监视和测量的频次和时机</w:t>
                  </w:r>
                </w:p>
              </w:tc>
              <w:tc>
                <w:tcPr>
                  <w:tcW w:w="1887" w:type="dxa"/>
                </w:tcPr>
                <w:p>
                  <w:pPr>
                    <w:rPr>
                      <w:rFonts w:hint="default"/>
                      <w:highlight w:val="none"/>
                      <w:vertAlign w:val="baseline"/>
                      <w:lang w:val="en-US" w:eastAsia="zh-CN"/>
                    </w:rPr>
                  </w:pPr>
                  <w:r>
                    <w:rPr>
                      <w:rFonts w:hint="eastAsia"/>
                      <w:highlight w:val="none"/>
                      <w:lang w:val="en-US" w:eastAsia="zh-CN"/>
                    </w:rPr>
                    <w:t>评价其环境绩效所依据的准则和适当的参数</w:t>
                  </w:r>
                </w:p>
              </w:tc>
              <w:tc>
                <w:tcPr>
                  <w:tcW w:w="2034" w:type="dxa"/>
                </w:tcPr>
                <w:p>
                  <w:pPr>
                    <w:rPr>
                      <w:rFonts w:hint="eastAsia"/>
                      <w:highlight w:val="none"/>
                      <w:vertAlign w:val="baseline"/>
                      <w:lang w:val="en-US" w:eastAsia="zh-CN"/>
                    </w:rPr>
                  </w:pPr>
                  <w:r>
                    <w:rPr>
                      <w:rFonts w:hint="eastAsia"/>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污染物排放</w:t>
                  </w:r>
                </w:p>
              </w:tc>
              <w:tc>
                <w:tcPr>
                  <w:tcW w:w="2149" w:type="dxa"/>
                </w:tcPr>
                <w:p>
                  <w:pPr>
                    <w:rPr>
                      <w:rFonts w:hint="default"/>
                      <w:highlight w:val="none"/>
                      <w:vertAlign w:val="baseline"/>
                      <w:lang w:val="en-US" w:eastAsia="zh-CN"/>
                    </w:rPr>
                  </w:pPr>
                  <w:r>
                    <w:rPr>
                      <w:rFonts w:hint="eastAsia"/>
                      <w:color w:val="000000"/>
                      <w:szCs w:val="21"/>
                      <w:highlight w:val="none"/>
                      <w:lang w:eastAsia="zh-CN"/>
                    </w:rPr>
                    <w:sym w:font="Wingdings 2" w:char="0052"/>
                  </w:r>
                  <w:r>
                    <w:rPr>
                      <w:rFonts w:hint="eastAsia"/>
                      <w:highlight w:val="none"/>
                      <w:vertAlign w:val="baseline"/>
                      <w:lang w:val="en-US" w:eastAsia="zh-CN"/>
                    </w:rPr>
                    <w:t>环境监测【监测方案执行】；</w:t>
                  </w:r>
                  <w:r>
                    <w:rPr>
                      <w:rFonts w:hint="eastAsia"/>
                      <w:color w:val="000000"/>
                      <w:szCs w:val="21"/>
                      <w:highlight w:val="none"/>
                      <w:lang w:eastAsia="zh-CN"/>
                    </w:rPr>
                    <w:t>☑</w:t>
                  </w:r>
                  <w:r>
                    <w:rPr>
                      <w:rFonts w:hint="eastAsia"/>
                      <w:highlight w:val="none"/>
                      <w:vertAlign w:val="baseline"/>
                      <w:lang w:val="en-US" w:eastAsia="zh-CN"/>
                    </w:rPr>
                    <w:t>对结果的合规性进行分析，运行控制</w:t>
                  </w:r>
                </w:p>
              </w:tc>
              <w:tc>
                <w:tcPr>
                  <w:tcW w:w="198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sym w:font="Wingdings 2" w:char="00A3"/>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lang w:eastAsia="zh-CN"/>
                    </w:rPr>
                    <w:t>☑</w:t>
                  </w:r>
                  <w:r>
                    <w:rPr>
                      <w:rFonts w:hint="eastAsia"/>
                      <w:highlight w:val="none"/>
                      <w:lang w:val="en-US" w:eastAsia="zh-CN"/>
                    </w:rPr>
                    <w:t xml:space="preserve">每季度 </w:t>
                  </w:r>
                  <w:r>
                    <w:rPr>
                      <w:rFonts w:hint="eastAsia"/>
                      <w:color w:val="000000"/>
                      <w:szCs w:val="21"/>
                      <w:highlight w:val="none"/>
                      <w:lang w:eastAsia="zh-CN"/>
                    </w:rPr>
                    <w:t>☑</w:t>
                  </w:r>
                  <w:r>
                    <w:rPr>
                      <w:rFonts w:hint="eastAsia"/>
                      <w:color w:val="000000"/>
                      <w:szCs w:val="21"/>
                      <w:highlight w:val="none"/>
                      <w:lang w:val="en-US" w:eastAsia="zh-CN"/>
                    </w:rPr>
                    <w:t xml:space="preserve">每年 </w:t>
                  </w:r>
                  <w:r>
                    <w:rPr>
                      <w:rFonts w:hint="eastAsia"/>
                      <w:color w:val="000000"/>
                      <w:szCs w:val="21"/>
                      <w:highlight w:val="none"/>
                      <w:lang w:eastAsia="zh-CN"/>
                    </w:rPr>
                    <w:t>□</w:t>
                  </w:r>
                  <w:r>
                    <w:rPr>
                      <w:rFonts w:hint="eastAsia"/>
                      <w:highlight w:val="none"/>
                      <w:lang w:val="en-US" w:eastAsia="zh-CN"/>
                    </w:rPr>
                    <w:t>其他</w:t>
                  </w:r>
                </w:p>
              </w:tc>
              <w:tc>
                <w:tcPr>
                  <w:tcW w:w="1887" w:type="dxa"/>
                </w:tcPr>
                <w:p>
                  <w:pPr>
                    <w:rPr>
                      <w:rFonts w:hint="default"/>
                      <w:highlight w:val="none"/>
                      <w:vertAlign w:val="baseline"/>
                      <w:lang w:val="en-US" w:eastAsia="zh-CN"/>
                    </w:rPr>
                  </w:pPr>
                  <w:r>
                    <w:rPr>
                      <w:rFonts w:hint="eastAsia"/>
                      <w:highlight w:val="none"/>
                      <w:vertAlign w:val="baseline"/>
                      <w:lang w:val="en-US" w:eastAsia="zh-CN"/>
                    </w:rPr>
                    <w:t>相关标准如《《排污单位自行监测技术指南酒、饮料制造》（HJ1085-2020）》等</w:t>
                  </w:r>
                </w:p>
              </w:tc>
              <w:tc>
                <w:tcPr>
                  <w:tcW w:w="2034"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lang w:eastAsia="zh-CN"/>
                    </w:rPr>
                    <w:t>☑</w:t>
                  </w:r>
                  <w:r>
                    <w:rPr>
                      <w:rFonts w:hint="eastAsia"/>
                      <w:highlight w:val="none"/>
                      <w:lang w:val="en-US" w:eastAsia="zh-CN"/>
                    </w:rPr>
                    <w:t xml:space="preserve">每季度 </w:t>
                  </w:r>
                  <w:r>
                    <w:rPr>
                      <w:rFonts w:hint="eastAsia"/>
                      <w:color w:val="000000"/>
                      <w:szCs w:val="21"/>
                      <w:highlight w:val="none"/>
                      <w:lang w:eastAsia="zh-CN"/>
                    </w:rPr>
                    <w:t>☑</w:t>
                  </w:r>
                  <w:r>
                    <w:rPr>
                      <w:rFonts w:hint="eastAsia"/>
                      <w:color w:val="000000"/>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过程</w:t>
                  </w:r>
                </w:p>
              </w:tc>
              <w:tc>
                <w:tcPr>
                  <w:tcW w:w="2149" w:type="dxa"/>
                </w:tcPr>
                <w:p>
                  <w:pPr>
                    <w:rPr>
                      <w:rFonts w:hint="eastAsia"/>
                      <w:highlight w:val="none"/>
                      <w:vertAlign w:val="baseline"/>
                      <w:lang w:val="en-US" w:eastAsia="zh-CN"/>
                    </w:rPr>
                  </w:pPr>
                  <w:r>
                    <w:rPr>
                      <w:rFonts w:hint="eastAsia"/>
                      <w:highlight w:val="none"/>
                      <w:vertAlign w:val="baseline"/>
                      <w:lang w:val="en-US" w:eastAsia="zh-CN"/>
                    </w:rPr>
                    <w:t>现场巡视</w:t>
                  </w:r>
                </w:p>
                <w:p>
                  <w:pPr>
                    <w:rPr>
                      <w:rFonts w:hint="eastAsia"/>
                      <w:highlight w:val="none"/>
                      <w:vertAlign w:val="baseline"/>
                      <w:lang w:val="en-US" w:eastAsia="zh-CN"/>
                    </w:rPr>
                  </w:pPr>
                  <w:r>
                    <w:rPr>
                      <w:rFonts w:hint="eastAsia"/>
                      <w:highlight w:val="none"/>
                      <w:vertAlign w:val="baseline"/>
                      <w:lang w:val="en-US" w:eastAsia="zh-CN"/>
                    </w:rPr>
                    <w:t>抽查记录</w:t>
                  </w:r>
                </w:p>
                <w:p>
                  <w:pPr>
                    <w:rPr>
                      <w:rFonts w:hint="default"/>
                      <w:highlight w:val="none"/>
                      <w:vertAlign w:val="baseline"/>
                      <w:lang w:val="en-US" w:eastAsia="zh-CN"/>
                    </w:rPr>
                  </w:pPr>
                  <w:r>
                    <w:rPr>
                      <w:rFonts w:hint="eastAsia"/>
                      <w:highlight w:val="none"/>
                      <w:vertAlign w:val="baseline"/>
                      <w:lang w:val="en-US" w:eastAsia="zh-CN"/>
                    </w:rPr>
                    <w:t>对环境目标进行统计</w:t>
                  </w:r>
                </w:p>
              </w:tc>
              <w:tc>
                <w:tcPr>
                  <w:tcW w:w="1986" w:type="dxa"/>
                </w:tcPr>
                <w:p>
                  <w:pPr>
                    <w:rPr>
                      <w:rFonts w:hint="eastAsia"/>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定期检查</w:t>
                  </w:r>
                </w:p>
                <w:p>
                  <w:pPr>
                    <w:rPr>
                      <w:rFonts w:hint="eastAsia"/>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抽查</w:t>
                  </w:r>
                </w:p>
              </w:tc>
              <w:tc>
                <w:tcPr>
                  <w:tcW w:w="188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rPr>
                    <w:sym w:font="Wingdings 2" w:char="0052"/>
                  </w:r>
                  <w:r>
                    <w:rPr>
                      <w:rFonts w:hint="eastAsia"/>
                      <w:highlight w:val="none"/>
                      <w:lang w:val="en-US" w:eastAsia="zh-CN"/>
                    </w:rPr>
                    <w:t xml:space="preserve">每季度 </w:t>
                  </w:r>
                  <w:r>
                    <w:rPr>
                      <w:rFonts w:hint="eastAsia"/>
                      <w:color w:val="000000"/>
                      <w:szCs w:val="21"/>
                      <w:highlight w:val="none"/>
                      <w:lang w:eastAsia="zh-CN"/>
                    </w:rPr>
                    <w:sym w:font="Wingdings 2" w:char="0052"/>
                  </w:r>
                  <w:r>
                    <w:rPr>
                      <w:rFonts w:hint="eastAsia"/>
                      <w:color w:val="000000"/>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w:t>
                  </w:r>
                </w:p>
              </w:tc>
              <w:tc>
                <w:tcPr>
                  <w:tcW w:w="2149" w:type="dxa"/>
                </w:tcPr>
                <w:p>
                  <w:pPr>
                    <w:rPr>
                      <w:rFonts w:hint="default"/>
                      <w:highlight w:val="none"/>
                      <w:vertAlign w:val="baseline"/>
                      <w:lang w:val="en-US" w:eastAsia="zh-CN"/>
                    </w:rPr>
                  </w:pPr>
                  <w:r>
                    <w:rPr>
                      <w:rFonts w:hint="eastAsia"/>
                      <w:highlight w:val="none"/>
                      <w:vertAlign w:val="baseline"/>
                      <w:lang w:val="en-US" w:eastAsia="zh-CN"/>
                    </w:rPr>
                    <w:t>内部审核；对内审不符合项进行分析</w:t>
                  </w:r>
                </w:p>
              </w:tc>
              <w:tc>
                <w:tcPr>
                  <w:tcW w:w="1986" w:type="dxa"/>
                  <w:vAlign w:val="top"/>
                </w:tcPr>
                <w:p>
                  <w:pPr>
                    <w:rPr>
                      <w:rFonts w:hint="default"/>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按年度内审计划</w:t>
                  </w:r>
                </w:p>
                <w:p>
                  <w:pPr>
                    <w:rPr>
                      <w:rFonts w:hint="eastAsia"/>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highlight w:val="none"/>
                      <w:lang w:eastAsia="zh-CN"/>
                    </w:rPr>
                    <w:t>□</w:t>
                  </w:r>
                  <w:r>
                    <w:rPr>
                      <w:rFonts w:hint="eastAsia"/>
                      <w:color w:val="000000"/>
                      <w:szCs w:val="21"/>
                      <w:highlight w:val="none"/>
                      <w:lang w:val="en-US" w:eastAsia="zh-CN"/>
                    </w:rPr>
                    <w:t>特殊情况增加</w:t>
                  </w:r>
                </w:p>
              </w:tc>
              <w:tc>
                <w:tcPr>
                  <w:tcW w:w="1887" w:type="dxa"/>
                </w:tcPr>
                <w:p>
                  <w:pPr>
                    <w:rPr>
                      <w:rFonts w:hint="eastAsia"/>
                      <w:highlight w:val="none"/>
                      <w:lang w:val="en-US" w:eastAsia="zh-CN"/>
                    </w:rPr>
                  </w:pPr>
                  <w:r>
                    <w:rPr>
                      <w:rFonts w:hint="eastAsia"/>
                      <w:highlight w:val="none"/>
                      <w:lang w:val="en-US" w:eastAsia="zh-CN"/>
                    </w:rPr>
                    <w:t>《内部审核控制程序》</w:t>
                  </w:r>
                </w:p>
                <w:p>
                  <w:pPr>
                    <w:rPr>
                      <w:rFonts w:hint="default"/>
                      <w:highlight w:val="none"/>
                      <w:vertAlign w:val="baseline"/>
                      <w:lang w:val="en-US" w:eastAsia="zh-CN"/>
                    </w:rPr>
                  </w:pPr>
                  <w:r>
                    <w:rPr>
                      <w:rFonts w:hint="eastAsia" w:cs="Times New Roman"/>
                      <w:kern w:val="2"/>
                      <w:sz w:val="21"/>
                      <w:highlight w:val="none"/>
                      <w:vertAlign w:val="baseline"/>
                      <w:lang w:val="en-US" w:eastAsia="zh-CN" w:bidi="ar-SA"/>
                    </w:rPr>
                    <w:t>GB/T24001-2016</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 xml:space="preserve">每季度 </w:t>
                  </w:r>
                  <w:r>
                    <w:rPr>
                      <w:rFonts w:hint="eastAsia"/>
                      <w:color w:val="000000"/>
                      <w:szCs w:val="21"/>
                      <w:highlight w:val="none"/>
                      <w:lang w:eastAsia="zh-CN"/>
                    </w:rPr>
                    <w:t>☑</w:t>
                  </w:r>
                  <w:r>
                    <w:rPr>
                      <w:rFonts w:hint="eastAsia"/>
                      <w:color w:val="000000"/>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体系有效性</w:t>
                  </w:r>
                </w:p>
              </w:tc>
              <w:tc>
                <w:tcPr>
                  <w:tcW w:w="2149" w:type="dxa"/>
                </w:tcPr>
                <w:p>
                  <w:pPr>
                    <w:rPr>
                      <w:rFonts w:hint="default"/>
                      <w:highlight w:val="none"/>
                      <w:vertAlign w:val="baseline"/>
                      <w:lang w:val="en-US" w:eastAsia="zh-CN"/>
                    </w:rPr>
                  </w:pPr>
                  <w:r>
                    <w:rPr>
                      <w:rFonts w:hint="eastAsia"/>
                      <w:highlight w:val="none"/>
                      <w:vertAlign w:val="baseline"/>
                      <w:lang w:val="en-US" w:eastAsia="zh-CN"/>
                    </w:rPr>
                    <w:t>管理评审，对EMS存在的需要问题进行分析</w:t>
                  </w:r>
                </w:p>
              </w:tc>
              <w:tc>
                <w:tcPr>
                  <w:tcW w:w="1986" w:type="dxa"/>
                </w:tcPr>
                <w:p>
                  <w:pPr>
                    <w:rPr>
                      <w:rFonts w:hint="eastAsia"/>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highlight w:val="none"/>
                      <w:lang w:eastAsia="zh-CN"/>
                    </w:rPr>
                    <w:sym w:font="Wingdings 2" w:char="0052"/>
                  </w:r>
                  <w:r>
                    <w:rPr>
                      <w:rFonts w:hint="eastAsia"/>
                      <w:color w:val="000000"/>
                      <w:szCs w:val="21"/>
                      <w:highlight w:val="none"/>
                      <w:lang w:val="en-US" w:eastAsia="zh-CN"/>
                    </w:rPr>
                    <w:t>特殊情况增加</w:t>
                  </w:r>
                </w:p>
              </w:tc>
              <w:tc>
                <w:tcPr>
                  <w:tcW w:w="1887" w:type="dxa"/>
                  <w:vAlign w:val="top"/>
                </w:tcPr>
                <w:p>
                  <w:pPr>
                    <w:pStyle w:val="16"/>
                    <w:rPr>
                      <w:rFonts w:hint="eastAsia" w:eastAsia="宋体"/>
                      <w:highlight w:val="none"/>
                      <w:lang w:val="en-US" w:eastAsia="zh-CN"/>
                    </w:rPr>
                  </w:pPr>
                  <w:r>
                    <w:rPr>
                      <w:rFonts w:hint="eastAsia" w:cs="Times New Roman"/>
                      <w:kern w:val="2"/>
                      <w:sz w:val="21"/>
                      <w:highlight w:val="none"/>
                      <w:vertAlign w:val="baseline"/>
                      <w:lang w:val="en-US" w:eastAsia="zh-CN" w:bidi="ar-SA"/>
                    </w:rPr>
                    <w:t>GB/T24001-2016</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 xml:space="preserve">每季度 </w:t>
                  </w:r>
                  <w:r>
                    <w:rPr>
                      <w:rFonts w:hint="eastAsia"/>
                      <w:color w:val="000000"/>
                      <w:szCs w:val="21"/>
                      <w:highlight w:val="none"/>
                      <w:lang w:eastAsia="zh-CN"/>
                    </w:rPr>
                    <w:t>☑</w:t>
                  </w:r>
                  <w:r>
                    <w:rPr>
                      <w:rFonts w:hint="eastAsia"/>
                      <w:color w:val="000000"/>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相关方反馈</w:t>
                  </w:r>
                </w:p>
              </w:tc>
              <w:tc>
                <w:tcPr>
                  <w:tcW w:w="2149" w:type="dxa"/>
                </w:tcPr>
                <w:p>
                  <w:pPr>
                    <w:rPr>
                      <w:rFonts w:hint="default"/>
                      <w:highlight w:val="none"/>
                      <w:vertAlign w:val="baseline"/>
                      <w:lang w:val="en-US" w:eastAsia="zh-CN"/>
                    </w:rPr>
                  </w:pPr>
                  <w:r>
                    <w:rPr>
                      <w:rFonts w:hint="eastAsia"/>
                      <w:highlight w:val="none"/>
                      <w:vertAlign w:val="baseline"/>
                      <w:lang w:val="en-US" w:eastAsia="zh-CN"/>
                    </w:rPr>
                    <w:t>反馈处理，对问题进行统计</w:t>
                  </w:r>
                </w:p>
              </w:tc>
              <w:tc>
                <w:tcPr>
                  <w:tcW w:w="1986" w:type="dxa"/>
                  <w:vAlign w:val="top"/>
                </w:tcPr>
                <w:p>
                  <w:pPr>
                    <w:rPr>
                      <w:rFonts w:hint="eastAsia"/>
                      <w:highlight w:val="none"/>
                      <w:vertAlign w:val="baseline"/>
                      <w:lang w:val="en-US" w:eastAsia="zh-CN"/>
                    </w:rPr>
                  </w:pPr>
                  <w:r>
                    <w:rPr>
                      <w:rFonts w:hint="eastAsia"/>
                      <w:color w:val="000000"/>
                      <w:szCs w:val="21"/>
                      <w:highlight w:val="none"/>
                      <w:lang w:eastAsia="zh-CN"/>
                    </w:rPr>
                    <w:t>☑</w:t>
                  </w:r>
                  <w:r>
                    <w:rPr>
                      <w:rFonts w:hint="eastAsia"/>
                      <w:highlight w:val="none"/>
                      <w:vertAlign w:val="baseline"/>
                      <w:lang w:val="en-US" w:eastAsia="zh-CN"/>
                    </w:rPr>
                    <w:t>每年一次</w:t>
                  </w:r>
                </w:p>
                <w:p>
                  <w:pPr>
                    <w:rPr>
                      <w:rFonts w:hint="default" w:ascii="Times New Roman" w:hAnsi="Times New Roman" w:eastAsia="宋体" w:cs="Times New Roman"/>
                      <w:kern w:val="2"/>
                      <w:sz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随时</w:t>
                  </w:r>
                </w:p>
              </w:tc>
              <w:tc>
                <w:tcPr>
                  <w:tcW w:w="1887" w:type="dxa"/>
                  <w:vAlign w:val="top"/>
                </w:tcPr>
                <w:p>
                  <w:pPr>
                    <w:rPr>
                      <w:rFonts w:hint="eastAsia"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每月</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 xml:space="preserve">每季度 </w:t>
                  </w:r>
                  <w:r>
                    <w:rPr>
                      <w:rFonts w:hint="eastAsia"/>
                      <w:color w:val="000000"/>
                      <w:szCs w:val="21"/>
                      <w:highlight w:val="none"/>
                      <w:lang w:eastAsia="zh-CN"/>
                    </w:rPr>
                    <w:t>☑</w:t>
                  </w:r>
                  <w:r>
                    <w:rPr>
                      <w:rFonts w:hint="eastAsia"/>
                      <w:color w:val="000000"/>
                      <w:szCs w:val="21"/>
                      <w:highlight w:val="none"/>
                      <w:lang w:val="en-US" w:eastAsia="zh-CN"/>
                    </w:rPr>
                    <w:t>每年</w:t>
                  </w:r>
                </w:p>
              </w:tc>
            </w:tr>
          </w:tbl>
          <w:p>
            <w:pPr>
              <w:rPr>
                <w:rFonts w:hint="default"/>
                <w:highlight w:val="none"/>
                <w:lang w:val="en-US" w:eastAsia="zh-CN"/>
              </w:rPr>
            </w:pP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02" w:type="dxa"/>
            <w:vMerge w:val="restart"/>
            <w:shd w:val="clear" w:color="auto" w:fill="auto"/>
          </w:tcPr>
          <w:p>
            <w:pPr>
              <w:rPr>
                <w:rFonts w:hint="eastAsia"/>
                <w:color w:val="auto"/>
                <w:highlight w:val="none"/>
                <w:lang w:val="en-US" w:eastAsia="zh-CN"/>
              </w:rPr>
            </w:pPr>
            <w:r>
              <w:rPr>
                <w:rFonts w:hint="eastAsia"/>
                <w:color w:val="auto"/>
                <w:highlight w:val="none"/>
                <w:lang w:val="en-US" w:eastAsia="zh-CN"/>
              </w:rPr>
              <w:t>监视、测量、分析和评价</w:t>
            </w:r>
          </w:p>
          <w:p>
            <w:pPr>
              <w:rPr>
                <w:rFonts w:hint="default" w:eastAsia="宋体"/>
                <w:color w:val="auto"/>
                <w:highlight w:val="none"/>
                <w:lang w:val="en-US" w:eastAsia="zh-CN"/>
              </w:rPr>
            </w:pPr>
          </w:p>
        </w:tc>
        <w:tc>
          <w:tcPr>
            <w:tcW w:w="1129" w:type="dxa"/>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O9.1.1</w:t>
            </w:r>
          </w:p>
        </w:tc>
        <w:tc>
          <w:tcPr>
            <w:tcW w:w="745" w:type="dxa"/>
            <w:shd w:val="clear" w:color="auto" w:fill="auto"/>
          </w:tcPr>
          <w:p>
            <w:pPr>
              <w:rPr>
                <w:rFonts w:hint="default" w:eastAsia="宋体"/>
                <w:color w:val="auto"/>
                <w:highlight w:val="none"/>
                <w:lang w:val="en-US" w:eastAsia="zh-CN"/>
              </w:rPr>
            </w:pPr>
            <w:r>
              <w:rPr>
                <w:rFonts w:hint="eastAsia"/>
                <w:color w:val="auto"/>
                <w:highlight w:val="none"/>
                <w:lang w:val="en-US" w:eastAsia="zh-CN"/>
              </w:rPr>
              <w:t>文件名称</w:t>
            </w:r>
          </w:p>
        </w:tc>
        <w:tc>
          <w:tcPr>
            <w:tcW w:w="9260" w:type="dxa"/>
            <w:gridSpan w:val="2"/>
            <w:shd w:val="clear" w:color="auto" w:fill="auto"/>
          </w:tcPr>
          <w:p>
            <w:pPr>
              <w:rPr>
                <w:rFonts w:hint="default"/>
                <w:color w:val="auto"/>
                <w:highlight w:val="none"/>
                <w:lang w:val="en-US" w:eastAsia="zh-CN"/>
              </w:rPr>
            </w:pPr>
            <w:r>
              <w:rPr>
                <w:rFonts w:hint="eastAsia"/>
                <w:color w:val="auto"/>
                <w:highlight w:val="none"/>
                <w:lang w:val="en-US" w:eastAsia="zh-CN"/>
              </w:rPr>
              <w:t>如：</w:t>
            </w:r>
            <w:r>
              <w:rPr>
                <w:rFonts w:hint="eastAsia"/>
                <w:color w:val="auto"/>
                <w:highlight w:val="none"/>
              </w:rPr>
              <w:sym w:font="Wingdings" w:char="00FE"/>
            </w:r>
            <w:r>
              <w:rPr>
                <w:rFonts w:hint="eastAsia"/>
                <w:color w:val="auto"/>
                <w:highlight w:val="none"/>
                <w:lang w:val="en-US" w:eastAsia="zh-CN"/>
              </w:rPr>
              <w:t>管理手册9.1.1章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1902" w:type="dxa"/>
            <w:vMerge w:val="continue"/>
            <w:shd w:val="clear" w:color="auto" w:fill="auto"/>
          </w:tcPr>
          <w:p>
            <w:pPr>
              <w:rPr>
                <w:rFonts w:hint="eastAsia"/>
                <w:color w:val="auto"/>
                <w:highlight w:val="none"/>
              </w:rPr>
            </w:pPr>
          </w:p>
        </w:tc>
        <w:tc>
          <w:tcPr>
            <w:tcW w:w="1129" w:type="dxa"/>
            <w:vMerge w:val="continue"/>
            <w:shd w:val="clear" w:color="auto" w:fill="auto"/>
          </w:tcPr>
          <w:p>
            <w:pPr>
              <w:rPr>
                <w:rFonts w:hint="eastAsia"/>
                <w:color w:val="auto"/>
                <w:highlight w:val="none"/>
                <w:lang w:val="en-US" w:eastAsia="zh-CN"/>
              </w:rPr>
            </w:pPr>
          </w:p>
        </w:tc>
        <w:tc>
          <w:tcPr>
            <w:tcW w:w="745" w:type="dxa"/>
            <w:shd w:val="clear" w:color="auto" w:fill="auto"/>
          </w:tcPr>
          <w:p>
            <w:pPr>
              <w:rPr>
                <w:rFonts w:hint="default"/>
                <w:color w:val="auto"/>
                <w:highlight w:val="none"/>
                <w:lang w:val="en-US" w:eastAsia="zh-CN"/>
              </w:rPr>
            </w:pPr>
            <w:r>
              <w:rPr>
                <w:rFonts w:hint="eastAsia"/>
                <w:color w:val="auto"/>
                <w:highlight w:val="none"/>
                <w:lang w:val="en-US" w:eastAsia="zh-CN"/>
              </w:rPr>
              <w:t>运行证据</w:t>
            </w:r>
          </w:p>
        </w:tc>
        <w:tc>
          <w:tcPr>
            <w:tcW w:w="9260" w:type="dxa"/>
            <w:gridSpan w:val="2"/>
            <w:shd w:val="clear" w:color="auto" w:fill="auto"/>
          </w:tcPr>
          <w:p>
            <w:pPr>
              <w:rPr>
                <w:rFonts w:hint="default"/>
                <w:color w:val="auto"/>
                <w:highlight w:val="none"/>
                <w:lang w:val="en-US" w:eastAsia="zh-CN"/>
              </w:rPr>
            </w:pPr>
            <w:r>
              <w:rPr>
                <w:rFonts w:hint="eastAsia"/>
                <w:color w:val="auto"/>
                <w:highlight w:val="none"/>
                <w:lang w:val="en-US" w:eastAsia="zh-CN"/>
              </w:rPr>
              <w:t>组织对监视和测量的职业健康安全绩效</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50"/>
              <w:gridCol w:w="1848"/>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lang w:val="en-US" w:eastAsia="zh-CN"/>
                    </w:rPr>
                    <w:t>监视和测量的对象</w:t>
                  </w:r>
                </w:p>
              </w:tc>
              <w:tc>
                <w:tcPr>
                  <w:tcW w:w="1650" w:type="dxa"/>
                </w:tcPr>
                <w:p>
                  <w:pPr>
                    <w:rPr>
                      <w:rFonts w:hint="default"/>
                      <w:color w:val="auto"/>
                      <w:highlight w:val="none"/>
                      <w:vertAlign w:val="baseline"/>
                      <w:lang w:val="en-US" w:eastAsia="zh-CN"/>
                    </w:rPr>
                  </w:pPr>
                  <w:r>
                    <w:rPr>
                      <w:rFonts w:hint="eastAsia"/>
                      <w:color w:val="auto"/>
                      <w:highlight w:val="none"/>
                      <w:lang w:val="en-US" w:eastAsia="zh-CN"/>
                    </w:rPr>
                    <w:t>监视、测量、分析和评价的方法</w:t>
                  </w:r>
                </w:p>
              </w:tc>
              <w:tc>
                <w:tcPr>
                  <w:tcW w:w="1848" w:type="dxa"/>
                </w:tcPr>
                <w:p>
                  <w:pPr>
                    <w:rPr>
                      <w:rFonts w:hint="eastAsia"/>
                      <w:color w:val="auto"/>
                      <w:highlight w:val="none"/>
                      <w:lang w:val="en-US" w:eastAsia="zh-CN"/>
                    </w:rPr>
                  </w:pPr>
                  <w:r>
                    <w:rPr>
                      <w:rFonts w:hint="eastAsia"/>
                      <w:color w:val="auto"/>
                      <w:highlight w:val="none"/>
                      <w:lang w:val="en-US" w:eastAsia="zh-CN"/>
                    </w:rPr>
                    <w:t>监视和测量的频次和时机</w:t>
                  </w:r>
                </w:p>
              </w:tc>
              <w:tc>
                <w:tcPr>
                  <w:tcW w:w="1887" w:type="dxa"/>
                </w:tcPr>
                <w:p>
                  <w:pPr>
                    <w:rPr>
                      <w:rFonts w:hint="default"/>
                      <w:color w:val="auto"/>
                      <w:highlight w:val="none"/>
                      <w:vertAlign w:val="baseline"/>
                      <w:lang w:val="en-US" w:eastAsia="zh-CN"/>
                    </w:rPr>
                  </w:pPr>
                  <w:r>
                    <w:rPr>
                      <w:rFonts w:hint="eastAsia"/>
                      <w:color w:val="auto"/>
                      <w:highlight w:val="none"/>
                      <w:lang w:val="en-US" w:eastAsia="zh-CN"/>
                    </w:rPr>
                    <w:t>评价其OHS绩效所依据的准则和适当的参数</w:t>
                  </w:r>
                </w:p>
              </w:tc>
              <w:tc>
                <w:tcPr>
                  <w:tcW w:w="2034" w:type="dxa"/>
                </w:tcPr>
                <w:p>
                  <w:pPr>
                    <w:rPr>
                      <w:rFonts w:hint="eastAsia"/>
                      <w:color w:val="auto"/>
                      <w:highlight w:val="none"/>
                      <w:vertAlign w:val="baseline"/>
                      <w:lang w:val="en-US" w:eastAsia="zh-CN"/>
                    </w:rPr>
                  </w:pPr>
                  <w:r>
                    <w:rPr>
                      <w:rFonts w:hint="eastAsia"/>
                      <w:color w:val="auto"/>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满足法律法规要求和其他要求的程度；</w:t>
                  </w:r>
                </w:p>
              </w:tc>
              <w:tc>
                <w:tcPr>
                  <w:tcW w:w="1650" w:type="dxa"/>
                </w:tcPr>
                <w:p>
                  <w:pPr>
                    <w:rPr>
                      <w:rFonts w:hint="eastAsia"/>
                      <w:color w:val="auto"/>
                      <w:highlight w:val="none"/>
                      <w:vertAlign w:val="baseline"/>
                      <w:lang w:val="en-US" w:eastAsia="zh-CN"/>
                    </w:rPr>
                  </w:pPr>
                  <w:r>
                    <w:rPr>
                      <w:rFonts w:hint="eastAsia"/>
                      <w:color w:val="000000"/>
                      <w:szCs w:val="21"/>
                      <w:highlight w:val="none"/>
                      <w:lang w:eastAsia="zh-CN"/>
                    </w:rPr>
                    <w:sym w:font="Wingdings 2" w:char="0052"/>
                  </w:r>
                  <w:r>
                    <w:rPr>
                      <w:rFonts w:hint="eastAsia"/>
                      <w:color w:val="auto"/>
                      <w:highlight w:val="none"/>
                      <w:vertAlign w:val="baseline"/>
                      <w:lang w:val="en-US" w:eastAsia="zh-CN"/>
                    </w:rPr>
                    <w:t>职业健康和安全监测</w:t>
                  </w:r>
                </w:p>
                <w:p>
                  <w:pPr>
                    <w:rPr>
                      <w:rFonts w:hint="default"/>
                      <w:color w:val="auto"/>
                      <w:highlight w:val="none"/>
                      <w:vertAlign w:val="baseline"/>
                      <w:lang w:val="en-US" w:eastAsia="zh-CN"/>
                    </w:rPr>
                  </w:pPr>
                  <w:r>
                    <w:rPr>
                      <w:rFonts w:hint="eastAsia"/>
                      <w:color w:val="000000"/>
                      <w:szCs w:val="21"/>
                      <w:lang w:eastAsia="zh-CN"/>
                    </w:rPr>
                    <w:t>☑</w:t>
                  </w:r>
                  <w:r>
                    <w:rPr>
                      <w:rFonts w:hint="eastAsia"/>
                      <w:color w:val="auto"/>
                      <w:highlight w:val="none"/>
                      <w:vertAlign w:val="baseline"/>
                      <w:lang w:val="en-US" w:eastAsia="zh-CN"/>
                    </w:rPr>
                    <w:t>职业健康和安全监测检查；</w:t>
                  </w:r>
                  <w:r>
                    <w:rPr>
                      <w:rFonts w:hint="eastAsia"/>
                      <w:color w:val="auto"/>
                      <w:szCs w:val="21"/>
                      <w:highlight w:val="none"/>
                      <w:lang w:eastAsia="zh-CN"/>
                    </w:rPr>
                    <w:t>☑</w:t>
                  </w:r>
                  <w:r>
                    <w:rPr>
                      <w:rFonts w:hint="eastAsia"/>
                      <w:color w:val="auto"/>
                      <w:highlight w:val="none"/>
                      <w:vertAlign w:val="baseline"/>
                      <w:lang w:val="en-US" w:eastAsia="zh-CN"/>
                    </w:rPr>
                    <w:t>对结果的合规性进行分析</w:t>
                  </w:r>
                </w:p>
              </w:tc>
              <w:tc>
                <w:tcPr>
                  <w:tcW w:w="1848"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sym w:font="Wingdings 2" w:char="00A3"/>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相关标准，合规性评价</w:t>
                  </w:r>
                </w:p>
              </w:tc>
              <w:tc>
                <w:tcPr>
                  <w:tcW w:w="203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sym w:font="Wingdings 2" w:char="0052"/>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与所辨识的危险源、风险和机遇相关的活动和运行</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default"/>
                      <w:color w:val="auto"/>
                      <w:highlight w:val="none"/>
                      <w:vertAlign w:val="baseline"/>
                      <w:lang w:val="en-US" w:eastAsia="zh-CN"/>
                    </w:rPr>
                  </w:pPr>
                  <w:r>
                    <w:rPr>
                      <w:rFonts w:hint="eastAsia"/>
                      <w:color w:val="auto"/>
                      <w:highlight w:val="none"/>
                      <w:vertAlign w:val="baseline"/>
                      <w:lang w:val="en-US" w:eastAsia="zh-CN"/>
                    </w:rPr>
                    <w:t>抽查记录</w:t>
                  </w:r>
                </w:p>
              </w:tc>
              <w:tc>
                <w:tcPr>
                  <w:tcW w:w="1848" w:type="dxa"/>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t>危险源、风险和机遇</w:t>
                  </w:r>
                  <w:r>
                    <w:rPr>
                      <w:rFonts w:hint="eastAsia"/>
                      <w:color w:val="auto"/>
                      <w:highlight w:val="none"/>
                      <w:lang w:val="en-US" w:eastAsia="zh-CN"/>
                    </w:rPr>
                    <w:t>的规定</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实现组织职业健康安全目标的进展情况</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统计分析</w:t>
                  </w:r>
                </w:p>
              </w:tc>
              <w:tc>
                <w:tcPr>
                  <w:tcW w:w="1848"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A3"/>
                  </w:r>
                  <w:r>
                    <w:rPr>
                      <w:rFonts w:hint="eastAsia"/>
                      <w:color w:val="auto"/>
                      <w:szCs w:val="21"/>
                      <w:highlight w:val="none"/>
                      <w:lang w:val="en-US" w:eastAsia="zh-CN"/>
                    </w:rPr>
                    <w:t xml:space="preserve">每年 </w:t>
                  </w:r>
                  <w:r>
                    <w:rPr>
                      <w:rFonts w:hint="eastAsia"/>
                      <w:color w:val="auto"/>
                      <w:szCs w:val="21"/>
                      <w:highlight w:val="none"/>
                      <w:lang w:eastAsia="zh-CN"/>
                    </w:rPr>
                    <w:sym w:font="Wingdings 2" w:char="0052"/>
                  </w:r>
                  <w:r>
                    <w:rPr>
                      <w:rFonts w:hint="eastAsia"/>
                      <w:color w:val="auto"/>
                      <w:highlight w:val="none"/>
                      <w:lang w:val="en-US" w:eastAsia="zh-CN"/>
                    </w:rPr>
                    <w:t>其他——每半年</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公司OHS目标</w:t>
                  </w:r>
                </w:p>
              </w:tc>
              <w:tc>
                <w:tcPr>
                  <w:tcW w:w="2034" w:type="dxa"/>
                  <w:vAlign w:val="top"/>
                </w:tcPr>
                <w:p>
                  <w:pPr>
                    <w:widowControl/>
                    <w:spacing w:before="40"/>
                    <w:jc w:val="left"/>
                    <w:rPr>
                      <w:rFonts w:hint="default"/>
                      <w:color w:val="auto"/>
                      <w:szCs w:val="21"/>
                      <w:highlight w:val="no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sym w:font="Wingdings 2" w:char="0052"/>
                  </w:r>
                  <w:r>
                    <w:rPr>
                      <w:rFonts w:hint="eastAsia"/>
                      <w:color w:val="auto"/>
                      <w:highlight w:val="none"/>
                      <w:lang w:val="en-US" w:eastAsia="zh-CN"/>
                    </w:rPr>
                    <w:t>其他——每半年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运行控制和其他控制的有效性</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eastAsia"/>
                      <w:color w:val="auto"/>
                      <w:highlight w:val="none"/>
                      <w:vertAlign w:val="baseline"/>
                      <w:lang w:val="en-US" w:eastAsia="zh-CN"/>
                    </w:rPr>
                  </w:pPr>
                </w:p>
              </w:tc>
              <w:tc>
                <w:tcPr>
                  <w:tcW w:w="1848" w:type="dxa"/>
                  <w:vAlign w:val="top"/>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运行程序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r>
                    <w:rPr>
                      <w:rFonts w:hint="eastAsia"/>
                      <w:color w:val="auto"/>
                      <w:szCs w:val="21"/>
                      <w:highlight w:val="none"/>
                      <w:lang w:eastAsia="zh-CN"/>
                    </w:rPr>
                    <w:sym w:font="Wingdings 2" w:char="0052"/>
                  </w:r>
                  <w:r>
                    <w:rPr>
                      <w:rFonts w:hint="eastAsia"/>
                      <w:color w:val="auto"/>
                      <w:highlight w:val="none"/>
                      <w:lang w:val="en-US" w:eastAsia="zh-CN"/>
                    </w:rPr>
                    <w:t>其他——每半年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内部审核；对内审不符合项进行分析</w:t>
                  </w:r>
                </w:p>
              </w:tc>
              <w:tc>
                <w:tcPr>
                  <w:tcW w:w="1848" w:type="dxa"/>
                  <w:vAlign w:val="top"/>
                </w:tcPr>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按年度内审计划</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GB/T45001-2020</w:t>
                  </w:r>
                </w:p>
                <w:p>
                  <w:pPr>
                    <w:rPr>
                      <w:rFonts w:hint="default"/>
                      <w:color w:val="auto"/>
                      <w:highlight w:val="none"/>
                      <w:vertAlign w:val="baseline"/>
                      <w:lang w:val="en-US" w:eastAsia="zh-CN"/>
                    </w:rPr>
                  </w:pPr>
                  <w:r>
                    <w:rPr>
                      <w:rFonts w:hint="eastAsia"/>
                      <w:color w:val="auto"/>
                      <w:highlight w:val="none"/>
                      <w:vertAlign w:val="baseline"/>
                      <w:lang w:val="en-US" w:eastAsia="zh-CN"/>
                    </w:rPr>
                    <w:t>内审程序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体系有效性</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管理评审，对OHS存在的需要问题进行分析</w:t>
                  </w:r>
                </w:p>
              </w:tc>
              <w:tc>
                <w:tcPr>
                  <w:tcW w:w="1848" w:type="dxa"/>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vAlign w:val="top"/>
                </w:tcPr>
                <w:p>
                  <w:pPr>
                    <w:rPr>
                      <w:rFonts w:hint="default"/>
                      <w:color w:val="auto"/>
                      <w:highlight w:val="none"/>
                      <w:vertAlign w:val="baseline"/>
                      <w:lang w:val="en-US" w:eastAsia="zh-CN"/>
                    </w:rPr>
                  </w:pPr>
                  <w:r>
                    <w:rPr>
                      <w:rFonts w:hint="eastAsia"/>
                      <w:color w:val="auto"/>
                      <w:highlight w:val="none"/>
                      <w:vertAlign w:val="baseline"/>
                      <w:lang w:val="en-US" w:eastAsia="zh-CN"/>
                    </w:rPr>
                    <w:t>GB/T45001-2020</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管理评审程序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相关方反馈</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反馈处理，对问题进行统计</w:t>
                  </w:r>
                </w:p>
              </w:tc>
              <w:tc>
                <w:tcPr>
                  <w:tcW w:w="1848" w:type="dxa"/>
                  <w:vAlign w:val="top"/>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随时</w:t>
                  </w:r>
                </w:p>
              </w:tc>
              <w:tc>
                <w:tcPr>
                  <w:tcW w:w="1887" w:type="dxa"/>
                  <w:vAlign w:val="top"/>
                </w:tcPr>
                <w:p>
                  <w:pPr>
                    <w:rPr>
                      <w:rFonts w:hint="eastAsia"/>
                      <w:lang w:val="en-US" w:eastAsia="zh-CN"/>
                    </w:rPr>
                  </w:pPr>
                  <w:r>
                    <w:rPr>
                      <w:rFonts w:hint="eastAsia"/>
                      <w:lang w:val="en-US" w:eastAsia="zh-CN"/>
                    </w:rPr>
                    <w:t>相关法规</w:t>
                  </w:r>
                </w:p>
                <w:p>
                  <w:pPr>
                    <w:pStyle w:val="2"/>
                    <w:ind w:left="0" w:leftChars="0" w:firstLine="0" w:firstLineChars="0"/>
                    <w:rPr>
                      <w:rFonts w:hint="default"/>
                      <w:lang w:val="en-US" w:eastAsia="zh-CN"/>
                    </w:rPr>
                  </w:pPr>
                  <w:r>
                    <w:rPr>
                      <w:rFonts w:hint="eastAsia" w:cs="Times New Roman"/>
                      <w:color w:val="auto"/>
                      <w:kern w:val="2"/>
                      <w:sz w:val="21"/>
                      <w:highlight w:val="none"/>
                      <w:vertAlign w:val="baseline"/>
                      <w:lang w:val="en-US" w:eastAsia="zh-CN" w:bidi="ar-SA"/>
                    </w:rPr>
                    <w:t>员工满意度调查</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bl>
          <w:p>
            <w:pPr>
              <w:rPr>
                <w:rFonts w:hint="default"/>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902" w:type="dxa"/>
            <w:vMerge w:val="restart"/>
            <w:shd w:val="clear" w:color="auto" w:fill="auto"/>
          </w:tcPr>
          <w:p>
            <w:pPr>
              <w:rPr>
                <w:highlight w:val="none"/>
              </w:rPr>
            </w:pPr>
            <w:r>
              <w:rPr>
                <w:rFonts w:hint="eastAsia"/>
                <w:highlight w:val="none"/>
              </w:rPr>
              <w:t>管理评审</w:t>
            </w:r>
          </w:p>
          <w:p>
            <w:pPr>
              <w:rPr>
                <w:highlight w:val="none"/>
              </w:rPr>
            </w:pPr>
          </w:p>
        </w:tc>
        <w:tc>
          <w:tcPr>
            <w:tcW w:w="1129" w:type="dxa"/>
            <w:vMerge w:val="restart"/>
            <w:shd w:val="clear" w:color="auto" w:fill="auto"/>
          </w:tcPr>
          <w:p>
            <w:pPr>
              <w:rPr>
                <w:rFonts w:hint="eastAsia"/>
                <w:highlight w:val="none"/>
              </w:rPr>
            </w:pPr>
            <w:r>
              <w:rPr>
                <w:rFonts w:hint="eastAsia"/>
                <w:highlight w:val="none"/>
              </w:rPr>
              <w:t>Q9.3</w:t>
            </w:r>
          </w:p>
          <w:p>
            <w:pPr>
              <w:pStyle w:val="16"/>
              <w:rPr>
                <w:rFonts w:hint="eastAsia"/>
                <w:highlight w:val="none"/>
                <w:lang w:val="en-US" w:eastAsia="zh-CN"/>
              </w:rPr>
            </w:pPr>
            <w:r>
              <w:rPr>
                <w:rFonts w:hint="eastAsia"/>
                <w:highlight w:val="none"/>
                <w:lang w:val="en-US" w:eastAsia="zh-CN"/>
              </w:rPr>
              <w:t>E9.3</w:t>
            </w:r>
          </w:p>
          <w:p>
            <w:pPr>
              <w:pStyle w:val="16"/>
              <w:rPr>
                <w:rFonts w:hint="eastAsia"/>
                <w:highlight w:val="none"/>
                <w:lang w:val="en-US" w:eastAsia="zh-CN"/>
              </w:rPr>
            </w:pPr>
            <w:r>
              <w:rPr>
                <w:rFonts w:hint="eastAsia"/>
                <w:highlight w:val="none"/>
                <w:lang w:val="en-US" w:eastAsia="zh-CN"/>
              </w:rPr>
              <w:t>O9.3</w:t>
            </w:r>
          </w:p>
          <w:p>
            <w:pPr>
              <w:rPr>
                <w:highlight w:val="none"/>
              </w:rPr>
            </w:pPr>
            <w:r>
              <w:rPr>
                <w:rFonts w:hint="eastAsia"/>
                <w:highlight w:val="none"/>
                <w:lang w:val="en-US" w:eastAsia="zh-CN"/>
              </w:rPr>
              <w:t>F9.3</w:t>
            </w: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ascii="宋体" w:hAnsi="宋体"/>
                <w:highlight w:val="none"/>
                <w:lang w:val="en-US" w:eastAsia="zh-CN"/>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lang w:val="en-US" w:eastAsia="zh-CN"/>
              </w:rPr>
              <w:t>手册9.3条款、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《管理评审控制程序》</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1902" w:type="dxa"/>
            <w:vMerge w:val="continue"/>
            <w:shd w:val="clear" w:color="auto" w:fill="auto"/>
          </w:tcPr>
          <w:p>
            <w:pPr>
              <w:rPr>
                <w:highlight w:val="none"/>
              </w:rPr>
            </w:pPr>
          </w:p>
        </w:tc>
        <w:tc>
          <w:tcPr>
            <w:tcW w:w="1129" w:type="dxa"/>
            <w:vMerge w:val="continue"/>
            <w:shd w:val="clear" w:color="auto" w:fill="auto"/>
          </w:tcPr>
          <w:p>
            <w:pPr>
              <w:rPr>
                <w:highlight w:val="none"/>
              </w:rPr>
            </w:pPr>
          </w:p>
        </w:tc>
        <w:tc>
          <w:tcPr>
            <w:tcW w:w="745" w:type="dxa"/>
            <w:shd w:val="clear" w:color="auto" w:fill="auto"/>
          </w:tcPr>
          <w:p>
            <w:pPr>
              <w:widowControl/>
              <w:spacing w:before="40"/>
              <w:jc w:val="left"/>
              <w:rPr>
                <w:color w:val="000000"/>
                <w:szCs w:val="18"/>
                <w:highlight w:val="none"/>
              </w:rPr>
            </w:pPr>
          </w:p>
          <w:p>
            <w:pPr>
              <w:rPr>
                <w:highlight w:val="none"/>
              </w:rPr>
            </w:pPr>
            <w:r>
              <w:rPr>
                <w:rFonts w:hint="eastAsia"/>
                <w:highlight w:val="none"/>
              </w:rPr>
              <w:t>运行证据</w:t>
            </w:r>
          </w:p>
        </w:tc>
        <w:tc>
          <w:tcPr>
            <w:tcW w:w="9260" w:type="dxa"/>
            <w:gridSpan w:val="2"/>
            <w:shd w:val="clear" w:color="auto" w:fill="auto"/>
          </w:tcPr>
          <w:p>
            <w:pPr>
              <w:widowControl/>
              <w:spacing w:before="40"/>
              <w:jc w:val="left"/>
              <w:rPr>
                <w:rFonts w:hint="eastAsia"/>
                <w:color w:val="000000"/>
                <w:szCs w:val="18"/>
                <w:highlight w:val="none"/>
              </w:rPr>
            </w:pPr>
            <w:r>
              <w:rPr>
                <w:rFonts w:hint="eastAsia"/>
                <w:color w:val="000000"/>
                <w:szCs w:val="18"/>
                <w:highlight w:val="none"/>
              </w:rPr>
              <w:t>自</w:t>
            </w:r>
            <w:r>
              <w:rPr>
                <w:highlight w:val="none"/>
              </w:rPr>
              <w:sym w:font="Wingdings" w:char="00FE"/>
            </w:r>
            <w:r>
              <w:rPr>
                <w:rFonts w:hint="eastAsia"/>
                <w:color w:val="000000"/>
                <w:szCs w:val="18"/>
                <w:highlight w:val="none"/>
              </w:rPr>
              <w:t>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1</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6</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21"/>
                <w:highlight w:val="none"/>
                <w:u w:val="single"/>
              </w:rPr>
            </w:pPr>
            <w:r>
              <w:rPr>
                <w:rFonts w:hint="eastAsia"/>
                <w:color w:val="000000"/>
                <w:szCs w:val="18"/>
                <w:highlight w:val="none"/>
                <w:u w:val="single"/>
              </w:rPr>
              <w:t>查看</w:t>
            </w:r>
            <w:r>
              <w:rPr>
                <w:rFonts w:ascii="宋体" w:hAnsi="宋体"/>
                <w:highlight w:val="none"/>
                <w:u w:val="single"/>
              </w:rPr>
              <w:fldChar w:fldCharType="begin"/>
            </w:r>
            <w:r>
              <w:rPr>
                <w:rFonts w:ascii="宋体" w:hAnsi="宋体"/>
                <w:highlight w:val="none"/>
                <w:u w:val="single"/>
              </w:rPr>
              <w:instrText xml:space="preserve"> </w:instrText>
            </w:r>
            <w:r>
              <w:rPr>
                <w:rFonts w:hint="eastAsia" w:ascii="宋体" w:hAnsi="宋体"/>
                <w:highlight w:val="none"/>
                <w:u w:val="single"/>
              </w:rPr>
              <w:instrText xml:space="preserve">eq \o\ac(□,√)</w:instrText>
            </w:r>
            <w:r>
              <w:rPr>
                <w:rFonts w:ascii="宋体" w:hAnsi="宋体"/>
                <w:highlight w:val="none"/>
                <w:u w:val="single"/>
              </w:rPr>
              <w:fldChar w:fldCharType="end"/>
            </w:r>
            <w:r>
              <w:rPr>
                <w:rFonts w:hint="eastAsia"/>
                <w:color w:val="000000"/>
                <w:szCs w:val="21"/>
                <w:highlight w:val="none"/>
                <w:u w:val="single"/>
              </w:rPr>
              <w:t xml:space="preserve">管理评审计划  </w:t>
            </w:r>
            <w:r>
              <w:rPr>
                <w:highlight w:val="none"/>
                <w:u w:val="single"/>
              </w:rPr>
              <w:sym w:font="Wingdings" w:char="00FE"/>
            </w:r>
            <w:r>
              <w:rPr>
                <w:rFonts w:hint="eastAsia"/>
                <w:color w:val="000000"/>
                <w:szCs w:val="21"/>
                <w:highlight w:val="none"/>
                <w:u w:val="single"/>
              </w:rPr>
              <w:t>管理评审记录（工作总结）</w:t>
            </w:r>
            <w:r>
              <w:rPr>
                <w:rFonts w:hint="eastAsia"/>
                <w:color w:val="000000"/>
                <w:szCs w:val="21"/>
                <w:highlight w:val="none"/>
                <w:u w:val="single"/>
                <w:lang w:eastAsia="zh-CN"/>
              </w:rPr>
              <w:t>【</w:t>
            </w:r>
            <w:r>
              <w:rPr>
                <w:rFonts w:hint="eastAsia"/>
                <w:color w:val="000000"/>
                <w:szCs w:val="21"/>
                <w:highlight w:val="none"/>
                <w:u w:val="single"/>
                <w:lang w:val="en-US" w:eastAsia="zh-CN"/>
              </w:rPr>
              <w:t>较为薄弱，询问体系初次导入，各部门汇报主要通过口头汇报为主，未保留记录，已与企业沟通</w:t>
            </w:r>
            <w:r>
              <w:rPr>
                <w:rFonts w:hint="eastAsia"/>
                <w:color w:val="000000"/>
                <w:szCs w:val="21"/>
                <w:highlight w:val="none"/>
                <w:u w:val="single"/>
                <w:lang w:eastAsia="zh-CN"/>
              </w:rPr>
              <w:t>】</w:t>
            </w:r>
            <w:r>
              <w:rPr>
                <w:rFonts w:hint="eastAsia"/>
                <w:color w:val="000000"/>
                <w:szCs w:val="21"/>
                <w:highlight w:val="none"/>
                <w:u w:val="single"/>
              </w:rPr>
              <w:t xml:space="preserve">  </w:t>
            </w:r>
            <w:r>
              <w:rPr>
                <w:rFonts w:ascii="宋体" w:hAnsi="宋体"/>
                <w:highlight w:val="none"/>
                <w:u w:val="single"/>
              </w:rPr>
              <w:fldChar w:fldCharType="begin"/>
            </w:r>
            <w:r>
              <w:rPr>
                <w:rFonts w:ascii="宋体" w:hAnsi="宋体"/>
                <w:highlight w:val="none"/>
                <w:u w:val="single"/>
              </w:rPr>
              <w:instrText xml:space="preserve"> </w:instrText>
            </w:r>
            <w:r>
              <w:rPr>
                <w:rFonts w:hint="eastAsia" w:ascii="宋体" w:hAnsi="宋体"/>
                <w:highlight w:val="none"/>
                <w:u w:val="single"/>
              </w:rPr>
              <w:instrText xml:space="preserve">eq \o\ac(□</w:instrText>
            </w:r>
            <w:r>
              <w:rPr>
                <w:rFonts w:hint="eastAsia" w:ascii="宋体" w:hAnsi="宋体"/>
                <w:highlight w:val="none"/>
                <w:u w:val="single"/>
                <w:lang w:eastAsia="zh-CN"/>
              </w:rPr>
              <w:instrText xml:space="preserve">,</w:instrText>
            </w:r>
            <w:r>
              <w:rPr>
                <w:rFonts w:hint="eastAsia" w:ascii="宋体" w:hAnsi="宋体"/>
                <w:position w:val="2"/>
                <w:sz w:val="13"/>
                <w:highlight w:val="none"/>
                <w:u w:val="single"/>
                <w:lang w:eastAsia="zh-CN"/>
              </w:rPr>
              <w:instrText xml:space="preserve">√</w:instrText>
            </w:r>
            <w:r>
              <w:rPr>
                <w:rFonts w:hint="eastAsia" w:ascii="宋体" w:hAnsi="宋体"/>
                <w:highlight w:val="none"/>
                <w:u w:val="single"/>
              </w:rPr>
              <w:instrText xml:space="preserve">)</w:instrText>
            </w:r>
            <w:r>
              <w:rPr>
                <w:rFonts w:ascii="宋体" w:hAnsi="宋体"/>
                <w:highlight w:val="none"/>
                <w:u w:val="single"/>
              </w:rPr>
              <w:fldChar w:fldCharType="end"/>
            </w:r>
            <w:r>
              <w:rPr>
                <w:rFonts w:hint="eastAsia"/>
                <w:color w:val="000000"/>
                <w:szCs w:val="21"/>
                <w:highlight w:val="none"/>
                <w:u w:val="single"/>
              </w:rPr>
              <w:t xml:space="preserve">管理评审纪要  </w:t>
            </w:r>
            <w:r>
              <w:rPr>
                <w:rFonts w:ascii="宋体" w:hAnsi="宋体"/>
                <w:highlight w:val="none"/>
                <w:u w:val="single"/>
              </w:rPr>
              <w:fldChar w:fldCharType="begin"/>
            </w:r>
            <w:r>
              <w:rPr>
                <w:rFonts w:ascii="宋体" w:hAnsi="宋体"/>
                <w:highlight w:val="none"/>
                <w:u w:val="single"/>
              </w:rPr>
              <w:instrText xml:space="preserve"> </w:instrText>
            </w:r>
            <w:r>
              <w:rPr>
                <w:rFonts w:hint="eastAsia" w:ascii="宋体" w:hAnsi="宋体"/>
                <w:highlight w:val="none"/>
                <w:u w:val="single"/>
              </w:rPr>
              <w:instrText xml:space="preserve">eq \o\ac(□,√)</w:instrText>
            </w:r>
            <w:r>
              <w:rPr>
                <w:rFonts w:ascii="宋体" w:hAnsi="宋体"/>
                <w:highlight w:val="none"/>
                <w:u w:val="single"/>
              </w:rPr>
              <w:fldChar w:fldCharType="end"/>
            </w:r>
            <w:r>
              <w:rPr>
                <w:rFonts w:hint="eastAsia"/>
                <w:color w:val="000000"/>
                <w:szCs w:val="21"/>
                <w:highlight w:val="none"/>
                <w:u w:val="single"/>
              </w:rPr>
              <w:t>管理评审报告</w:t>
            </w:r>
          </w:p>
          <w:p>
            <w:pPr>
              <w:pStyle w:val="16"/>
              <w:rPr>
                <w:highlight w:val="yellow"/>
              </w:rPr>
            </w:pPr>
          </w:p>
          <w:tbl>
            <w:tblPr>
              <w:tblStyle w:val="13"/>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5"/>
              <w:gridCol w:w="1936"/>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vAlign w:val="top"/>
                </w:tcPr>
                <w:p>
                  <w:pPr>
                    <w:widowControl/>
                    <w:spacing w:before="40"/>
                    <w:jc w:val="left"/>
                    <w:rPr>
                      <w:color w:val="000000"/>
                      <w:szCs w:val="21"/>
                      <w:highlight w:val="none"/>
                    </w:rPr>
                  </w:pPr>
                  <w:r>
                    <w:rPr>
                      <w:rFonts w:hint="eastAsia"/>
                      <w:color w:val="000000"/>
                      <w:szCs w:val="21"/>
                      <w:highlight w:val="none"/>
                    </w:rPr>
                    <w:t>评价</w:t>
                  </w:r>
                </w:p>
              </w:tc>
              <w:tc>
                <w:tcPr>
                  <w:tcW w:w="3370" w:type="dxa"/>
                  <w:vAlign w:val="top"/>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highlight w:val="none"/>
                    </w:rPr>
                    <w:sym w:font="Wingdings" w:char="00A8"/>
                  </w:r>
                  <w:r>
                    <w:rPr>
                      <w:rFonts w:hint="eastAsia"/>
                      <w:highlight w:val="none"/>
                    </w:rPr>
                    <w:t>以往管理评审所采取措施的情况；</w:t>
                  </w:r>
                </w:p>
              </w:tc>
              <w:tc>
                <w:tcPr>
                  <w:tcW w:w="1936" w:type="dxa"/>
                  <w:vAlign w:val="top"/>
                </w:tcPr>
                <w:p>
                  <w:pPr>
                    <w:widowControl/>
                    <w:spacing w:before="40"/>
                    <w:jc w:val="left"/>
                    <w:rPr>
                      <w:color w:val="000000"/>
                      <w:szCs w:val="21"/>
                      <w:highlight w:val="none"/>
                    </w:rPr>
                  </w:pPr>
                  <w:r>
                    <w:rPr>
                      <w:rFonts w:hint="eastAsia"/>
                      <w:color w:val="000000"/>
                      <w:szCs w:val="21"/>
                      <w:highlight w:val="none"/>
                    </w:rPr>
                    <w:sym w:font="Wingdings 2" w:char="00A3"/>
                  </w: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首次建立体系，不涉及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hint="default"/>
                      <w:color w:val="000000"/>
                      <w:szCs w:val="21"/>
                      <w:highlight w:val="none"/>
                      <w:lang w:val="en-US" w:eastAsia="zh-CN"/>
                    </w:rPr>
                  </w:pPr>
                  <w:r>
                    <w:rPr>
                      <w:rFonts w:hint="eastAsia"/>
                      <w:color w:val="000000"/>
                      <w:szCs w:val="21"/>
                      <w:highlight w:val="none"/>
                      <w:lang w:val="en-US" w:eastAsia="zh-CN"/>
                    </w:rPr>
                    <w:t>FSMS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1936"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sym w:font="Wingdings" w:char="00FE"/>
                  </w:r>
                  <w:r>
                    <w:rPr>
                      <w:rFonts w:hint="eastAsia"/>
                      <w:highlight w:val="none"/>
                    </w:rPr>
                    <w:t xml:space="preserve"> </w:t>
                  </w:r>
                  <w:r>
                    <w:rPr>
                      <w:color w:val="000000"/>
                      <w:szCs w:val="21"/>
                      <w:highlight w:val="none"/>
                    </w:rPr>
                    <w:t>组织所处形势的变化</w:t>
                  </w:r>
                  <w:r>
                    <w:rPr>
                      <w:rFonts w:hint="eastAsia"/>
                      <w:highlight w:val="none"/>
                    </w:rPr>
                    <w:t>；</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sym w:font="Wingdings 2" w:char="0052"/>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发生的紧急情况、事故或撤回；</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未发生紧急情况，已进行演练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与食品安全管理体系有关的内部和外部因素变化，包括顾客和顾客投诉；</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食品安全绩效和食品安全管理体系不符合和纠正措施</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rFonts w:hint="eastAsia"/>
                      <w:highlight w:val="none"/>
                    </w:rPr>
                    <w:t>监视和测量结果及趋势</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审核结果（内部和外部）包括执法检查结果</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与PRP、OPRP计划和HACCP计划有关的验证活动结果的分析</w:t>
                  </w:r>
                </w:p>
              </w:tc>
              <w:tc>
                <w:tcPr>
                  <w:tcW w:w="1936" w:type="dxa"/>
                  <w:vAlign w:val="top"/>
                </w:tcPr>
                <w:p>
                  <w:pPr>
                    <w:widowControl/>
                    <w:spacing w:before="40"/>
                    <w:jc w:val="left"/>
                    <w:rPr>
                      <w:color w:val="000000"/>
                      <w:szCs w:val="21"/>
                      <w:highlight w:val="none"/>
                    </w:rPr>
                  </w:pPr>
                  <w:r>
                    <w:rPr>
                      <w:rFonts w:hint="eastAsia"/>
                      <w:color w:val="000000"/>
                      <w:szCs w:val="21"/>
                      <w:highlight w:val="none"/>
                      <w:lang w:eastAsia="zh-CN"/>
                    </w:rPr>
                    <w:sym w:font="Wingdings 2" w:char="0052"/>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vAlign w:val="top"/>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实现食品安全管理体系目标的程度</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外部供方绩效</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体系更新活动的评审结果</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不需更新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顾客反馈的沟通活动</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紧急情况、事故或撤回</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持续改进的机会</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rFonts w:hint="eastAsia"/>
                      <w:highlight w:val="none"/>
                    </w:rPr>
                    <w:t>资源的充分性</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HACCP体系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rPr>
                    <w:t>HACCP体系验证结果；</w:t>
                  </w:r>
                </w:p>
              </w:tc>
              <w:tc>
                <w:tcPr>
                  <w:tcW w:w="1936" w:type="dxa"/>
                  <w:vAlign w:val="top"/>
                </w:tcPr>
                <w:p>
                  <w:pPr>
                    <w:widowControl/>
                    <w:shd w:val="clear"/>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rPr>
                    <w:sym w:font="Wingdings 2" w:char="0052"/>
                  </w:r>
                  <w:r>
                    <w:rPr>
                      <w:rFonts w:hint="eastAsia"/>
                      <w:highlight w:val="none"/>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rPr>
                    <w:t>可能影响食品安全的变化因素；</w:t>
                  </w:r>
                </w:p>
              </w:tc>
              <w:tc>
                <w:tcPr>
                  <w:tcW w:w="1936" w:type="dxa"/>
                  <w:vAlign w:val="top"/>
                </w:tcPr>
                <w:p>
                  <w:pPr>
                    <w:widowControl/>
                    <w:shd w:val="clear"/>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rPr>
                    <w:sym w:font="Wingdings 2" w:char="0052"/>
                  </w:r>
                  <w:r>
                    <w:rPr>
                      <w:rFonts w:hint="eastAsia"/>
                      <w:highlight w:val="none"/>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rPr>
                    <w:t>紧急情况、食品安全事故和召回；</w:t>
                  </w:r>
                </w:p>
              </w:tc>
              <w:tc>
                <w:tcPr>
                  <w:tcW w:w="1936" w:type="dxa"/>
                  <w:vAlign w:val="top"/>
                </w:tcPr>
                <w:p>
                  <w:pPr>
                    <w:widowControl/>
                    <w:shd w:val="clear"/>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rPr>
                    <w:sym w:font="Wingdings 2" w:char="0052"/>
                  </w:r>
                  <w:r>
                    <w:rPr>
                      <w:rFonts w:hint="eastAsia"/>
                      <w:highlight w:val="none"/>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shd w:val="clear"/>
                    <w:rPr>
                      <w:rFonts w:hint="eastAsia" w:ascii="Times New Roman" w:hAnsi="Times New Roman" w:eastAsia="宋体" w:cs="Times New Roman"/>
                      <w:kern w:val="2"/>
                      <w:sz w:val="21"/>
                      <w:highlight w:val="none"/>
                      <w:lang w:val="en-US" w:eastAsia="zh-CN" w:bidi="ar-SA"/>
                    </w:rPr>
                  </w:pPr>
                  <w:r>
                    <w:rPr>
                      <w:rFonts w:hint="eastAsia"/>
                      <w:highlight w:val="none"/>
                    </w:rPr>
                    <w:t>包括顾客反馈的沟通活动的评审；</w:t>
                  </w:r>
                </w:p>
              </w:tc>
              <w:tc>
                <w:tcPr>
                  <w:tcW w:w="1936" w:type="dxa"/>
                  <w:vAlign w:val="top"/>
                </w:tcPr>
                <w:p>
                  <w:pPr>
                    <w:widowControl/>
                    <w:shd w:val="clear"/>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rPr>
                    <w:sym w:font="Wingdings 2" w:char="0052"/>
                  </w:r>
                  <w:r>
                    <w:rPr>
                      <w:rFonts w:hint="eastAsia"/>
                      <w:highlight w:val="none"/>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暂无顾客要求有关的产品的改进、过程的改进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rPr>
                    <w:t>外部审核或检验结果；</w:t>
                  </w:r>
                </w:p>
              </w:tc>
              <w:tc>
                <w:tcPr>
                  <w:tcW w:w="1936" w:type="dxa"/>
                  <w:vAlign w:val="top"/>
                </w:tcPr>
                <w:p>
                  <w:pPr>
                    <w:widowControl/>
                    <w:shd w:val="clear"/>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rPr>
                    <w:sym w:font="Wingdings 2" w:char="0052"/>
                  </w:r>
                  <w:r>
                    <w:rPr>
                      <w:rFonts w:hint="eastAsia"/>
                      <w:highlight w:val="none"/>
                    </w:rPr>
                    <w:t>符合 □不符合</w:t>
                  </w:r>
                </w:p>
              </w:tc>
              <w:tc>
                <w:tcPr>
                  <w:tcW w:w="3370" w:type="dxa"/>
                  <w:vAlign w:val="top"/>
                </w:tcPr>
                <w:p>
                  <w:pPr>
                    <w:widowControl/>
                    <w:shd w:val="clear"/>
                    <w:spacing w:before="40"/>
                    <w:jc w:val="left"/>
                    <w:rPr>
                      <w:rFonts w:hint="default"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hd w:val="clear"/>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rPr>
                    <w:t>合规义务的评价结果。</w:t>
                  </w:r>
                </w:p>
              </w:tc>
              <w:tc>
                <w:tcPr>
                  <w:tcW w:w="1936" w:type="dxa"/>
                  <w:vAlign w:val="top"/>
                </w:tcPr>
                <w:p>
                  <w:pPr>
                    <w:widowControl/>
                    <w:shd w:val="clear"/>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rPr>
                    <w:sym w:font="Wingdings 2" w:char="0052"/>
                  </w:r>
                  <w:r>
                    <w:rPr>
                      <w:rFonts w:hint="eastAsia"/>
                      <w:highlight w:val="none"/>
                    </w:rPr>
                    <w:t>符合 □不符合</w:t>
                  </w:r>
                </w:p>
              </w:tc>
              <w:tc>
                <w:tcPr>
                  <w:tcW w:w="3370" w:type="dxa"/>
                  <w:vAlign w:val="top"/>
                </w:tcPr>
                <w:p>
                  <w:pPr>
                    <w:widowControl/>
                    <w:shd w:val="clear"/>
                    <w:spacing w:before="40"/>
                    <w:jc w:val="left"/>
                    <w:rPr>
                      <w:rFonts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cs="Times New Roman"/>
                      <w:kern w:val="2"/>
                      <w:sz w:val="21"/>
                      <w:highlight w:val="none"/>
                      <w:lang w:val="en-US" w:eastAsia="zh-CN" w:bidi="ar-SA"/>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tcPr>
                <w:p>
                  <w:pPr>
                    <w:widowControl/>
                    <w:spacing w:before="40"/>
                    <w:jc w:val="left"/>
                    <w:rPr>
                      <w:color w:val="000000"/>
                      <w:szCs w:val="21"/>
                      <w:highlight w:val="none"/>
                    </w:rPr>
                  </w:pPr>
                  <w:r>
                    <w:rPr>
                      <w:rFonts w:hint="eastAsia"/>
                      <w:color w:val="000000"/>
                      <w:szCs w:val="21"/>
                      <w:highlight w:val="none"/>
                    </w:rPr>
                    <w:t>评价</w:t>
                  </w:r>
                </w:p>
              </w:tc>
              <w:tc>
                <w:tcPr>
                  <w:tcW w:w="3370"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与质量管理体系相关的内外部因素的变化；</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顾客满意和有关相关方的反馈及趋势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质量目标的实现程度及趋势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过程绩效以及产品和服务的合格情况及趋势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不合格及纠正措施及趋势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监视和测量结果及趋势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内审、外部审核结果及趋势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管评分析了内审的结果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外部供方的绩效及趋势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资源的充分性；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应对风险和机遇所采取措施的有效性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highlight w:val="none"/>
                    </w:rPr>
                  </w:pPr>
                  <w:r>
                    <w:rPr>
                      <w:rFonts w:hint="eastAsia"/>
                      <w:highlight w:val="none"/>
                    </w:rPr>
                    <w:t>改进的机会</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shd w:val="clear" w:color="auto" w:fill="F1F1F1" w:themeFill="background1" w:themeFillShade="F2"/>
                  <w:vAlign w:val="top"/>
                </w:tcPr>
                <w:p>
                  <w:pPr>
                    <w:widowControl/>
                    <w:spacing w:before="40"/>
                    <w:jc w:val="left"/>
                    <w:rPr>
                      <w:color w:val="000000"/>
                      <w:szCs w:val="21"/>
                      <w:highlight w:val="none"/>
                    </w:rPr>
                  </w:pPr>
                  <w:r>
                    <w:rPr>
                      <w:rFonts w:hint="eastAsia" w:ascii="Times New Roman" w:hAnsi="Times New Roman" w:cs="Times New Roman"/>
                      <w:color w:val="000000"/>
                      <w:kern w:val="2"/>
                      <w:sz w:val="21"/>
                      <w:szCs w:val="21"/>
                      <w:highlight w:val="none"/>
                      <w:lang w:val="en-US" w:eastAsia="zh-CN" w:bidi="ar-SA"/>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t>☑</w:t>
                  </w:r>
                  <w:r>
                    <w:rPr>
                      <w:color w:val="000000"/>
                      <w:szCs w:val="21"/>
                      <w:highlight w:val="none"/>
                    </w:rPr>
                    <w:t>为应对风险和机遇所采取措施的有效性</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☑符合 □不符合</w:t>
                  </w:r>
                </w:p>
              </w:tc>
              <w:tc>
                <w:tcPr>
                  <w:tcW w:w="0" w:type="auto"/>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与</w:t>
                  </w:r>
                  <w:r>
                    <w:rPr>
                      <w:rFonts w:hint="eastAsia"/>
                      <w:highlight w:val="none"/>
                      <w:lang w:val="en-US" w:eastAsia="zh-CN"/>
                    </w:rPr>
                    <w:t>环境</w:t>
                  </w:r>
                  <w:r>
                    <w:rPr>
                      <w:rFonts w:hint="eastAsia"/>
                      <w:highlight w:val="none"/>
                    </w:rPr>
                    <w:t>管理体系相关的内外部</w:t>
                  </w:r>
                  <w:r>
                    <w:rPr>
                      <w:rFonts w:hint="eastAsia"/>
                      <w:highlight w:val="none"/>
                      <w:lang w:val="en-US" w:eastAsia="zh-CN"/>
                    </w:rPr>
                    <w:t>问题</w:t>
                  </w:r>
                  <w:r>
                    <w:rPr>
                      <w:rFonts w:hint="eastAsia"/>
                      <w:highlight w:val="none"/>
                    </w:rPr>
                    <w:t>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相关方的</w:t>
                  </w:r>
                  <w:r>
                    <w:rPr>
                      <w:rFonts w:hint="eastAsia"/>
                      <w:highlight w:val="none"/>
                      <w:lang w:eastAsia="zh-CN"/>
                    </w:rPr>
                    <w:t>需求和</w:t>
                  </w:r>
                  <w:r>
                    <w:rPr>
                      <w:rFonts w:hint="eastAsia"/>
                      <w:highlight w:val="none"/>
                      <w:lang w:val="en-US" w:eastAsia="zh-CN"/>
                    </w:rPr>
                    <w:t>期</w:t>
                  </w:r>
                  <w:r>
                    <w:rPr>
                      <w:rFonts w:hint="eastAsia"/>
                      <w:highlight w:val="none"/>
                      <w:lang w:eastAsia="zh-CN"/>
                    </w:rPr>
                    <w:t>望（包括合规义务）的变化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重要环境因素的变化</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风险和机遇的变化</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环境目标的实现程度</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总目标已完成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不</w:t>
                  </w:r>
                  <w:r>
                    <w:rPr>
                      <w:rFonts w:hint="eastAsia"/>
                      <w:highlight w:val="none"/>
                      <w:lang w:val="en-US" w:eastAsia="zh-CN"/>
                    </w:rPr>
                    <w:t>符合</w:t>
                  </w:r>
                  <w:r>
                    <w:rPr>
                      <w:rFonts w:hint="eastAsia"/>
                      <w:highlight w:val="none"/>
                    </w:rPr>
                    <w:t>及纠正措施</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监视和测量结果</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合规义务的履行情况的趋势</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合规性评价无违规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内审、外部</w:t>
                  </w:r>
                  <w:r>
                    <w:rPr>
                      <w:rFonts w:hint="eastAsia"/>
                      <w:highlight w:val="none"/>
                    </w:rPr>
                    <w:t>审核结果</w:t>
                  </w:r>
                  <w:r>
                    <w:rPr>
                      <w:rFonts w:hint="eastAsia"/>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资源的充分性；</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可以达到运行要求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来自相关方的有关信息交流，包括抱怨</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环保无投诉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rPr>
                    <w:t>改进的机会</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F1F1F1" w:themeFill="background1" w:themeFillShade="F2"/>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OHSMS</w:t>
                  </w:r>
                </w:p>
              </w:tc>
              <w:tc>
                <w:tcPr>
                  <w:tcW w:w="0" w:type="auto"/>
                  <w:shd w:val="clear" w:color="auto" w:fill="F1F1F1" w:themeFill="background1" w:themeFillShade="F2"/>
                </w:tcPr>
                <w:p>
                  <w:pPr>
                    <w:widowControl/>
                    <w:spacing w:before="40"/>
                    <w:jc w:val="left"/>
                    <w:rPr>
                      <w:rFonts w:ascii="宋体" w:hAnsi="宋体"/>
                      <w:highlight w:val="none"/>
                    </w:rPr>
                  </w:pPr>
                </w:p>
              </w:tc>
              <w:tc>
                <w:tcPr>
                  <w:tcW w:w="0" w:type="auto"/>
                  <w:shd w:val="clear" w:color="auto" w:fill="F1F1F1" w:themeFill="background1" w:themeFillShade="F2"/>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t>管理评审输入信息</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评价</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与</w:t>
                  </w:r>
                  <w:r>
                    <w:rPr>
                      <w:rFonts w:hint="eastAsia"/>
                      <w:color w:val="auto"/>
                      <w:highlight w:val="none"/>
                      <w:lang w:val="en-US" w:eastAsia="zh-CN"/>
                    </w:rPr>
                    <w:t>职业健康安全</w:t>
                  </w:r>
                  <w:r>
                    <w:rPr>
                      <w:rFonts w:hint="eastAsia"/>
                      <w:color w:val="auto"/>
                      <w:highlight w:val="none"/>
                    </w:rPr>
                    <w:t>管理体系相关的内外部</w:t>
                  </w:r>
                  <w:r>
                    <w:rPr>
                      <w:rFonts w:hint="eastAsia"/>
                      <w:color w:val="auto"/>
                      <w:highlight w:val="none"/>
                      <w:lang w:val="en-US" w:eastAsia="zh-CN"/>
                    </w:rPr>
                    <w:t>议题</w:t>
                  </w:r>
                  <w:r>
                    <w:rPr>
                      <w:rFonts w:hint="eastAsia"/>
                      <w:color w:val="auto"/>
                      <w:highlight w:val="none"/>
                    </w:rPr>
                    <w:t>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相关方的</w:t>
                  </w:r>
                  <w:r>
                    <w:rPr>
                      <w:rFonts w:hint="eastAsia"/>
                      <w:color w:val="auto"/>
                      <w:highlight w:val="none"/>
                      <w:lang w:eastAsia="zh-CN"/>
                    </w:rPr>
                    <w:t>需求和</w:t>
                  </w:r>
                  <w:r>
                    <w:rPr>
                      <w:rFonts w:hint="eastAsia"/>
                      <w:color w:val="auto"/>
                      <w:highlight w:val="none"/>
                      <w:lang w:val="en-US" w:eastAsia="zh-CN"/>
                    </w:rPr>
                    <w:t>期</w:t>
                  </w:r>
                  <w:r>
                    <w:rPr>
                      <w:rFonts w:hint="eastAsia"/>
                      <w:color w:val="auto"/>
                      <w:highlight w:val="none"/>
                      <w:lang w:eastAsia="zh-CN"/>
                    </w:rPr>
                    <w:t>望的变化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法律法规和其他要求</w:t>
                  </w:r>
                  <w:r>
                    <w:rPr>
                      <w:rFonts w:hint="eastAsia"/>
                      <w:color w:val="auto"/>
                      <w:highlight w:val="none"/>
                      <w:lang w:eastAsia="zh-CN"/>
                    </w:rPr>
                    <w:t>的变化</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已进行更新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风险和机遇的变化</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ind w:firstLine="252" w:firstLineChars="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 xml:space="preserve">无明显变化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职业健康安全</w:t>
                  </w:r>
                  <w:r>
                    <w:rPr>
                      <w:rFonts w:hint="eastAsia"/>
                      <w:color w:val="auto"/>
                      <w:highlight w:val="none"/>
                      <w:lang w:eastAsia="zh-CN"/>
                    </w:rPr>
                    <w:t>目标的实现程度</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事件、不符合、纠正措施和持续改进</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监视和测量结果</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对法律法规要求和其他要求的合规性评价的结果</w:t>
                  </w:r>
                  <w:r>
                    <w:rPr>
                      <w:rFonts w:hint="eastAsia"/>
                      <w:color w:val="auto"/>
                      <w:highlight w:val="none"/>
                      <w:lang w:eastAsia="zh-CN"/>
                    </w:rPr>
                    <w:t>的趋势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val="en-US" w:eastAsia="zh-CN"/>
                    </w:rPr>
                    <w:t>内审、外部</w:t>
                  </w:r>
                  <w:r>
                    <w:rPr>
                      <w:rFonts w:hint="eastAsia"/>
                      <w:color w:val="auto"/>
                      <w:highlight w:val="none"/>
                    </w:rPr>
                    <w:t>审核结果</w:t>
                  </w:r>
                  <w:r>
                    <w:rPr>
                      <w:rFonts w:hint="eastAsia"/>
                      <w:color w:val="auto"/>
                      <w:highlight w:val="none"/>
                      <w:lang w:val="en-US" w:eastAsia="zh-CN"/>
                    </w:rPr>
                    <w:t>及趋势</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内审结果已输入管理评审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工作人员的协商和参与</w:t>
                  </w:r>
                  <w:r>
                    <w:rPr>
                      <w:rFonts w:hint="eastAsia"/>
                      <w:color w:val="auto"/>
                      <w:highlight w:val="none"/>
                      <w:lang w:val="en-US" w:eastAsia="zh-CN"/>
                    </w:rPr>
                    <w:t>及趋势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eastAsia="宋体" w:cs="Times New Roman"/>
                      <w:color w:val="auto"/>
                      <w:kern w:val="2"/>
                      <w:sz w:val="21"/>
                      <w:szCs w:val="21"/>
                      <w:highlight w:val="none"/>
                      <w:vertAlign w:val="baseline"/>
                      <w:lang w:val="en-US" w:eastAsia="zh-CN" w:bidi="ar-SA"/>
                    </w:rPr>
                    <w:t>未见内容，已现场沟通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风险和机遇及趋势</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保持有效的职业健康安全管理体系所需资源</w:t>
                  </w:r>
                  <w:r>
                    <w:rPr>
                      <w:color w:val="auto"/>
                      <w:highlight w:val="none"/>
                    </w:rPr>
                    <w:t>的</w:t>
                  </w:r>
                  <w:r>
                    <w:rPr>
                      <w:rFonts w:hint="eastAsia"/>
                      <w:color w:val="auto"/>
                      <w:highlight w:val="none"/>
                    </w:rPr>
                    <w:t>充分性；</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与相关方的有关沟通</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kern w:val="2"/>
                      <w:sz w:val="21"/>
                      <w:szCs w:val="21"/>
                      <w:highlight w:val="none"/>
                      <w:vertAlign w:val="baseline"/>
                      <w:lang w:val="en-US" w:eastAsia="zh-CN" w:bidi="ar-SA"/>
                    </w:rPr>
                    <w:t>主要是相关方告知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持续</w:t>
                  </w:r>
                  <w:r>
                    <w:rPr>
                      <w:rFonts w:hint="eastAsia"/>
                      <w:color w:val="auto"/>
                      <w:highlight w:val="none"/>
                    </w:rPr>
                    <w:t>改进的机会</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sym w:font="Wingdings 2" w:char="0052"/>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0" w:type="auto"/>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bl>
          <w:p>
            <w:pPr>
              <w:widowControl/>
              <w:spacing w:before="40"/>
              <w:jc w:val="left"/>
              <w:rPr>
                <w:color w:val="000000"/>
                <w:szCs w:val="21"/>
                <w:highlight w:val="yellow"/>
              </w:rPr>
            </w:pPr>
          </w:p>
          <w:p>
            <w:pPr>
              <w:shd w:val="clear"/>
              <w:rPr>
                <w:rFonts w:hint="eastAsia"/>
                <w:highlight w:val="none"/>
                <w:u w:val="single"/>
              </w:rPr>
            </w:pPr>
            <w:r>
              <w:rPr>
                <w:rFonts w:hint="eastAsia"/>
                <w:highlight w:val="none"/>
                <w:u w:val="single"/>
              </w:rPr>
              <w:t>提交给最高管理者的信息的形式，应能使其理解所含信息与已声明的HACCP体系目标之间的关系。</w:t>
            </w:r>
          </w:p>
          <w:p>
            <w:pPr>
              <w:pStyle w:val="16"/>
              <w:rPr>
                <w:rFonts w:hint="eastAsia"/>
                <w:highlight w:val="none"/>
                <w:u w:val="single"/>
                <w:lang w:val="en-US" w:eastAsia="zh-CN"/>
              </w:rPr>
            </w:pPr>
            <w:r>
              <w:rPr>
                <w:rFonts w:hint="eastAsia"/>
                <w:highlight w:val="none"/>
                <w:u w:val="single"/>
                <w:lang w:val="en-US" w:eastAsia="zh-CN"/>
              </w:rPr>
              <w:t>经询问，基本符合要求。</w:t>
            </w:r>
          </w:p>
          <w:p>
            <w:pPr>
              <w:pStyle w:val="16"/>
              <w:rPr>
                <w:rFonts w:hint="eastAsia"/>
                <w:highlight w:val="none"/>
                <w:lang w:val="en-US" w:eastAsia="zh-CN"/>
              </w:rPr>
            </w:pPr>
          </w:p>
          <w:p>
            <w:pPr>
              <w:widowControl/>
              <w:spacing w:before="40"/>
              <w:jc w:val="left"/>
              <w:rPr>
                <w:rFonts w:hint="eastAsia"/>
                <w:highlight w:val="none"/>
                <w:u w:val="single"/>
              </w:rPr>
            </w:pPr>
            <w:r>
              <w:rPr>
                <w:rFonts w:hint="eastAsia"/>
                <w:color w:val="000000"/>
                <w:szCs w:val="21"/>
                <w:highlight w:val="none"/>
              </w:rPr>
              <w:t>对</w:t>
            </w:r>
            <w:r>
              <w:rPr>
                <w:rFonts w:hint="eastAsia"/>
                <w:color w:val="000000"/>
                <w:szCs w:val="21"/>
                <w:highlight w:val="none"/>
                <w:lang w:val="en-US" w:eastAsia="zh-CN"/>
              </w:rPr>
              <w:t>质量管理体系/</w:t>
            </w:r>
            <w:r>
              <w:rPr>
                <w:rFonts w:hint="eastAsia"/>
                <w:color w:val="000000"/>
                <w:szCs w:val="21"/>
                <w:highlight w:val="none"/>
              </w:rPr>
              <w:t>食品安全管理体系</w:t>
            </w:r>
            <w:r>
              <w:rPr>
                <w:rFonts w:hint="eastAsia"/>
                <w:color w:val="000000"/>
                <w:szCs w:val="21"/>
                <w:highlight w:val="none"/>
                <w:lang w:val="en-US" w:eastAsia="zh-CN"/>
              </w:rPr>
              <w:t>/</w:t>
            </w:r>
            <w:r>
              <w:rPr>
                <w:rFonts w:hint="eastAsia"/>
                <w:highlight w:val="none"/>
                <w:lang w:val="en-US" w:eastAsia="zh-CN"/>
              </w:rPr>
              <w:t>环境管理体系/职业健康安全管理体系/HACCP体系</w:t>
            </w:r>
            <w:r>
              <w:rPr>
                <w:rFonts w:hint="eastAsia"/>
                <w:color w:val="000000"/>
                <w:szCs w:val="21"/>
                <w:highlight w:val="none"/>
              </w:rPr>
              <w:t>的持续适宜性，充分性，有效性的结论。</w:t>
            </w:r>
            <w:r>
              <w:rPr>
                <w:rFonts w:hint="eastAsia"/>
                <w:color w:val="000000"/>
                <w:szCs w:val="21"/>
                <w:highlight w:val="none"/>
              </w:rPr>
              <w:sym w:font="Wingdings 2" w:char="0052"/>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p>
            <w:pPr>
              <w:pStyle w:val="16"/>
              <w:rPr>
                <w:rFonts w:hint="eastAsia"/>
                <w:highlight w:val="yellow"/>
                <w:lang w:val="en-US" w:eastAsia="zh-CN"/>
              </w:rPr>
            </w:pPr>
          </w:p>
          <w:p>
            <w:pPr>
              <w:pStyle w:val="16"/>
              <w:rPr>
                <w:rFonts w:hint="default" w:eastAsia="宋体"/>
                <w:highlight w:val="none"/>
                <w:lang w:val="en-US" w:eastAsia="zh-CN"/>
              </w:rPr>
            </w:pPr>
            <w:r>
              <w:rPr>
                <w:rFonts w:hint="eastAsia"/>
                <w:highlight w:val="none"/>
                <w:lang w:val="en-US" w:eastAsia="zh-CN"/>
              </w:rPr>
              <w:t>抽查管理评审输出情况：</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FSMS</w:t>
                  </w:r>
                </w:p>
              </w:tc>
              <w:tc>
                <w:tcPr>
                  <w:tcW w:w="3695" w:type="dxa"/>
                </w:tcPr>
                <w:p>
                  <w:pPr>
                    <w:widowControl/>
                    <w:spacing w:before="40"/>
                    <w:jc w:val="left"/>
                    <w:rPr>
                      <w:rFonts w:hint="eastAsia"/>
                      <w:color w:val="000000"/>
                      <w:szCs w:val="21"/>
                      <w:highlight w:val="none"/>
                    </w:rPr>
                  </w:pPr>
                </w:p>
              </w:tc>
              <w:tc>
                <w:tcPr>
                  <w:tcW w:w="2496" w:type="dxa"/>
                </w:tcPr>
                <w:p>
                  <w:pPr>
                    <w:widowControl/>
                    <w:spacing w:before="40"/>
                    <w:jc w:val="left"/>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与持续改进机会相关的决策</w:t>
                  </w:r>
                </w:p>
              </w:tc>
              <w:tc>
                <w:tcPr>
                  <w:tcW w:w="3695" w:type="dxa"/>
                </w:tcPr>
                <w:p>
                  <w:pPr>
                    <w:pStyle w:val="3"/>
                    <w:numPr>
                      <w:ilvl w:val="0"/>
                      <w:numId w:val="0"/>
                    </w:numPr>
                    <w:spacing w:line="360" w:lineRule="auto"/>
                    <w:ind w:leftChars="0"/>
                    <w:rPr>
                      <w:rFonts w:hint="default" w:eastAsia="宋体"/>
                      <w:color w:val="000000"/>
                      <w:szCs w:val="21"/>
                      <w:highlight w:val="none"/>
                      <w:lang w:val="en-US" w:eastAsia="zh-CN"/>
                    </w:rPr>
                  </w:pPr>
                  <w:r>
                    <w:rPr>
                      <w:rFonts w:hint="eastAsia" w:ascii="Times New Roman"/>
                      <w:highlight w:val="none"/>
                      <w:lang w:eastAsia="zh-CN"/>
                    </w:rPr>
                    <w:t>——</w:t>
                  </w:r>
                </w:p>
              </w:tc>
              <w:tc>
                <w:tcPr>
                  <w:tcW w:w="2496" w:type="dxa"/>
                </w:tcPr>
                <w:p>
                  <w:pPr>
                    <w:widowControl/>
                    <w:spacing w:before="40"/>
                    <w:jc w:val="left"/>
                    <w:rPr>
                      <w:rFonts w:hint="eastAsia"/>
                      <w:highlight w:val="none"/>
                      <w:lang w:eastAsia="zh-CN"/>
                    </w:rPr>
                  </w:pPr>
                  <w:r>
                    <w:rPr>
                      <w:rFonts w:hint="eastAsia"/>
                      <w:color w:val="000000"/>
                      <w:szCs w:val="21"/>
                      <w:highlight w:val="none"/>
                    </w:rPr>
                    <w:t>□</w:t>
                  </w:r>
                  <w:r>
                    <w:rPr>
                      <w:rFonts w:hint="eastAsia"/>
                      <w:highlight w:val="none"/>
                    </w:rPr>
                    <w:t xml:space="preserve">已落实 </w:t>
                  </w:r>
                  <w:r>
                    <w:rPr>
                      <w:rFonts w:hint="eastAsia"/>
                      <w:color w:val="000000"/>
                      <w:szCs w:val="21"/>
                      <w:highlight w:val="none"/>
                      <w:lang w:eastAsia="zh-CN"/>
                    </w:rPr>
                    <w:t>□</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食品安全管理体系所需的变更</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资源需求</w:t>
                  </w:r>
                </w:p>
              </w:tc>
              <w:tc>
                <w:tcPr>
                  <w:tcW w:w="3695"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食品安全目标未实现所采取的措施。（需要时）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改进食品安全管理体系与其他业务过程融合的机会。（需要时）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任何与组织战略方向相关的结论</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tcPr>
                <w:p>
                  <w:pPr>
                    <w:widowControl/>
                    <w:spacing w:before="40"/>
                    <w:jc w:val="left"/>
                    <w:rPr>
                      <w:rFonts w:hint="eastAsia"/>
                      <w:color w:val="000000"/>
                      <w:szCs w:val="21"/>
                      <w:highlight w:val="none"/>
                    </w:rPr>
                  </w:pPr>
                  <w:r>
                    <w:rPr>
                      <w:rFonts w:hint="eastAsia"/>
                      <w:color w:val="000000"/>
                      <w:szCs w:val="21"/>
                      <w:highlight w:val="none"/>
                      <w:lang w:val="en-US" w:eastAsia="zh-CN"/>
                    </w:rPr>
                    <w:t>HACCP体系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食品安全保证</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评审基本可以满足</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52"/>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A3"/>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HACCP体系有效性的改进</w:t>
                  </w:r>
                </w:p>
              </w:tc>
              <w:tc>
                <w:tcPr>
                  <w:tcW w:w="3695" w:type="dxa"/>
                  <w:vAlign w:val="top"/>
                </w:tcPr>
                <w:p>
                  <w:pPr>
                    <w:pStyle w:val="3"/>
                    <w:numPr>
                      <w:ilvl w:val="0"/>
                      <w:numId w:val="0"/>
                    </w:numPr>
                    <w:spacing w:line="360" w:lineRule="auto"/>
                    <w:ind w:leftChars="0"/>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ighlight w:val="none"/>
                      <w:lang w:val="en-US" w:eastAsia="zh-CN"/>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 xml:space="preserve">已落实 </w:t>
                  </w:r>
                  <w:r>
                    <w:rPr>
                      <w:rFonts w:hint="eastAsia"/>
                      <w:color w:val="000000"/>
                      <w:szCs w:val="21"/>
                      <w:highlight w:val="none"/>
                      <w:lang w:eastAsia="zh-CN"/>
                    </w:rPr>
                    <w:t>□</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资源需求</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无</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hd w:val="clear"/>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rPr>
                    <w:t>组织食品安全方针和相关目标的修订</w:t>
                  </w:r>
                </w:p>
              </w:tc>
              <w:tc>
                <w:tcPr>
                  <w:tcW w:w="3695" w:type="dxa"/>
                  <w:vAlign w:val="top"/>
                </w:tcPr>
                <w:p>
                  <w:pPr>
                    <w:widowControl/>
                    <w:shd w:val="clear"/>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无</w:t>
                  </w:r>
                </w:p>
              </w:tc>
              <w:tc>
                <w:tcPr>
                  <w:tcW w:w="2496" w:type="dxa"/>
                  <w:vAlign w:val="top"/>
                </w:tcPr>
                <w:p>
                  <w:pPr>
                    <w:widowControl/>
                    <w:shd w:val="clear"/>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vAlign w:val="top"/>
                </w:tcPr>
                <w:p>
                  <w:pPr>
                    <w:widowControl/>
                    <w:spacing w:before="40"/>
                    <w:jc w:val="left"/>
                    <w:rPr>
                      <w:rFonts w:hint="eastAsia"/>
                      <w:color w:val="auto"/>
                      <w:szCs w:val="21"/>
                      <w:highlight w:val="none"/>
                      <w:lang w:eastAsia="zh-CN"/>
                    </w:rPr>
                  </w:pPr>
                  <w:r>
                    <w:rPr>
                      <w:rFonts w:hint="eastAsia"/>
                      <w:color w:val="auto"/>
                      <w:szCs w:val="21"/>
                      <w:highlight w:val="none"/>
                      <w:vertAlign w:val="baseline"/>
                      <w:lang w:val="en-US" w:eastAsia="zh-CN"/>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改进的机会</w:t>
                  </w:r>
                </w:p>
              </w:tc>
              <w:tc>
                <w:tcPr>
                  <w:tcW w:w="3695" w:type="dxa"/>
                  <w:vAlign w:val="top"/>
                </w:tcPr>
                <w:p>
                  <w:pPr>
                    <w:widowControl/>
                    <w:numPr>
                      <w:ilvl w:val="0"/>
                      <w:numId w:val="0"/>
                    </w:numPr>
                    <w:spacing w:before="40"/>
                    <w:ind w:lef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kern w:val="2"/>
                      <w:sz w:val="21"/>
                      <w:szCs w:val="20"/>
                      <w:highlight w:val="no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 xml:space="preserve">已落实 </w:t>
                  </w:r>
                  <w:r>
                    <w:rPr>
                      <w:rFonts w:hint="eastAsia"/>
                      <w:color w:val="000000"/>
                      <w:szCs w:val="21"/>
                      <w:highlight w:val="none"/>
                      <w:lang w:eastAsia="zh-CN"/>
                    </w:rPr>
                    <w:t>□</w:t>
                  </w:r>
                  <w:r>
                    <w:rPr>
                      <w:rFonts w:hint="eastAsia"/>
                      <w:highlight w:val="none"/>
                    </w:rPr>
                    <w:t>已部分落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质量管理体系所需的变更</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资源需求</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tcPr>
                <w:p>
                  <w:pPr>
                    <w:widowControl/>
                    <w:spacing w:before="40"/>
                    <w:jc w:val="left"/>
                    <w:rPr>
                      <w:rFonts w:hint="eastAsia"/>
                      <w:color w:val="000000"/>
                      <w:szCs w:val="21"/>
                      <w:highlight w:val="none"/>
                    </w:rPr>
                  </w:pPr>
                  <w:r>
                    <w:rPr>
                      <w:rFonts w:hint="eastAsia"/>
                      <w:color w:val="000000"/>
                      <w:szCs w:val="21"/>
                      <w:highlight w:val="none"/>
                      <w:lang w:val="en-US" w:eastAsia="zh-CN"/>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环境</w:t>
                  </w:r>
                  <w:r>
                    <w:rPr>
                      <w:rFonts w:hint="eastAsia"/>
                      <w:highlight w:val="none"/>
                    </w:rPr>
                    <w:t>管理体系所需的变更</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资源需求</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sym w:font="Wingdings 2" w:char="00A3"/>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环境目标未实现所采取的措施。（需要时）</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改进环境管理体系与其他业务过程融合的机会。（需要时）</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任何与组织战略方向相关的结论</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lang w:eastAsia="zh-CN"/>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eastAsia="zh-CN"/>
                    </w:rPr>
                    <w:t>与持续改进机会相关的决策</w:t>
                  </w:r>
                </w:p>
              </w:tc>
              <w:tc>
                <w:tcPr>
                  <w:tcW w:w="3695" w:type="dxa"/>
                  <w:vAlign w:val="top"/>
                </w:tcPr>
                <w:p>
                  <w:pPr>
                    <w:widowControl/>
                    <w:numPr>
                      <w:ilvl w:val="0"/>
                      <w:numId w:val="0"/>
                    </w:numPr>
                    <w:spacing w:before="40"/>
                    <w:ind w:lef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kern w:val="2"/>
                      <w:sz w:val="21"/>
                      <w:szCs w:val="20"/>
                      <w:highlight w:val="none"/>
                      <w:lang w:val="en-US" w:eastAsia="zh-CN" w:bidi="ar-SA"/>
                    </w:rPr>
                    <w:t>——</w:t>
                  </w:r>
                </w:p>
              </w:tc>
              <w:tc>
                <w:tcPr>
                  <w:tcW w:w="2496" w:type="dxa"/>
                  <w:vAlign w:val="top"/>
                </w:tcPr>
                <w:p>
                  <w:pPr>
                    <w:widowControl/>
                    <w:spacing w:before="40"/>
                    <w:jc w:val="left"/>
                    <w:rPr>
                      <w:rFonts w:hint="default"/>
                      <w:highlight w:val="none"/>
                      <w:lang w:val="en-US" w:eastAsia="zh-CN"/>
                    </w:rPr>
                  </w:pPr>
                  <w:r>
                    <w:rPr>
                      <w:rFonts w:hint="eastAsia"/>
                      <w:color w:val="000000"/>
                      <w:szCs w:val="21"/>
                      <w:highlight w:val="none"/>
                    </w:rPr>
                    <w:t>□</w:t>
                  </w:r>
                  <w:r>
                    <w:rPr>
                      <w:rFonts w:hint="eastAsia"/>
                      <w:highlight w:val="none"/>
                    </w:rPr>
                    <w:t xml:space="preserve">已落实 </w:t>
                  </w:r>
                  <w:r>
                    <w:rPr>
                      <w:rFonts w:hint="eastAsia"/>
                      <w:color w:val="000000"/>
                      <w:szCs w:val="21"/>
                      <w:highlight w:val="none"/>
                      <w:lang w:eastAsia="zh-CN"/>
                    </w:rPr>
                    <w:t>☑</w:t>
                  </w:r>
                  <w:r>
                    <w:rPr>
                      <w:rFonts w:hint="eastAsia"/>
                      <w:highlight w:val="none"/>
                    </w:rPr>
                    <w:t>已部分落实</w:t>
                  </w:r>
                  <w:r>
                    <w:rPr>
                      <w:rFonts w:hint="eastAsia"/>
                      <w:highlight w:val="none"/>
                      <w:lang w:eastAsia="zh-CN"/>
                    </w:rPr>
                    <w:t>：</w:t>
                  </w:r>
                  <w:r>
                    <w:rPr>
                      <w:rFonts w:hint="eastAsia"/>
                      <w:highlight w:val="none"/>
                      <w:lang w:val="en-US" w:eastAsia="zh-CN"/>
                    </w:rPr>
                    <w:t>第二项、第三项改进还未到改进计划时间。</w:t>
                  </w:r>
                </w:p>
                <w:p>
                  <w:pPr>
                    <w:pStyle w:val="9"/>
                    <w:rPr>
                      <w:rFonts w:hint="eastAsia"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shd w:val="clear" w:color="auto" w:fill="F1F1F1" w:themeFill="background1" w:themeFillShade="F2"/>
                  <w:vAlign w:val="top"/>
                </w:tcPr>
                <w:p>
                  <w:pPr>
                    <w:widowControl/>
                    <w:spacing w:before="40"/>
                    <w:jc w:val="left"/>
                    <w:rPr>
                      <w:rFonts w:hint="eastAsia"/>
                      <w:color w:val="auto"/>
                      <w:szCs w:val="21"/>
                      <w:highlight w:val="none"/>
                      <w:lang w:eastAsia="zh-CN"/>
                    </w:rPr>
                  </w:pPr>
                  <w:r>
                    <w:rPr>
                      <w:rFonts w:hint="eastAsia"/>
                      <w:color w:val="auto"/>
                      <w:highlight w:val="none"/>
                      <w:lang w:val="en-US" w:eastAsia="zh-CN"/>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职业健康安全管理体系所需的变更</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所需资源</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目标未实现所采取的措施。（需要时）</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改进</w:t>
                  </w:r>
                  <w:r>
                    <w:rPr>
                      <w:rFonts w:hint="eastAsia"/>
                      <w:color w:val="auto"/>
                      <w:highlight w:val="none"/>
                    </w:rPr>
                    <w:t>职业健康安全</w:t>
                  </w:r>
                  <w:r>
                    <w:rPr>
                      <w:rFonts w:hint="eastAsia"/>
                      <w:color w:val="auto"/>
                      <w:szCs w:val="21"/>
                      <w:highlight w:val="none"/>
                      <w:vertAlign w:val="baseline"/>
                      <w:lang w:val="en-US" w:eastAsia="zh-CN"/>
                    </w:rPr>
                    <w:t>管理体系与其他业务过程融合的机会。（需要时）</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sym w:font="Wingdings 2" w:char="0052"/>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任何与组织战略方向相关的结论</w:t>
                  </w:r>
                </w:p>
              </w:tc>
              <w:tc>
                <w:tcPr>
                  <w:tcW w:w="3695"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职业健康安全管理有效</w:t>
                  </w:r>
                </w:p>
              </w:tc>
              <w:tc>
                <w:tcPr>
                  <w:tcW w:w="249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bl>
          <w:p>
            <w:pPr>
              <w:rPr>
                <w:highlight w:val="none"/>
              </w:rPr>
            </w:pPr>
          </w:p>
          <w:p>
            <w:pPr>
              <w:rPr>
                <w:highlight w:val="yellow"/>
                <w:u w:val="single"/>
              </w:rPr>
            </w:pPr>
            <w:r>
              <w:rPr>
                <w:rFonts w:hint="eastAsia"/>
                <w:highlight w:val="none"/>
              </w:rPr>
              <w:sym w:font="Wingdings" w:char="00A8"/>
            </w:r>
            <w:r>
              <w:rPr>
                <w:rFonts w:hint="eastAsia"/>
                <w:highlight w:val="none"/>
              </w:rPr>
              <w:t>改进措施未落实的原因：</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p>
          <w:p>
            <w:pPr>
              <w:rPr>
                <w:highlight w:val="none"/>
              </w:rPr>
            </w:pP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02" w:type="dxa"/>
            <w:vMerge w:val="restart"/>
            <w:shd w:val="clear" w:color="auto" w:fill="auto"/>
          </w:tcPr>
          <w:p>
            <w:r>
              <w:rPr>
                <w:rFonts w:hint="eastAsia"/>
              </w:rPr>
              <w:t>改进</w:t>
            </w:r>
          </w:p>
        </w:tc>
        <w:tc>
          <w:tcPr>
            <w:tcW w:w="1129" w:type="dxa"/>
            <w:vMerge w:val="restart"/>
            <w:shd w:val="clear" w:color="auto" w:fill="auto"/>
          </w:tcPr>
          <w:p>
            <w:r>
              <w:rPr>
                <w:rFonts w:hint="eastAsia"/>
              </w:rPr>
              <w:t>Q10.1</w:t>
            </w:r>
          </w:p>
        </w:tc>
        <w:tc>
          <w:tcPr>
            <w:tcW w:w="745" w:type="dxa"/>
            <w:shd w:val="clear" w:color="auto" w:fill="auto"/>
          </w:tcPr>
          <w:p>
            <w:r>
              <w:rPr>
                <w:rFonts w:hint="eastAsia"/>
              </w:rPr>
              <w:t>文件名称</w:t>
            </w:r>
          </w:p>
        </w:tc>
        <w:tc>
          <w:tcPr>
            <w:tcW w:w="9260" w:type="dxa"/>
            <w:gridSpan w:val="2"/>
            <w:shd w:val="clear" w:color="auto" w:fill="auto"/>
          </w:tcPr>
          <w:p>
            <w:r>
              <w:rPr>
                <w:rFonts w:hint="eastAsia"/>
              </w:rPr>
              <w:t>如：</w:t>
            </w:r>
            <w:r>
              <w:rPr>
                <w:rFonts w:hint="eastAsia"/>
              </w:rPr>
              <w:sym w:font="Wingdings" w:char="00FE"/>
            </w:r>
            <w:r>
              <w:rPr>
                <w:rFonts w:hint="eastAsia"/>
              </w:rPr>
              <w:t>管理手册10.1章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9"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02" w:type="dxa"/>
            <w:vMerge w:val="restart"/>
            <w:shd w:val="clear" w:color="auto" w:fill="auto"/>
          </w:tcPr>
          <w:p>
            <w:pPr>
              <w:rPr>
                <w:rFonts w:hint="default" w:eastAsia="宋体"/>
                <w:lang w:val="en-US" w:eastAsia="zh-CN"/>
              </w:rPr>
            </w:pPr>
            <w:r>
              <w:rPr>
                <w:rFonts w:hint="eastAsia"/>
                <w:lang w:val="en-US" w:eastAsia="zh-CN"/>
              </w:rPr>
              <w:t>改进</w:t>
            </w:r>
          </w:p>
        </w:tc>
        <w:tc>
          <w:tcPr>
            <w:tcW w:w="1129" w:type="dxa"/>
            <w:vMerge w:val="restart"/>
            <w:shd w:val="clear" w:color="auto" w:fill="auto"/>
          </w:tcPr>
          <w:p>
            <w:pPr>
              <w:rPr>
                <w:rFonts w:hint="default" w:eastAsia="宋体"/>
                <w:lang w:val="en-US" w:eastAsia="zh-CN"/>
              </w:rPr>
            </w:pPr>
            <w:r>
              <w:rPr>
                <w:rFonts w:hint="eastAsia"/>
                <w:lang w:val="en-US" w:eastAsia="zh-CN"/>
              </w:rPr>
              <w:t>EO10.1</w:t>
            </w:r>
          </w:p>
        </w:tc>
        <w:tc>
          <w:tcPr>
            <w:tcW w:w="745" w:type="dxa"/>
            <w:shd w:val="clear" w:color="auto" w:fill="auto"/>
          </w:tcPr>
          <w:p>
            <w:pPr>
              <w:rPr>
                <w:rFonts w:hint="default" w:eastAsia="宋体"/>
                <w:lang w:val="en-US" w:eastAsia="zh-CN"/>
              </w:rPr>
            </w:pPr>
            <w:r>
              <w:rPr>
                <w:rFonts w:hint="eastAsia"/>
                <w:lang w:val="en-US" w:eastAsia="zh-CN"/>
              </w:rPr>
              <w:t>文件名称</w:t>
            </w:r>
          </w:p>
        </w:tc>
        <w:tc>
          <w:tcPr>
            <w:tcW w:w="9260" w:type="dxa"/>
            <w:gridSpan w:val="2"/>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管理手册10.1章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902" w:type="dxa"/>
            <w:vMerge w:val="continue"/>
            <w:shd w:val="clear" w:color="auto" w:fill="auto"/>
          </w:tcPr>
          <w:p>
            <w:pPr>
              <w:rPr>
                <w:rFonts w:hint="eastAsia"/>
              </w:rPr>
            </w:pPr>
          </w:p>
        </w:tc>
        <w:tc>
          <w:tcPr>
            <w:tcW w:w="1129" w:type="dxa"/>
            <w:vMerge w:val="continue"/>
            <w:shd w:val="clear" w:color="auto" w:fill="auto"/>
          </w:tcPr>
          <w:p>
            <w:pPr>
              <w:rPr>
                <w:rFonts w:hint="eastAsia"/>
                <w:lang w:val="en-US" w:eastAsia="zh-CN"/>
              </w:rPr>
            </w:pPr>
          </w:p>
        </w:tc>
        <w:tc>
          <w:tcPr>
            <w:tcW w:w="745" w:type="dxa"/>
            <w:shd w:val="clear" w:color="auto" w:fill="auto"/>
          </w:tcPr>
          <w:p>
            <w:pPr>
              <w:rPr>
                <w:rFonts w:hint="default"/>
                <w:lang w:val="en-US" w:eastAsia="zh-CN"/>
              </w:rPr>
            </w:pPr>
            <w:r>
              <w:rPr>
                <w:rFonts w:hint="eastAsia"/>
                <w:lang w:val="en-US" w:eastAsia="zh-CN"/>
              </w:rPr>
              <w:t>运行证据</w:t>
            </w:r>
          </w:p>
        </w:tc>
        <w:tc>
          <w:tcPr>
            <w:tcW w:w="9260" w:type="dxa"/>
            <w:gridSpan w:val="2"/>
            <w:shd w:val="clear" w:color="auto" w:fill="auto"/>
          </w:tcPr>
          <w:p>
            <w:pPr>
              <w:rPr>
                <w:rFonts w:hint="eastAsia"/>
                <w:highlight w:val="none"/>
                <w:lang w:val="en-US" w:eastAsia="zh-CN"/>
              </w:rPr>
            </w:pPr>
            <w:r>
              <w:rPr>
                <w:rFonts w:hint="eastAsia"/>
                <w:highlight w:val="none"/>
                <w:lang w:val="en-US" w:eastAsia="zh-CN"/>
              </w:rPr>
              <w:t xml:space="preserve">组织确定了改进机会，并采取必要措施，以实现其环境管理体系/职业健康安全管理体系的预期结果。 </w:t>
            </w:r>
          </w:p>
          <w:p>
            <w:pPr>
              <w:rPr>
                <w:rFonts w:hint="eastAsia"/>
                <w:highlight w:val="none"/>
                <w:lang w:val="en-US" w:eastAsia="zh-CN"/>
              </w:rPr>
            </w:pPr>
            <w:r>
              <w:rPr>
                <w:rFonts w:hint="eastAsia"/>
                <w:highlight w:val="none"/>
                <w:lang w:val="en-US" w:eastAsia="zh-CN"/>
              </w:rPr>
              <w:t xml:space="preserve">这包括：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改进产品和服务，以满足相关方要求并应对其需求和期望；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纠正、预防或减少不利影响； </w:t>
            </w:r>
          </w:p>
          <w:p>
            <w:pPr>
              <w:rPr>
                <w:rFonts w:hint="eastAsia"/>
                <w:highlight w:val="none"/>
                <w:lang w:val="en-US" w:eastAsia="zh-CN"/>
              </w:rPr>
            </w:pPr>
            <w:r>
              <w:rPr>
                <w:rFonts w:hint="eastAsia"/>
                <w:highlight w:val="none"/>
              </w:rPr>
              <w:sym w:font="Wingdings" w:char="00FE"/>
            </w:r>
            <w:r>
              <w:rPr>
                <w:rFonts w:hint="eastAsia"/>
                <w:highlight w:val="none"/>
                <w:lang w:val="en-US" w:eastAsia="zh-CN"/>
              </w:rPr>
              <w:t>改进环境管理体系/</w:t>
            </w:r>
            <w:r>
              <w:rPr>
                <w:rFonts w:hint="eastAsia"/>
                <w:color w:val="auto"/>
                <w:highlight w:val="none"/>
                <w:lang w:val="en-US" w:eastAsia="zh-CN"/>
              </w:rPr>
              <w:t>职业健康安全管理体系</w:t>
            </w:r>
            <w:r>
              <w:rPr>
                <w:rFonts w:hint="eastAsia"/>
                <w:highlight w:val="none"/>
                <w:lang w:val="en-US" w:eastAsia="zh-CN"/>
              </w:rPr>
              <w:t xml:space="preserve">的绩效和有效性。 </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 xml:space="preserve">改进包括：纠正、纠正措施、持续改进、突破性变革、创新和重组。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02" w:type="dxa"/>
            <w:vMerge w:val="restart"/>
            <w:shd w:val="clear" w:color="auto" w:fill="auto"/>
          </w:tcPr>
          <w:p>
            <w:pPr>
              <w:rPr>
                <w:highlight w:val="none"/>
              </w:rPr>
            </w:pPr>
            <w:r>
              <w:rPr>
                <w:rFonts w:hint="eastAsia"/>
                <w:highlight w:val="none"/>
              </w:rPr>
              <w:t>不符合与纠正措施</w:t>
            </w:r>
          </w:p>
        </w:tc>
        <w:tc>
          <w:tcPr>
            <w:tcW w:w="1129" w:type="dxa"/>
            <w:vMerge w:val="restart"/>
            <w:shd w:val="clear" w:color="auto" w:fill="auto"/>
          </w:tcPr>
          <w:p>
            <w:pPr>
              <w:rPr>
                <w:rFonts w:hint="eastAsia"/>
                <w:highlight w:val="none"/>
              </w:rPr>
            </w:pPr>
            <w:r>
              <w:rPr>
                <w:rFonts w:hint="eastAsia"/>
                <w:highlight w:val="none"/>
              </w:rPr>
              <w:t>Q</w:t>
            </w:r>
            <w:r>
              <w:rPr>
                <w:rFonts w:hint="eastAsia"/>
                <w:highlight w:val="none"/>
                <w:lang w:val="en-US" w:eastAsia="zh-CN"/>
              </w:rPr>
              <w:t>EO</w:t>
            </w:r>
            <w:r>
              <w:rPr>
                <w:rFonts w:hint="eastAsia"/>
                <w:highlight w:val="none"/>
              </w:rPr>
              <w:t>10.2</w:t>
            </w:r>
          </w:p>
          <w:p>
            <w:pPr>
              <w:pStyle w:val="16"/>
              <w:rPr>
                <w:rFonts w:hint="eastAsia"/>
                <w:highlight w:val="none"/>
                <w:lang w:val="en-US" w:eastAsia="zh-CN"/>
              </w:rPr>
            </w:pPr>
            <w:r>
              <w:rPr>
                <w:rFonts w:hint="eastAsia"/>
                <w:highlight w:val="none"/>
                <w:lang w:val="en-US" w:eastAsia="zh-CN"/>
              </w:rPr>
              <w:t>F10.1</w:t>
            </w:r>
          </w:p>
          <w:p>
            <w:pPr>
              <w:shd w:val="clear"/>
              <w:rPr>
                <w:rFonts w:hint="eastAsia"/>
                <w:lang w:val="en-US" w:eastAsia="zh-CN"/>
              </w:rPr>
            </w:pPr>
            <w:r>
              <w:rPr>
                <w:rFonts w:hint="eastAsia"/>
                <w:lang w:val="en-US" w:eastAsia="zh-CN"/>
              </w:rPr>
              <w:t>H(V1.0)</w:t>
            </w:r>
          </w:p>
          <w:p>
            <w:pPr>
              <w:shd w:val="clear"/>
              <w:rPr>
                <w:rFonts w:hint="eastAsia"/>
              </w:rPr>
            </w:pPr>
            <w:r>
              <w:rPr>
                <w:rFonts w:hint="eastAsia"/>
                <w:lang w:val="en-US" w:eastAsia="zh-CN"/>
              </w:rPr>
              <w:t>5.1</w:t>
            </w:r>
            <w:r>
              <w:rPr>
                <w:rFonts w:hint="eastAsia"/>
              </w:rPr>
              <w:t xml:space="preserve"> </w:t>
            </w:r>
          </w:p>
          <w:p>
            <w:pPr>
              <w:pStyle w:val="16"/>
              <w:rPr>
                <w:rFonts w:hint="default"/>
                <w:highlight w:val="none"/>
                <w:lang w:val="en-US" w:eastAsia="zh-CN"/>
              </w:rPr>
            </w:pPr>
          </w:p>
        </w:tc>
        <w:tc>
          <w:tcPr>
            <w:tcW w:w="745" w:type="dxa"/>
            <w:shd w:val="clear" w:color="auto" w:fill="auto"/>
          </w:tcPr>
          <w:p>
            <w:pPr>
              <w:rPr>
                <w:highlight w:val="none"/>
              </w:rPr>
            </w:pPr>
            <w:r>
              <w:rPr>
                <w:rFonts w:hint="eastAsia"/>
                <w:highlight w:val="none"/>
              </w:rPr>
              <w:t>文件名称</w:t>
            </w:r>
          </w:p>
        </w:tc>
        <w:tc>
          <w:tcPr>
            <w:tcW w:w="9260" w:type="dxa"/>
            <w:gridSpan w:val="2"/>
            <w:shd w:val="clear" w:color="auto" w:fill="auto"/>
          </w:tcPr>
          <w:p>
            <w:pPr>
              <w:rPr>
                <w:highlight w:val="none"/>
              </w:rPr>
            </w:pPr>
            <w:r>
              <w:rPr>
                <w:rFonts w:hint="eastAsia"/>
                <w:highlight w:val="none"/>
              </w:rPr>
              <w:t>如：</w:t>
            </w:r>
            <w:r>
              <w:rPr>
                <w:color w:val="auto"/>
                <w:highlight w:val="none"/>
              </w:rPr>
              <w:sym w:font="Wingdings" w:char="00FE"/>
            </w:r>
            <w:r>
              <w:rPr>
                <w:rFonts w:hint="eastAsia"/>
                <w:highlight w:val="none"/>
                <w:lang w:eastAsia="zh-CN"/>
              </w:rPr>
              <w:t>《</w:t>
            </w:r>
            <w:r>
              <w:rPr>
                <w:rFonts w:hint="eastAsia"/>
                <w:highlight w:val="none"/>
                <w:lang w:val="en-US" w:eastAsia="zh-CN"/>
              </w:rPr>
              <w:t>管理手册》10.2条款</w:t>
            </w:r>
            <w:r>
              <w:rPr>
                <w:color w:val="auto"/>
                <w:highlight w:val="none"/>
              </w:rPr>
              <w:sym w:font="Wingdings" w:char="00A8"/>
            </w:r>
            <w:r>
              <w:rPr>
                <w:rFonts w:hint="eastAsia"/>
                <w:highlight w:val="none"/>
              </w:rPr>
              <w:t>《</w:t>
            </w:r>
            <w:r>
              <w:rPr>
                <w:rFonts w:hint="eastAsia"/>
                <w:highlight w:val="none"/>
                <w:lang w:val="en-US" w:eastAsia="zh-CN"/>
              </w:rPr>
              <w:t>不合格及潜在不安全产品控制程序</w:t>
            </w:r>
            <w:r>
              <w:rPr>
                <w:rFonts w:hint="eastAsia"/>
                <w:highlight w:val="none"/>
              </w:rPr>
              <w:t>》</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highlight w:val="none"/>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902" w:type="dxa"/>
            <w:vMerge w:val="continue"/>
            <w:shd w:val="clear" w:color="auto" w:fill="auto"/>
          </w:tcPr>
          <w:p>
            <w:pPr>
              <w:rPr>
                <w:highlight w:val="none"/>
              </w:rPr>
            </w:pPr>
          </w:p>
        </w:tc>
        <w:tc>
          <w:tcPr>
            <w:tcW w:w="1129" w:type="dxa"/>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260" w:type="dxa"/>
            <w:gridSpan w:val="2"/>
            <w:shd w:val="clear" w:color="auto" w:fill="auto"/>
          </w:tcPr>
          <w:p>
            <w:pPr>
              <w:rPr>
                <w:highlight w:val="none"/>
              </w:rPr>
            </w:pPr>
            <w:r>
              <w:rPr>
                <w:rFonts w:hint="eastAsia"/>
                <w:highlight w:val="none"/>
              </w:rPr>
              <w:t>不符合的来源：</w:t>
            </w:r>
          </w:p>
          <w:p>
            <w:pPr>
              <w:rPr>
                <w:highlight w:val="none"/>
              </w:rPr>
            </w:pPr>
            <w:r>
              <w:rPr>
                <w:highlight w:val="none"/>
              </w:rPr>
              <w:sym w:font="Wingdings" w:char="00A8"/>
            </w:r>
            <w:r>
              <w:rPr>
                <w:rFonts w:hint="eastAsia"/>
                <w:highlight w:val="none"/>
              </w:rPr>
              <w:t xml:space="preserve">顾客投诉   </w:t>
            </w:r>
            <w:r>
              <w:rPr>
                <w:rFonts w:hint="eastAsia"/>
                <w:highlight w:val="none"/>
              </w:rPr>
              <w:sym w:font="Wingdings" w:char="00A8"/>
            </w:r>
            <w:r>
              <w:rPr>
                <w:rFonts w:hint="eastAsia"/>
                <w:highlight w:val="none"/>
              </w:rPr>
              <w:t xml:space="preserve">产品质量问题  </w:t>
            </w:r>
            <w:r>
              <w:rPr>
                <w:rFonts w:hint="eastAsia"/>
                <w:highlight w:val="none"/>
              </w:rPr>
              <w:sym w:font="Wingdings" w:char="00A8"/>
            </w:r>
            <w:r>
              <w:rPr>
                <w:rFonts w:hint="eastAsia"/>
                <w:highlight w:val="none"/>
              </w:rPr>
              <w:t xml:space="preserve">工作运行中的问题  </w:t>
            </w:r>
          </w:p>
          <w:p>
            <w:pPr>
              <w:rPr>
                <w:rFonts w:hint="eastAsia"/>
                <w:color w:val="auto"/>
                <w:highlight w:val="none"/>
              </w:rPr>
            </w:pPr>
            <w:r>
              <w:rPr>
                <w:color w:val="auto"/>
                <w:highlight w:val="none"/>
              </w:rPr>
              <w:sym w:font="Wingdings" w:char="00A8"/>
            </w:r>
            <w:r>
              <w:rPr>
                <w:rFonts w:hint="eastAsia"/>
                <w:color w:val="auto"/>
                <w:highlight w:val="none"/>
              </w:rPr>
              <w:t xml:space="preserve">相关方投诉   </w:t>
            </w:r>
            <w:r>
              <w:rPr>
                <w:rFonts w:hint="eastAsia"/>
                <w:color w:val="auto"/>
                <w:highlight w:val="none"/>
              </w:rPr>
              <w:sym w:font="Wingdings" w:char="00A8"/>
            </w:r>
            <w:r>
              <w:rPr>
                <w:rFonts w:hint="eastAsia"/>
                <w:color w:val="auto"/>
                <w:highlight w:val="none"/>
              </w:rPr>
              <w:t xml:space="preserve">排放超标问题  </w:t>
            </w:r>
          </w:p>
          <w:p>
            <w:pPr>
              <w:rPr>
                <w:rFonts w:hint="eastAsia"/>
                <w:highlight w:val="none"/>
                <w:lang w:val="en-US" w:eastAsia="zh-CN"/>
              </w:rPr>
            </w:pPr>
            <w:r>
              <w:rPr>
                <w:rFonts w:hint="default"/>
                <w:highlight w:val="none"/>
                <w:lang w:val="en-US" w:eastAsia="zh-CN"/>
              </w:rPr>
              <w:sym w:font="Wingdings" w:char="00A8"/>
            </w:r>
            <w:r>
              <w:rPr>
                <w:rFonts w:hint="eastAsia"/>
                <w:highlight w:val="none"/>
                <w:lang w:val="en-US" w:eastAsia="zh-CN"/>
              </w:rPr>
              <w:t xml:space="preserve">未遂事件 </w:t>
            </w:r>
            <w:r>
              <w:rPr>
                <w:rFonts w:hint="default"/>
                <w:highlight w:val="none"/>
                <w:lang w:val="en-US" w:eastAsia="zh-CN"/>
              </w:rPr>
              <w:sym w:font="Wingdings" w:char="00FE"/>
            </w:r>
            <w:r>
              <w:rPr>
                <w:rFonts w:hint="eastAsia"/>
                <w:highlight w:val="none"/>
                <w:lang w:val="en-US" w:eastAsia="zh-CN"/>
              </w:rPr>
              <w:t xml:space="preserve">工伤【见员工代表审核记录】  </w:t>
            </w:r>
            <w:r>
              <w:rPr>
                <w:rFonts w:hint="eastAsia"/>
                <w:highlight w:val="none"/>
                <w:lang w:val="en-US" w:eastAsia="zh-CN"/>
              </w:rPr>
              <w:sym w:font="Wingdings" w:char="00A8"/>
            </w:r>
            <w:r>
              <w:rPr>
                <w:rFonts w:hint="eastAsia"/>
                <w:highlight w:val="none"/>
                <w:lang w:val="en-US" w:eastAsia="zh-CN"/>
              </w:rPr>
              <w:t xml:space="preserve">职业病检测结果  </w:t>
            </w:r>
            <w:r>
              <w:rPr>
                <w:rFonts w:hint="eastAsia"/>
                <w:highlight w:val="none"/>
                <w:lang w:val="en-US" w:eastAsia="zh-CN"/>
              </w:rPr>
              <w:sym w:font="Wingdings" w:char="00A8"/>
            </w:r>
            <w:r>
              <w:rPr>
                <w:rFonts w:hint="eastAsia"/>
                <w:highlight w:val="none"/>
                <w:lang w:val="en-US" w:eastAsia="zh-CN"/>
              </w:rPr>
              <w:t xml:space="preserve">工作运行中发现的问题  </w:t>
            </w:r>
            <w:r>
              <w:rPr>
                <w:rFonts w:hint="eastAsia"/>
                <w:highlight w:val="none"/>
                <w:lang w:val="en-US" w:eastAsia="zh-CN"/>
              </w:rPr>
              <w:sym w:font="Wingdings" w:char="00A8"/>
            </w:r>
            <w:r>
              <w:rPr>
                <w:rFonts w:hint="eastAsia"/>
                <w:highlight w:val="none"/>
                <w:lang w:val="en-US" w:eastAsia="zh-CN"/>
              </w:rPr>
              <w:t xml:space="preserve">其他  </w:t>
            </w:r>
          </w:p>
          <w:p>
            <w:pPr>
              <w:rPr>
                <w:highlight w:val="none"/>
                <w:u w:val="single"/>
              </w:rPr>
            </w:pPr>
            <w:r>
              <w:rPr>
                <w:rFonts w:hint="eastAsia"/>
                <w:highlight w:val="none"/>
              </w:rPr>
              <w:t>抽查采取纠正措施相关记录名称：</w:t>
            </w:r>
            <w:r>
              <w:rPr>
                <w:rFonts w:hint="eastAsia"/>
                <w:highlight w:val="none"/>
                <w:u w:val="single"/>
              </w:rPr>
              <w:t xml:space="preserve">《 </w:t>
            </w:r>
            <w:r>
              <w:rPr>
                <w:rFonts w:hint="eastAsia"/>
                <w:highlight w:val="none"/>
                <w:u w:val="single"/>
                <w:lang w:val="en-US" w:eastAsia="zh-CN"/>
              </w:rPr>
              <w:t>审核周期内未发生</w:t>
            </w:r>
            <w:r>
              <w:rPr>
                <w:rFonts w:hint="eastAsia"/>
                <w:highlight w:val="none"/>
                <w:u w:val="single"/>
              </w:rPr>
              <w:t xml:space="preserve"> 》</w:t>
            </w:r>
          </w:p>
          <w:tbl>
            <w:tblPr>
              <w:tblStyle w:val="1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434"/>
              <w:gridCol w:w="1811"/>
              <w:gridCol w:w="1276"/>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highlight w:val="none"/>
                    </w:rPr>
                  </w:pPr>
                  <w:r>
                    <w:rPr>
                      <w:rFonts w:hint="eastAsia"/>
                      <w:highlight w:val="none"/>
                    </w:rPr>
                    <w:t>日期</w:t>
                  </w:r>
                </w:p>
              </w:tc>
              <w:tc>
                <w:tcPr>
                  <w:tcW w:w="2217" w:type="dxa"/>
                </w:tcPr>
                <w:p>
                  <w:pPr>
                    <w:rPr>
                      <w:highlight w:val="none"/>
                    </w:rPr>
                  </w:pPr>
                  <w:r>
                    <w:rPr>
                      <w:rFonts w:hint="eastAsia"/>
                      <w:highlight w:val="none"/>
                    </w:rPr>
                    <w:t>不符合描述</w:t>
                  </w:r>
                </w:p>
              </w:tc>
              <w:tc>
                <w:tcPr>
                  <w:tcW w:w="1434" w:type="dxa"/>
                </w:tcPr>
                <w:p>
                  <w:pPr>
                    <w:rPr>
                      <w:highlight w:val="none"/>
                    </w:rPr>
                  </w:pPr>
                  <w:r>
                    <w:rPr>
                      <w:rFonts w:hint="eastAsia"/>
                      <w:highlight w:val="none"/>
                    </w:rPr>
                    <w:t>不符合纠正</w:t>
                  </w:r>
                </w:p>
              </w:tc>
              <w:tc>
                <w:tcPr>
                  <w:tcW w:w="1811" w:type="dxa"/>
                </w:tcPr>
                <w:p>
                  <w:pPr>
                    <w:rPr>
                      <w:highlight w:val="none"/>
                    </w:rPr>
                  </w:pPr>
                  <w:r>
                    <w:rPr>
                      <w:rFonts w:hint="eastAsia"/>
                      <w:highlight w:val="none"/>
                    </w:rPr>
                    <w:t>原因分析</w:t>
                  </w:r>
                </w:p>
              </w:tc>
              <w:tc>
                <w:tcPr>
                  <w:tcW w:w="1276" w:type="dxa"/>
                </w:tcPr>
                <w:p>
                  <w:pPr>
                    <w:rPr>
                      <w:highlight w:val="none"/>
                    </w:rPr>
                  </w:pPr>
                  <w:r>
                    <w:rPr>
                      <w:rFonts w:hint="eastAsia"/>
                      <w:highlight w:val="none"/>
                    </w:rPr>
                    <w:t>纠正措施</w:t>
                  </w:r>
                </w:p>
              </w:tc>
              <w:tc>
                <w:tcPr>
                  <w:tcW w:w="1508"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eastAsia" w:eastAsia="宋体"/>
                      <w:highlight w:val="none"/>
                      <w:lang w:eastAsia="zh-CN"/>
                    </w:rPr>
                  </w:pPr>
                  <w:r>
                    <w:rPr>
                      <w:rFonts w:hint="eastAsia"/>
                      <w:highlight w:val="none"/>
                      <w:lang w:eastAsia="zh-CN"/>
                    </w:rPr>
                    <w:t>——</w:t>
                  </w:r>
                </w:p>
              </w:tc>
              <w:tc>
                <w:tcPr>
                  <w:tcW w:w="2217" w:type="dxa"/>
                </w:tcPr>
                <w:p>
                  <w:pPr>
                    <w:rPr>
                      <w:rFonts w:hint="default" w:eastAsia="宋体"/>
                      <w:highlight w:val="none"/>
                      <w:lang w:val="en-US" w:eastAsia="zh-CN"/>
                    </w:rPr>
                  </w:pPr>
                </w:p>
              </w:tc>
              <w:tc>
                <w:tcPr>
                  <w:tcW w:w="1434" w:type="dxa"/>
                </w:tcPr>
                <w:p>
                  <w:pPr>
                    <w:rPr>
                      <w:highlight w:val="none"/>
                    </w:rPr>
                  </w:pPr>
                </w:p>
              </w:tc>
              <w:tc>
                <w:tcPr>
                  <w:tcW w:w="1811" w:type="dxa"/>
                </w:tcPr>
                <w:p>
                  <w:pPr>
                    <w:rPr>
                      <w:rFonts w:hint="default" w:eastAsia="宋体"/>
                      <w:highlight w:val="none"/>
                      <w:lang w:val="en-US" w:eastAsia="zh-CN"/>
                    </w:rPr>
                  </w:pPr>
                </w:p>
              </w:tc>
              <w:tc>
                <w:tcPr>
                  <w:tcW w:w="1276"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highlight w:val="none"/>
                    </w:rPr>
                  </w:pPr>
                  <w:r>
                    <w:rPr>
                      <w:rFonts w:hint="eastAsia"/>
                      <w:highlight w:val="none"/>
                    </w:rPr>
                    <w:sym w:font="Wingdings" w:char="00A8"/>
                  </w:r>
                  <w:r>
                    <w:rPr>
                      <w:rFonts w:hint="eastAsia"/>
                      <w:highlight w:val="none"/>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default" w:eastAsia="宋体"/>
                      <w:highlight w:val="none"/>
                      <w:lang w:val="en-US" w:eastAsia="zh-CN"/>
                    </w:rPr>
                  </w:pPr>
                </w:p>
              </w:tc>
              <w:tc>
                <w:tcPr>
                  <w:tcW w:w="2217" w:type="dxa"/>
                </w:tcPr>
                <w:p>
                  <w:pPr>
                    <w:rPr>
                      <w:rFonts w:hint="default"/>
                      <w:highlight w:val="none"/>
                      <w:lang w:val="en-US" w:eastAsia="zh-CN"/>
                    </w:rPr>
                  </w:pPr>
                </w:p>
              </w:tc>
              <w:tc>
                <w:tcPr>
                  <w:tcW w:w="1434" w:type="dxa"/>
                </w:tcPr>
                <w:p>
                  <w:pPr>
                    <w:rPr>
                      <w:rFonts w:hint="default" w:eastAsia="宋体"/>
                      <w:highlight w:val="none"/>
                      <w:lang w:val="en-US" w:eastAsia="zh-CN"/>
                    </w:rPr>
                  </w:pPr>
                </w:p>
              </w:tc>
              <w:tc>
                <w:tcPr>
                  <w:tcW w:w="1811" w:type="dxa"/>
                </w:tcPr>
                <w:p>
                  <w:pPr>
                    <w:rPr>
                      <w:rFonts w:hint="default"/>
                      <w:highlight w:val="none"/>
                      <w:lang w:val="en-US" w:eastAsia="zh-CN"/>
                    </w:rPr>
                  </w:pPr>
                </w:p>
              </w:tc>
              <w:tc>
                <w:tcPr>
                  <w:tcW w:w="1276"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rFonts w:hint="eastAsia"/>
                      <w:highlight w:val="none"/>
                    </w:rPr>
                  </w:pPr>
                  <w:r>
                    <w:rPr>
                      <w:rFonts w:hint="eastAsia"/>
                      <w:highlight w:val="none"/>
                    </w:rPr>
                    <w:sym w:font="Wingdings" w:char="00A8"/>
                  </w:r>
                  <w:r>
                    <w:rPr>
                      <w:rFonts w:hint="eastAsia"/>
                      <w:highlight w:val="none"/>
                    </w:rPr>
                    <w:t>再次发生</w:t>
                  </w:r>
                </w:p>
              </w:tc>
            </w:tr>
          </w:tbl>
          <w:p>
            <w:pPr>
              <w:rPr>
                <w:rFonts w:hint="eastAsia"/>
                <w:highlight w:val="none"/>
              </w:rPr>
            </w:pPr>
          </w:p>
          <w:p>
            <w:pPr>
              <w:rPr>
                <w:rFonts w:hint="default"/>
                <w:highlight w:val="none"/>
                <w:u w:val="single"/>
                <w:lang w:val="en-US" w:eastAsia="zh-CN"/>
              </w:rPr>
            </w:pPr>
            <w:r>
              <w:rPr>
                <w:rFonts w:hint="eastAsia"/>
                <w:highlight w:val="none"/>
                <w:lang w:val="en-US" w:eastAsia="zh-CN"/>
              </w:rPr>
              <w:t>OHSMS：</w:t>
            </w:r>
            <w:r>
              <w:rPr>
                <w:rFonts w:hint="eastAsia"/>
                <w:highlight w:val="none"/>
                <w:u w:val="single"/>
                <w:lang w:val="en-US" w:eastAsia="zh-CN"/>
              </w:rPr>
              <w:t>审核周期内未发生</w:t>
            </w:r>
          </w:p>
          <w:p>
            <w:pPr>
              <w:rPr>
                <w:rFonts w:hint="eastAsia"/>
                <w:highlight w:val="none"/>
              </w:rPr>
            </w:pPr>
            <w:r>
              <w:rPr>
                <w:rFonts w:hint="eastAsia"/>
                <w:highlight w:val="none"/>
              </w:rPr>
              <w:t>确定并实施纠正措施按照控制层级和变更管理</w:t>
            </w:r>
            <w:r>
              <w:rPr>
                <w:rFonts w:hint="eastAsia"/>
                <w:highlight w:val="none"/>
                <w:lang w:eastAsia="zh-CN"/>
              </w:rPr>
              <w:t>；</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在采取措施前，评价与新的或变化的危险源相关的职业健康安全风险；</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评审任何所采取措施的有效性，包括纠正措施；</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在必要时，变更职业健康安全管理体系。</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highlight w:val="none"/>
              </w:rPr>
            </w:pP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02" w:type="dxa"/>
            <w:vMerge w:val="restart"/>
            <w:shd w:val="clear" w:color="auto" w:fill="auto"/>
          </w:tcPr>
          <w:p>
            <w:r>
              <w:rPr>
                <w:rFonts w:hint="eastAsia"/>
              </w:rPr>
              <w:t>持续改进</w:t>
            </w:r>
          </w:p>
        </w:tc>
        <w:tc>
          <w:tcPr>
            <w:tcW w:w="1129" w:type="dxa"/>
            <w:vMerge w:val="restart"/>
            <w:shd w:val="clear" w:color="auto" w:fill="auto"/>
          </w:tcPr>
          <w:p>
            <w:pPr>
              <w:rPr>
                <w:sz w:val="21"/>
                <w:szCs w:val="21"/>
              </w:rPr>
            </w:pPr>
            <w:r>
              <w:rPr>
                <w:rFonts w:hint="eastAsia"/>
                <w:sz w:val="21"/>
                <w:szCs w:val="21"/>
              </w:rPr>
              <w:t>Q10.3</w:t>
            </w:r>
          </w:p>
          <w:p>
            <w:pPr>
              <w:rPr>
                <w:rFonts w:hint="eastAsia"/>
                <w:sz w:val="21"/>
                <w:szCs w:val="21"/>
              </w:rPr>
            </w:pPr>
            <w:r>
              <w:rPr>
                <w:rFonts w:hint="eastAsia"/>
                <w:sz w:val="21"/>
                <w:szCs w:val="21"/>
              </w:rPr>
              <w:t>F10.2</w:t>
            </w:r>
          </w:p>
          <w:p>
            <w:pPr>
              <w:pStyle w:val="9"/>
              <w:rPr>
                <w:rFonts w:hint="eastAsia"/>
                <w:sz w:val="21"/>
                <w:szCs w:val="21"/>
                <w:lang w:val="en-US" w:eastAsia="zh-CN"/>
              </w:rPr>
            </w:pPr>
            <w:r>
              <w:rPr>
                <w:rFonts w:hint="eastAsia"/>
                <w:sz w:val="21"/>
                <w:szCs w:val="21"/>
                <w:lang w:val="en-US" w:eastAsia="zh-CN"/>
              </w:rPr>
              <w:t>E10.3</w:t>
            </w:r>
          </w:p>
          <w:p>
            <w:pPr>
              <w:pStyle w:val="9"/>
              <w:rPr>
                <w:rFonts w:hint="default"/>
                <w:lang w:val="en-US" w:eastAsia="zh-CN"/>
              </w:rPr>
            </w:pPr>
            <w:r>
              <w:rPr>
                <w:rFonts w:hint="eastAsia"/>
                <w:lang w:val="en-US" w:eastAsia="zh-CN"/>
              </w:rPr>
              <w:t>H5.5</w:t>
            </w:r>
          </w:p>
        </w:tc>
        <w:tc>
          <w:tcPr>
            <w:tcW w:w="745" w:type="dxa"/>
            <w:shd w:val="clear" w:color="auto" w:fill="auto"/>
          </w:tcPr>
          <w:p>
            <w:r>
              <w:rPr>
                <w:rFonts w:hint="eastAsia"/>
              </w:rPr>
              <w:t>文件名称</w:t>
            </w:r>
          </w:p>
        </w:tc>
        <w:tc>
          <w:tcPr>
            <w:tcW w:w="9260" w:type="dxa"/>
            <w:gridSpan w:val="2"/>
            <w:shd w:val="clear" w:color="auto" w:fill="auto"/>
          </w:tcPr>
          <w:p>
            <w:pPr>
              <w:rPr>
                <w:rFonts w:hint="eastAsia" w:eastAsia="宋体"/>
                <w:lang w:eastAsia="zh-CN"/>
              </w:rPr>
            </w:pPr>
            <w:r>
              <w:rPr>
                <w:rFonts w:hint="eastAsia"/>
              </w:rPr>
              <w:t>如：</w:t>
            </w:r>
            <w:r>
              <w:rPr>
                <w:rFonts w:hint="eastAsia"/>
              </w:rPr>
              <w:sym w:font="Wingdings" w:char="00FE"/>
            </w:r>
            <w:r>
              <w:rPr>
                <w:rFonts w:hint="eastAsia"/>
              </w:rPr>
              <w:t>管理手册10.3</w:t>
            </w:r>
            <w:r>
              <w:rPr>
                <w:rFonts w:hint="eastAsia"/>
                <w:lang w:val="en-US" w:eastAsia="zh-CN"/>
              </w:rPr>
              <w:t>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r>
              <w:rPr>
                <w:rFonts w:hint="eastAsia"/>
              </w:rPr>
              <w:t>组织已持续改进质量</w:t>
            </w:r>
            <w:r>
              <w:rPr>
                <w:rFonts w:hint="eastAsia"/>
                <w:lang w:val="en-US" w:eastAsia="zh-CN"/>
              </w:rPr>
              <w:t>/环境/</w:t>
            </w:r>
            <w:r>
              <w:rPr>
                <w:rFonts w:hint="eastAsia"/>
              </w:rPr>
              <w:t>食品安全管理体系</w:t>
            </w:r>
            <w:r>
              <w:rPr>
                <w:rFonts w:hint="eastAsia"/>
                <w:lang w:val="en-US" w:eastAsia="zh-CN"/>
              </w:rPr>
              <w:t>/HACCP体系</w:t>
            </w:r>
            <w:r>
              <w:rPr>
                <w:rFonts w:hint="eastAsia"/>
              </w:rPr>
              <w:t>的适宜性、充分性和有效性，以提升食品安全绩效</w:t>
            </w:r>
            <w:r>
              <w:rPr>
                <w:rFonts w:hint="eastAsia"/>
                <w:lang w:val="en-US" w:eastAsia="zh-CN"/>
              </w:rPr>
              <w:t>/环境绩效</w:t>
            </w:r>
            <w:r>
              <w:rPr>
                <w:rFonts w:hint="eastAsia"/>
              </w:rPr>
              <w:t xml:space="preserve">。 </w:t>
            </w:r>
          </w:p>
          <w:p>
            <w:r>
              <w:rPr>
                <w:rFonts w:hint="eastAsia"/>
              </w:rPr>
              <w:t>组织考虑了分析和评价的结果以及管理评审的输出，确定是否存在需求或机遇，这些需求或机遇应作为持续改进的一部分加以应对。</w:t>
            </w:r>
          </w:p>
          <w:p>
            <w:r>
              <w:rPr>
                <w:rFonts w:hint="eastAsia"/>
              </w:rPr>
              <w:sym w:font="Wingdings" w:char="00FE"/>
            </w:r>
            <w:r>
              <w:rPr>
                <w:rFonts w:hint="eastAsia"/>
              </w:rPr>
              <w:t xml:space="preserve"> 管理评审改进措施已落实</w:t>
            </w:r>
          </w:p>
          <w:p>
            <w:pPr>
              <w:rPr>
                <w:rFonts w:hint="eastAsia"/>
                <w:u w:val="single"/>
              </w:rPr>
            </w:pPr>
            <w:r>
              <w:rPr>
                <w:rFonts w:hint="eastAsia"/>
              </w:rPr>
              <w:sym w:font="Wingdings" w:char="00A8"/>
            </w:r>
            <w:r>
              <w:rPr>
                <w:rFonts w:hint="eastAsia"/>
              </w:rPr>
              <w:t xml:space="preserve"> 管理评审改进措施未落实的原因：</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9"/>
            </w:pPr>
          </w:p>
          <w:p>
            <w:r>
              <w:rPr>
                <w:rFonts w:hint="eastAsia"/>
              </w:rPr>
              <w:t>最高管理者应确保组织通过以下活动，持续改进食品安全管理体系的有效性：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02" w:type="dxa"/>
            <w:vMerge w:val="restart"/>
            <w:shd w:val="clear" w:color="auto" w:fill="auto"/>
          </w:tcPr>
          <w:p>
            <w:pPr>
              <w:rPr>
                <w:rFonts w:hint="eastAsia" w:eastAsia="宋体"/>
                <w:color w:val="auto"/>
                <w:highlight w:val="none"/>
                <w:lang w:val="en-US" w:eastAsia="zh-CN"/>
              </w:rPr>
            </w:pPr>
            <w:r>
              <w:rPr>
                <w:rFonts w:hint="eastAsia"/>
                <w:color w:val="auto"/>
                <w:highlight w:val="none"/>
                <w:lang w:val="en-US" w:eastAsia="zh-CN"/>
              </w:rPr>
              <w:t>持续改进</w:t>
            </w:r>
          </w:p>
        </w:tc>
        <w:tc>
          <w:tcPr>
            <w:tcW w:w="1129" w:type="dxa"/>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O10.3</w:t>
            </w:r>
          </w:p>
        </w:tc>
        <w:tc>
          <w:tcPr>
            <w:tcW w:w="745" w:type="dxa"/>
            <w:shd w:val="clear" w:color="auto" w:fill="auto"/>
          </w:tcPr>
          <w:p>
            <w:pPr>
              <w:rPr>
                <w:rFonts w:hint="default" w:eastAsia="宋体"/>
                <w:color w:val="auto"/>
                <w:highlight w:val="none"/>
                <w:lang w:val="en-US" w:eastAsia="zh-CN"/>
              </w:rPr>
            </w:pPr>
            <w:r>
              <w:rPr>
                <w:rFonts w:hint="eastAsia"/>
                <w:color w:val="auto"/>
                <w:highlight w:val="none"/>
                <w:lang w:val="en-US" w:eastAsia="zh-CN"/>
              </w:rPr>
              <w:t>文件名称</w:t>
            </w:r>
          </w:p>
        </w:tc>
        <w:tc>
          <w:tcPr>
            <w:tcW w:w="9260" w:type="dxa"/>
            <w:gridSpan w:val="2"/>
            <w:shd w:val="clear" w:color="auto" w:fill="auto"/>
          </w:tcPr>
          <w:p>
            <w:pPr>
              <w:rPr>
                <w:rFonts w:hint="eastAsia"/>
                <w:color w:val="auto"/>
                <w:highlight w:val="none"/>
                <w:lang w:val="en-US" w:eastAsia="zh-CN"/>
              </w:rPr>
            </w:pPr>
            <w:r>
              <w:rPr>
                <w:rFonts w:hint="eastAsia"/>
                <w:color w:val="auto"/>
                <w:highlight w:val="none"/>
                <w:lang w:val="en-US" w:eastAsia="zh-CN"/>
              </w:rPr>
              <w:t>如：</w:t>
            </w:r>
            <w:r>
              <w:rPr>
                <w:rFonts w:hint="eastAsia"/>
                <w:color w:val="1D41D5"/>
                <w:highlight w:val="none"/>
              </w:rPr>
              <w:sym w:font="Wingdings" w:char="00FE"/>
            </w:r>
            <w:r>
              <w:rPr>
                <w:rFonts w:hint="eastAsia"/>
                <w:color w:val="auto"/>
                <w:highlight w:val="none"/>
                <w:lang w:val="en-US" w:eastAsia="zh-CN"/>
              </w:rPr>
              <w:t>手册10.3章、</w:t>
            </w:r>
            <w:r>
              <w:rPr>
                <w:rFonts w:hint="eastAsia"/>
                <w:color w:val="1D41D5"/>
                <w:highlight w:val="none"/>
              </w:rPr>
              <w:sym w:font="Wingdings" w:char="00A8"/>
            </w:r>
            <w:r>
              <w:rPr>
                <w:rFonts w:hint="eastAsia"/>
                <w:color w:val="auto"/>
                <w:highlight w:val="none"/>
                <w:lang w:val="en-US" w:eastAsia="zh-CN"/>
              </w:rPr>
              <w:t>《</w:t>
            </w:r>
            <w:r>
              <w:rPr>
                <w:rFonts w:hint="eastAsia" w:ascii="Arial" w:hAnsi="Arial"/>
                <w:color w:val="auto"/>
                <w:highlight w:val="none"/>
              </w:rPr>
              <w:t>事件、</w:t>
            </w:r>
            <w:r>
              <w:rPr>
                <w:rFonts w:hint="eastAsia"/>
                <w:color w:val="auto"/>
                <w:highlight w:val="none"/>
                <w:lang w:val="en-US" w:eastAsia="zh-CN"/>
              </w:rPr>
              <w:t>不符合和纠正措施控制程序》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1902" w:type="dxa"/>
            <w:vMerge w:val="continue"/>
            <w:shd w:val="clear" w:color="auto" w:fill="auto"/>
          </w:tcPr>
          <w:p>
            <w:pPr>
              <w:rPr>
                <w:rFonts w:hint="eastAsia"/>
                <w:color w:val="auto"/>
                <w:highlight w:val="none"/>
              </w:rPr>
            </w:pPr>
          </w:p>
        </w:tc>
        <w:tc>
          <w:tcPr>
            <w:tcW w:w="1129" w:type="dxa"/>
            <w:vMerge w:val="continue"/>
            <w:shd w:val="clear" w:color="auto" w:fill="auto"/>
          </w:tcPr>
          <w:p>
            <w:pPr>
              <w:rPr>
                <w:rFonts w:hint="eastAsia"/>
                <w:color w:val="auto"/>
                <w:highlight w:val="none"/>
                <w:lang w:val="en-US" w:eastAsia="zh-CN"/>
              </w:rPr>
            </w:pPr>
          </w:p>
        </w:tc>
        <w:tc>
          <w:tcPr>
            <w:tcW w:w="745" w:type="dxa"/>
            <w:shd w:val="clear" w:color="auto" w:fill="auto"/>
          </w:tcPr>
          <w:p>
            <w:pPr>
              <w:rPr>
                <w:rFonts w:hint="default"/>
                <w:color w:val="auto"/>
                <w:highlight w:val="none"/>
                <w:lang w:val="en-US" w:eastAsia="zh-CN"/>
              </w:rPr>
            </w:pPr>
            <w:r>
              <w:rPr>
                <w:rFonts w:hint="eastAsia"/>
                <w:color w:val="auto"/>
                <w:highlight w:val="none"/>
                <w:lang w:val="en-US" w:eastAsia="zh-CN"/>
              </w:rPr>
              <w:t>运行证据</w:t>
            </w:r>
          </w:p>
        </w:tc>
        <w:tc>
          <w:tcPr>
            <w:tcW w:w="9260" w:type="dxa"/>
            <w:gridSpan w:val="2"/>
            <w:shd w:val="clear" w:color="auto" w:fill="auto"/>
          </w:tcPr>
          <w:p>
            <w:pPr>
              <w:rPr>
                <w:rFonts w:hint="eastAsia"/>
                <w:color w:val="auto"/>
                <w:highlight w:val="none"/>
              </w:rPr>
            </w:pPr>
            <w:r>
              <w:rPr>
                <w:rFonts w:hint="eastAsia"/>
                <w:color w:val="auto"/>
                <w:highlight w:val="none"/>
              </w:rPr>
              <w:t>组织通过下列方式持续改进职业健康安全管理体系的适宜性、充分性与有效性：</w:t>
            </w:r>
          </w:p>
          <w:tbl>
            <w:tblPr>
              <w:tblStyle w:val="13"/>
              <w:tblpPr w:leftFromText="180" w:rightFromText="180" w:vertAnchor="text" w:horzAnchor="page" w:tblpX="209" w:tblpY="125"/>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改进方式</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改进活动</w:t>
                  </w:r>
                </w:p>
              </w:tc>
              <w:tc>
                <w:tcPr>
                  <w:tcW w:w="1947" w:type="dxa"/>
                  <w:vAlign w:val="top"/>
                </w:tcPr>
                <w:p>
                  <w:pPr>
                    <w:rPr>
                      <w:rFonts w:hint="eastAsia" w:eastAsia="宋体"/>
                      <w:color w:val="auto"/>
                      <w:highlight w:val="none"/>
                      <w:vertAlign w:val="baseline"/>
                      <w:lang w:val="en-US" w:eastAsia="zh-CN"/>
                    </w:rPr>
                  </w:pPr>
                  <w:r>
                    <w:rPr>
                      <w:rFonts w:hint="eastAsia"/>
                      <w:color w:val="auto"/>
                      <w:highlight w:val="none"/>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提升职业健康安全绩效</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tc>
              <w:tc>
                <w:tcPr>
                  <w:tcW w:w="1947"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促进支持职业健康安全管理体系的文化</w:t>
                  </w:r>
                </w:p>
              </w:tc>
              <w:tc>
                <w:tcPr>
                  <w:tcW w:w="3305"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见OHS意识的培养</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促进工作人员参与职业健康安全管理体系持续改进措施的实施</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default"/>
                      <w:color w:val="auto"/>
                      <w:highlight w:val="none"/>
                      <w:vertAlign w:val="baseline"/>
                      <w:lang w:val="en-US" w:eastAsia="zh-CN"/>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就有关持续改进的结果与工作人员及其代表（若有）进行沟通</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eastAsia"/>
                      <w:color w:val="auto"/>
                      <w:highlight w:val="none"/>
                      <w:vertAlign w:val="baseline"/>
                    </w:rPr>
                  </w:pPr>
                  <w:r>
                    <w:rPr>
                      <w:rFonts w:hint="eastAsia"/>
                      <w:color w:val="auto"/>
                      <w:highlight w:val="none"/>
                    </w:rPr>
                    <w:sym w:font="Wingdings" w:char="00A8"/>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bl>
          <w:p>
            <w:pPr>
              <w:rPr>
                <w:color w:val="auto"/>
                <w:highlight w:val="yellow"/>
              </w:rPr>
            </w:pPr>
          </w:p>
          <w:p>
            <w:pPr>
              <w:rPr>
                <w:rFonts w:hint="default"/>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管理评审改进措施已落实</w:t>
            </w:r>
          </w:p>
          <w:p>
            <w:pPr>
              <w:rPr>
                <w:rFonts w:hint="default"/>
                <w:color w:val="auto"/>
                <w:highlight w:val="none"/>
                <w:u w:val="single"/>
                <w:lang w:val="en-US" w:eastAsia="zh-CN"/>
              </w:rPr>
            </w:pPr>
            <w:r>
              <w:rPr>
                <w:rFonts w:hint="eastAsia"/>
                <w:color w:val="auto"/>
                <w:highlight w:val="none"/>
                <w:lang w:val="en-US" w:eastAsia="zh-CN"/>
              </w:rPr>
              <w:sym w:font="Wingdings" w:char="00A8"/>
            </w:r>
            <w:r>
              <w:rPr>
                <w:rFonts w:hint="eastAsia"/>
                <w:color w:val="auto"/>
                <w:highlight w:val="none"/>
                <w:lang w:val="en-US" w:eastAsia="zh-CN"/>
              </w:rPr>
              <w:t xml:space="preserve"> 管理评审改进措施未落实的原因：</w:t>
            </w:r>
            <w:r>
              <w:rPr>
                <w:rFonts w:hint="eastAsia"/>
                <w:color w:val="auto"/>
                <w:highlight w:val="none"/>
                <w:u w:val="single"/>
                <w:lang w:val="en-US" w:eastAsia="zh-CN"/>
              </w:rPr>
              <w:t xml:space="preserve">            </w:t>
            </w:r>
          </w:p>
          <w:p>
            <w:pPr>
              <w:rPr>
                <w:rFonts w:hint="default"/>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1902" w:type="dxa"/>
            <w:vMerge w:val="restart"/>
            <w:shd w:val="clear" w:color="auto" w:fill="auto"/>
          </w:tcPr>
          <w:p>
            <w:r>
              <w:rPr>
                <w:rFonts w:hint="eastAsia"/>
              </w:rPr>
              <w:t>食品安全管理体系的更新</w:t>
            </w:r>
          </w:p>
          <w:p/>
        </w:tc>
        <w:tc>
          <w:tcPr>
            <w:tcW w:w="1129" w:type="dxa"/>
            <w:vMerge w:val="restart"/>
            <w:shd w:val="clear" w:color="auto" w:fill="auto"/>
          </w:tcPr>
          <w:p>
            <w:r>
              <w:rPr>
                <w:rFonts w:hint="eastAsia"/>
              </w:rPr>
              <w:t>F10.3</w:t>
            </w:r>
          </w:p>
        </w:tc>
        <w:tc>
          <w:tcPr>
            <w:tcW w:w="745" w:type="dxa"/>
            <w:shd w:val="clear" w:color="auto" w:fill="auto"/>
          </w:tcPr>
          <w:p>
            <w:r>
              <w:rPr>
                <w:rFonts w:hint="eastAsia"/>
              </w:rPr>
              <w:t>文件名称</w:t>
            </w:r>
          </w:p>
        </w:tc>
        <w:tc>
          <w:tcPr>
            <w:tcW w:w="9260" w:type="dxa"/>
            <w:gridSpan w:val="2"/>
            <w:shd w:val="clear" w:color="auto" w:fill="auto"/>
          </w:tcPr>
          <w:p>
            <w:pPr>
              <w:rPr>
                <w:rFonts w:hint="default" w:eastAsia="宋体"/>
                <w:lang w:val="en-US" w:eastAsia="zh-CN"/>
              </w:rPr>
            </w:pPr>
            <w:r>
              <w:rPr>
                <w:rFonts w:hint="eastAsia"/>
              </w:rPr>
              <w:t>如：</w:t>
            </w:r>
            <w:r>
              <w:rPr>
                <w:rFonts w:hint="eastAsia"/>
              </w:rPr>
              <w:sym w:font="Wingdings" w:char="00FE"/>
            </w:r>
            <w:r>
              <w:rPr>
                <w:rFonts w:hint="eastAsia"/>
              </w:rPr>
              <w:t>管理手册10.</w:t>
            </w:r>
            <w:r>
              <w:rPr>
                <w:rFonts w:hint="eastAsia"/>
                <w:lang w:val="en-US" w:eastAsia="zh-CN"/>
              </w:rPr>
              <w:t>4条款</w:t>
            </w:r>
          </w:p>
        </w:tc>
        <w:tc>
          <w:tcPr>
            <w:tcW w:w="1585" w:type="dxa"/>
            <w:vMerge w:val="restart"/>
            <w:shd w:val="clear" w:color="auto" w:fill="auto"/>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3" w:hRule="atLeast"/>
        </w:trPr>
        <w:tc>
          <w:tcPr>
            <w:tcW w:w="1902" w:type="dxa"/>
            <w:vMerge w:val="continue"/>
            <w:shd w:val="clear" w:color="auto" w:fill="auto"/>
          </w:tcPr>
          <w:p/>
        </w:tc>
        <w:tc>
          <w:tcPr>
            <w:tcW w:w="1129" w:type="dxa"/>
            <w:vMerge w:val="continue"/>
            <w:shd w:val="clear" w:color="auto" w:fill="auto"/>
          </w:tcPr>
          <w:p/>
        </w:tc>
        <w:tc>
          <w:tcPr>
            <w:tcW w:w="745" w:type="dxa"/>
            <w:shd w:val="clear" w:color="auto" w:fill="auto"/>
          </w:tcPr>
          <w:p>
            <w:r>
              <w:rPr>
                <w:rFonts w:hint="eastAsia"/>
              </w:rPr>
              <w:t>运行证据</w:t>
            </w:r>
          </w:p>
        </w:tc>
        <w:tc>
          <w:tcPr>
            <w:tcW w:w="9260" w:type="dxa"/>
            <w:gridSpan w:val="2"/>
            <w:shd w:val="clear" w:color="auto" w:fill="auto"/>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pPr>
              <w:pStyle w:val="2"/>
            </w:pP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w:t>
            </w:r>
            <w:r>
              <w:rPr>
                <w:rFonts w:hint="eastAsia"/>
                <w:u w:val="single"/>
                <w:lang w:val="en-US" w:eastAsia="zh-CN"/>
              </w:rPr>
              <w:t>首次建立体系，未发生更新</w:t>
            </w:r>
            <w:r>
              <w:rPr>
                <w:rFonts w:hint="eastAsia"/>
                <w:u w:val="single"/>
              </w:rPr>
              <w:t xml:space="preserve">   </w:t>
            </w:r>
            <w:r>
              <w:rPr>
                <w:rFonts w:hint="eastAsia"/>
              </w:rPr>
              <w:t xml:space="preserve"> </w:t>
            </w:r>
            <w:r>
              <w:t>，作为输入报告给管理评审。</w:t>
            </w:r>
          </w:p>
        </w:tc>
        <w:tc>
          <w:tcPr>
            <w:tcW w:w="1585" w:type="dxa"/>
            <w:vMerge w:val="continue"/>
            <w:shd w:val="clear" w:color="auto" w:fill="auto"/>
          </w:tcPr>
          <w:p/>
        </w:tc>
      </w:tr>
    </w:tbl>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990" w:firstLineChars="550"/>
      <w:jc w:val="left"/>
      <w:rPr>
        <w:rStyle w:val="20"/>
        <w:rFonts w:hint="default"/>
      </w:rPr>
    </w:pPr>
    <w:r>
      <w:drawing>
        <wp:anchor distT="0" distB="0" distL="114300" distR="114300" simplePos="0" relativeHeight="251660288" behindDoc="0" locked="0" layoutInCell="1" allowOverlap="1">
          <wp:simplePos x="0" y="0"/>
          <wp:positionH relativeFrom="column">
            <wp:posOffset>90805</wp:posOffset>
          </wp:positionH>
          <wp:positionV relativeFrom="paragraph">
            <wp:posOffset>27940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0"/>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7102475</wp:posOffset>
              </wp:positionH>
              <wp:positionV relativeFrom="paragraph">
                <wp:posOffset>40640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9.25pt;margin-top:3.2pt;height:20.2pt;width:172pt;z-index:251659264;mso-width-relative:page;mso-height-relative:page;" fillcolor="#FFFFFF" filled="t" stroked="f" coordsize="21600,21600" o:gfxdata="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qOaX1wAAAAoBAAAPAAAAAAAAAAEAIAAAACIA&#10;AABkcnMvZG93bnJldi54bWxQSwECFAAUAAAACACHTuJAj3ZKddEBAACOAwAADgAAAAAAAAABACAA&#10;AAAm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20"/>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BB083"/>
    <w:multiLevelType w:val="singleLevel"/>
    <w:tmpl w:val="AA1BB083"/>
    <w:lvl w:ilvl="0" w:tentative="0">
      <w:start w:val="1"/>
      <w:numFmt w:val="decimal"/>
      <w:suff w:val="space"/>
      <w:lvlText w:val="%1."/>
      <w:lvlJc w:val="left"/>
    </w:lvl>
  </w:abstractNum>
  <w:abstractNum w:abstractNumId="1">
    <w:nsid w:val="B176EE5A"/>
    <w:multiLevelType w:val="singleLevel"/>
    <w:tmpl w:val="B176EE5A"/>
    <w:lvl w:ilvl="0" w:tentative="0">
      <w:start w:val="1"/>
      <w:numFmt w:val="decimal"/>
      <w:suff w:val="space"/>
      <w:lvlText w:val="%1."/>
      <w:lvlJc w:val="left"/>
    </w:lvl>
  </w:abstractNum>
  <w:abstractNum w:abstractNumId="2">
    <w:nsid w:val="D9157FF7"/>
    <w:multiLevelType w:val="singleLevel"/>
    <w:tmpl w:val="D9157FF7"/>
    <w:lvl w:ilvl="0" w:tentative="0">
      <w:start w:val="1"/>
      <w:numFmt w:val="lowerLetter"/>
      <w:suff w:val="space"/>
      <w:lvlText w:val="%1)"/>
      <w:lvlJc w:val="left"/>
    </w:lvl>
  </w:abstractNum>
  <w:abstractNum w:abstractNumId="3">
    <w:nsid w:val="19E194F9"/>
    <w:multiLevelType w:val="singleLevel"/>
    <w:tmpl w:val="19E194F9"/>
    <w:lvl w:ilvl="0" w:tentative="0">
      <w:start w:val="1"/>
      <w:numFmt w:val="lowerLetter"/>
      <w:lvlText w:val="%1)"/>
      <w:lvlJc w:val="left"/>
      <w:pPr>
        <w:tabs>
          <w:tab w:val="left" w:pos="312"/>
        </w:tabs>
      </w:pPr>
    </w:lvl>
  </w:abstractNum>
  <w:abstractNum w:abstractNumId="4">
    <w:nsid w:val="36DF7658"/>
    <w:multiLevelType w:val="singleLevel"/>
    <w:tmpl w:val="36DF7658"/>
    <w:lvl w:ilvl="0" w:tentative="0">
      <w:start w:val="1"/>
      <w:numFmt w:val="decimal"/>
      <w:suff w:val="nothing"/>
      <w:lvlText w:val="%1、"/>
      <w:lvlJc w:val="left"/>
    </w:lvl>
  </w:abstractNum>
  <w:abstractNum w:abstractNumId="5">
    <w:nsid w:val="4BD02BBF"/>
    <w:multiLevelType w:val="multilevel"/>
    <w:tmpl w:val="4BD02BB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D003148"/>
    <w:multiLevelType w:val="singleLevel"/>
    <w:tmpl w:val="4D003148"/>
    <w:lvl w:ilvl="0" w:tentative="0">
      <w:start w:val="1"/>
      <w:numFmt w:val="decimal"/>
      <w:lvlText w:val="%1."/>
      <w:lvlJc w:val="left"/>
      <w:pPr>
        <w:tabs>
          <w:tab w:val="left" w:pos="312"/>
        </w:tabs>
      </w:pPr>
    </w:lvl>
  </w:abstractNum>
  <w:abstractNum w:abstractNumId="7">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4"/>
      <w:suff w:val="nothing"/>
      <w:lvlText w:val="%1%2.%3　"/>
      <w:lvlJc w:val="left"/>
      <w:pPr>
        <w:ind w:left="735" w:firstLine="0"/>
      </w:pPr>
      <w:rPr>
        <w:rFonts w:hint="eastAsia" w:ascii="黑体" w:hAnsi="Times New Roman" w:eastAsia="黑体"/>
        <w:b w:val="0"/>
        <w:i w:val="0"/>
        <w:sz w:val="21"/>
      </w:rPr>
    </w:lvl>
    <w:lvl w:ilvl="3" w:tentative="0">
      <w:start w:val="1"/>
      <w:numFmt w:val="decimal"/>
      <w:pStyle w:val="23"/>
      <w:suff w:val="nothing"/>
      <w:lvlText w:val="%1%2.%3.%4　"/>
      <w:lvlJc w:val="left"/>
      <w:pPr>
        <w:ind w:left="1050" w:firstLine="0"/>
      </w:pPr>
      <w:rPr>
        <w:rFonts w:hint="eastAsia" w:ascii="黑体" w:hAnsi="Times New Roman" w:eastAsia="黑体"/>
        <w:b w:val="0"/>
        <w:i w:val="0"/>
        <w:sz w:val="21"/>
      </w:rPr>
    </w:lvl>
    <w:lvl w:ilvl="4" w:tentative="0">
      <w:start w:val="1"/>
      <w:numFmt w:val="decimal"/>
      <w:pStyle w:val="22"/>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7"/>
  </w:num>
  <w:num w:numId="2">
    <w:abstractNumId w:val="0"/>
  </w:num>
  <w:num w:numId="3">
    <w:abstractNumId w:val="5"/>
  </w:num>
  <w:num w:numId="4">
    <w:abstractNumId w:val="4"/>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53043"/>
    <w:rsid w:val="00062E46"/>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A1591"/>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035FA5"/>
    <w:rsid w:val="01260C71"/>
    <w:rsid w:val="01C609E3"/>
    <w:rsid w:val="01E27364"/>
    <w:rsid w:val="01EA67F4"/>
    <w:rsid w:val="02C75A20"/>
    <w:rsid w:val="032F5195"/>
    <w:rsid w:val="03A0688A"/>
    <w:rsid w:val="03A32F8E"/>
    <w:rsid w:val="03AC3D8E"/>
    <w:rsid w:val="03CE483E"/>
    <w:rsid w:val="03CF54E8"/>
    <w:rsid w:val="03E0798B"/>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72170D9"/>
    <w:rsid w:val="07792D4B"/>
    <w:rsid w:val="08767210"/>
    <w:rsid w:val="08851DD7"/>
    <w:rsid w:val="08C22483"/>
    <w:rsid w:val="08ED1EE8"/>
    <w:rsid w:val="09005957"/>
    <w:rsid w:val="096333C5"/>
    <w:rsid w:val="09933EF9"/>
    <w:rsid w:val="09AA0CA5"/>
    <w:rsid w:val="09D43B87"/>
    <w:rsid w:val="09FA6045"/>
    <w:rsid w:val="0A0F142E"/>
    <w:rsid w:val="0A1C56C1"/>
    <w:rsid w:val="0A904067"/>
    <w:rsid w:val="0A9450C5"/>
    <w:rsid w:val="0AB17B55"/>
    <w:rsid w:val="0ACA6ED2"/>
    <w:rsid w:val="0AEF4D8D"/>
    <w:rsid w:val="0B8C3FEE"/>
    <w:rsid w:val="0BE64DFF"/>
    <w:rsid w:val="0C5423F7"/>
    <w:rsid w:val="0C8009B8"/>
    <w:rsid w:val="0CC102DA"/>
    <w:rsid w:val="0D181113"/>
    <w:rsid w:val="0D1E4D9B"/>
    <w:rsid w:val="0D4D1326"/>
    <w:rsid w:val="0D6A2C36"/>
    <w:rsid w:val="0D6E2B63"/>
    <w:rsid w:val="0D9401A4"/>
    <w:rsid w:val="0DB35CC0"/>
    <w:rsid w:val="0DEB5944"/>
    <w:rsid w:val="0E49595F"/>
    <w:rsid w:val="0EB8524B"/>
    <w:rsid w:val="0EF549B6"/>
    <w:rsid w:val="0F1C2E72"/>
    <w:rsid w:val="0F86648B"/>
    <w:rsid w:val="0F9C35C1"/>
    <w:rsid w:val="0FFA42BF"/>
    <w:rsid w:val="100B6D7F"/>
    <w:rsid w:val="100D075A"/>
    <w:rsid w:val="105060D5"/>
    <w:rsid w:val="106A3497"/>
    <w:rsid w:val="108219C2"/>
    <w:rsid w:val="109041EE"/>
    <w:rsid w:val="10991918"/>
    <w:rsid w:val="10A120FB"/>
    <w:rsid w:val="10AB5B5F"/>
    <w:rsid w:val="10C112A0"/>
    <w:rsid w:val="10C11C69"/>
    <w:rsid w:val="10DD2E35"/>
    <w:rsid w:val="11536201"/>
    <w:rsid w:val="115D3DB9"/>
    <w:rsid w:val="11965BC6"/>
    <w:rsid w:val="11BD2BE2"/>
    <w:rsid w:val="11BE2038"/>
    <w:rsid w:val="11DC0AC4"/>
    <w:rsid w:val="11E2439D"/>
    <w:rsid w:val="120170E6"/>
    <w:rsid w:val="12563B2D"/>
    <w:rsid w:val="12982AB9"/>
    <w:rsid w:val="1299251F"/>
    <w:rsid w:val="129D4370"/>
    <w:rsid w:val="12A2571D"/>
    <w:rsid w:val="12A42EA7"/>
    <w:rsid w:val="12A506D3"/>
    <w:rsid w:val="13296CDD"/>
    <w:rsid w:val="134E7573"/>
    <w:rsid w:val="13890C2B"/>
    <w:rsid w:val="13A420AC"/>
    <w:rsid w:val="13C11723"/>
    <w:rsid w:val="13EB79B2"/>
    <w:rsid w:val="145B46D3"/>
    <w:rsid w:val="14C400FD"/>
    <w:rsid w:val="14E813D3"/>
    <w:rsid w:val="14F1297E"/>
    <w:rsid w:val="14F26225"/>
    <w:rsid w:val="15023387"/>
    <w:rsid w:val="15051B66"/>
    <w:rsid w:val="15130EE7"/>
    <w:rsid w:val="151414F9"/>
    <w:rsid w:val="15167847"/>
    <w:rsid w:val="154C7AB0"/>
    <w:rsid w:val="155F4281"/>
    <w:rsid w:val="159B473B"/>
    <w:rsid w:val="15BC540D"/>
    <w:rsid w:val="15F7492E"/>
    <w:rsid w:val="16210B83"/>
    <w:rsid w:val="16583F2B"/>
    <w:rsid w:val="169D3E09"/>
    <w:rsid w:val="16AB3CAD"/>
    <w:rsid w:val="16E341B9"/>
    <w:rsid w:val="16F10A78"/>
    <w:rsid w:val="17226BDD"/>
    <w:rsid w:val="17371845"/>
    <w:rsid w:val="17446813"/>
    <w:rsid w:val="177551EA"/>
    <w:rsid w:val="179B1D36"/>
    <w:rsid w:val="17AA51C2"/>
    <w:rsid w:val="17C079EC"/>
    <w:rsid w:val="17E40B4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76042E"/>
    <w:rsid w:val="1AAF33A8"/>
    <w:rsid w:val="1AB42370"/>
    <w:rsid w:val="1ACF1254"/>
    <w:rsid w:val="1AED5B63"/>
    <w:rsid w:val="1B337B78"/>
    <w:rsid w:val="1B462375"/>
    <w:rsid w:val="1B5E3B97"/>
    <w:rsid w:val="1BAB1BE5"/>
    <w:rsid w:val="1BC86BBE"/>
    <w:rsid w:val="1C392A3A"/>
    <w:rsid w:val="1C6465C0"/>
    <w:rsid w:val="1CB1322F"/>
    <w:rsid w:val="1D424A30"/>
    <w:rsid w:val="1D4D4A00"/>
    <w:rsid w:val="1DC4038A"/>
    <w:rsid w:val="1DF36090"/>
    <w:rsid w:val="1DFE25B1"/>
    <w:rsid w:val="1E511FFA"/>
    <w:rsid w:val="1E752FA2"/>
    <w:rsid w:val="1EDB66A6"/>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3854FC"/>
    <w:rsid w:val="216A74A3"/>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C0DB5"/>
    <w:rsid w:val="255D363B"/>
    <w:rsid w:val="258041F6"/>
    <w:rsid w:val="258609CC"/>
    <w:rsid w:val="261222DF"/>
    <w:rsid w:val="261B55F8"/>
    <w:rsid w:val="261D5675"/>
    <w:rsid w:val="263712CE"/>
    <w:rsid w:val="263C4411"/>
    <w:rsid w:val="26733551"/>
    <w:rsid w:val="26987896"/>
    <w:rsid w:val="269C7CAD"/>
    <w:rsid w:val="271B4DE1"/>
    <w:rsid w:val="272228DE"/>
    <w:rsid w:val="27443F4D"/>
    <w:rsid w:val="274B78E8"/>
    <w:rsid w:val="27602485"/>
    <w:rsid w:val="27CF15FE"/>
    <w:rsid w:val="27D42EE9"/>
    <w:rsid w:val="27E10A81"/>
    <w:rsid w:val="27FE6486"/>
    <w:rsid w:val="280B3F2E"/>
    <w:rsid w:val="28341F0D"/>
    <w:rsid w:val="2892323E"/>
    <w:rsid w:val="289361DE"/>
    <w:rsid w:val="28F214DC"/>
    <w:rsid w:val="29085DCB"/>
    <w:rsid w:val="291C5E47"/>
    <w:rsid w:val="296D2D47"/>
    <w:rsid w:val="29CB46C2"/>
    <w:rsid w:val="29F77BA5"/>
    <w:rsid w:val="2A3A6E77"/>
    <w:rsid w:val="2A3D03AE"/>
    <w:rsid w:val="2A505EF4"/>
    <w:rsid w:val="2A85024C"/>
    <w:rsid w:val="2B0D2F04"/>
    <w:rsid w:val="2B1A65C5"/>
    <w:rsid w:val="2B1D2572"/>
    <w:rsid w:val="2B206A2D"/>
    <w:rsid w:val="2B4C1179"/>
    <w:rsid w:val="2BD60481"/>
    <w:rsid w:val="2BEA3FA7"/>
    <w:rsid w:val="2C2E44D4"/>
    <w:rsid w:val="2C646D6B"/>
    <w:rsid w:val="2C7A3CC3"/>
    <w:rsid w:val="2C7B6C71"/>
    <w:rsid w:val="2D357F0D"/>
    <w:rsid w:val="2D4E604F"/>
    <w:rsid w:val="2D595CC7"/>
    <w:rsid w:val="2D5C2AB0"/>
    <w:rsid w:val="2D7A20E6"/>
    <w:rsid w:val="2DA7392A"/>
    <w:rsid w:val="2DC57805"/>
    <w:rsid w:val="2DDF08DF"/>
    <w:rsid w:val="2DFF79D8"/>
    <w:rsid w:val="2E367C56"/>
    <w:rsid w:val="2E440885"/>
    <w:rsid w:val="2E8D6C8C"/>
    <w:rsid w:val="2EEE512C"/>
    <w:rsid w:val="2F511B05"/>
    <w:rsid w:val="2F7C571D"/>
    <w:rsid w:val="2FA86B66"/>
    <w:rsid w:val="2FE823A5"/>
    <w:rsid w:val="2FEA1C57"/>
    <w:rsid w:val="300172B8"/>
    <w:rsid w:val="30945277"/>
    <w:rsid w:val="30BD2F4A"/>
    <w:rsid w:val="30C71DD4"/>
    <w:rsid w:val="30DC7CB1"/>
    <w:rsid w:val="30ED30CC"/>
    <w:rsid w:val="31064141"/>
    <w:rsid w:val="314F1BC2"/>
    <w:rsid w:val="31B477DB"/>
    <w:rsid w:val="31B67BE2"/>
    <w:rsid w:val="31CA71DD"/>
    <w:rsid w:val="31CC5E08"/>
    <w:rsid w:val="322C67E2"/>
    <w:rsid w:val="324E5138"/>
    <w:rsid w:val="325251B2"/>
    <w:rsid w:val="32A772DD"/>
    <w:rsid w:val="32B72FA5"/>
    <w:rsid w:val="331E21CE"/>
    <w:rsid w:val="33562A0D"/>
    <w:rsid w:val="33715F28"/>
    <w:rsid w:val="337565DF"/>
    <w:rsid w:val="33B20861"/>
    <w:rsid w:val="33F07155"/>
    <w:rsid w:val="340C6245"/>
    <w:rsid w:val="343C4522"/>
    <w:rsid w:val="346F54EA"/>
    <w:rsid w:val="347A0336"/>
    <w:rsid w:val="34F92D63"/>
    <w:rsid w:val="354A3DBC"/>
    <w:rsid w:val="35527F1F"/>
    <w:rsid w:val="357914C0"/>
    <w:rsid w:val="35D721CD"/>
    <w:rsid w:val="36174333"/>
    <w:rsid w:val="364A3F09"/>
    <w:rsid w:val="36712A80"/>
    <w:rsid w:val="3674429B"/>
    <w:rsid w:val="367A501B"/>
    <w:rsid w:val="372D3763"/>
    <w:rsid w:val="3789329D"/>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8B3CB6"/>
    <w:rsid w:val="399117DD"/>
    <w:rsid w:val="39972637"/>
    <w:rsid w:val="39D37108"/>
    <w:rsid w:val="39D7104B"/>
    <w:rsid w:val="3A3E0D9F"/>
    <w:rsid w:val="3A5573DE"/>
    <w:rsid w:val="3AAB1306"/>
    <w:rsid w:val="3ABD0173"/>
    <w:rsid w:val="3ACE23E2"/>
    <w:rsid w:val="3B227AA7"/>
    <w:rsid w:val="3B2E0E8F"/>
    <w:rsid w:val="3B4241C0"/>
    <w:rsid w:val="3B5F0280"/>
    <w:rsid w:val="3BEE1D6F"/>
    <w:rsid w:val="3BF1473C"/>
    <w:rsid w:val="3CA475E5"/>
    <w:rsid w:val="3CA717F2"/>
    <w:rsid w:val="3CC56579"/>
    <w:rsid w:val="3CDA487E"/>
    <w:rsid w:val="3DAB460B"/>
    <w:rsid w:val="3DAE633A"/>
    <w:rsid w:val="3DDA7DB2"/>
    <w:rsid w:val="3DF2719F"/>
    <w:rsid w:val="3DFB571C"/>
    <w:rsid w:val="3E342793"/>
    <w:rsid w:val="3E3C5235"/>
    <w:rsid w:val="3EA34B57"/>
    <w:rsid w:val="3EC25118"/>
    <w:rsid w:val="3EEF1E6E"/>
    <w:rsid w:val="3F654598"/>
    <w:rsid w:val="400766B5"/>
    <w:rsid w:val="40210BCD"/>
    <w:rsid w:val="40571F31"/>
    <w:rsid w:val="40760623"/>
    <w:rsid w:val="408B7234"/>
    <w:rsid w:val="40AD7483"/>
    <w:rsid w:val="40E27AF7"/>
    <w:rsid w:val="40F80D82"/>
    <w:rsid w:val="41342A6B"/>
    <w:rsid w:val="414C7183"/>
    <w:rsid w:val="416877A8"/>
    <w:rsid w:val="418D501C"/>
    <w:rsid w:val="41E9167B"/>
    <w:rsid w:val="42271497"/>
    <w:rsid w:val="42416B50"/>
    <w:rsid w:val="4262379E"/>
    <w:rsid w:val="427A1188"/>
    <w:rsid w:val="42A87009"/>
    <w:rsid w:val="431B704B"/>
    <w:rsid w:val="432A5E11"/>
    <w:rsid w:val="43384925"/>
    <w:rsid w:val="433B1167"/>
    <w:rsid w:val="435F500F"/>
    <w:rsid w:val="43C730CD"/>
    <w:rsid w:val="44122917"/>
    <w:rsid w:val="44A567F5"/>
    <w:rsid w:val="453B1EBC"/>
    <w:rsid w:val="45413E1D"/>
    <w:rsid w:val="45635AEC"/>
    <w:rsid w:val="45BA54FA"/>
    <w:rsid w:val="45EC74A5"/>
    <w:rsid w:val="45FA6B69"/>
    <w:rsid w:val="460414DD"/>
    <w:rsid w:val="46332B60"/>
    <w:rsid w:val="4654705C"/>
    <w:rsid w:val="467F43B6"/>
    <w:rsid w:val="468D2C1F"/>
    <w:rsid w:val="468D3CA5"/>
    <w:rsid w:val="46DB13AA"/>
    <w:rsid w:val="46EA7997"/>
    <w:rsid w:val="46F9571F"/>
    <w:rsid w:val="470243E7"/>
    <w:rsid w:val="471F1498"/>
    <w:rsid w:val="47271944"/>
    <w:rsid w:val="473E2065"/>
    <w:rsid w:val="475C4BFE"/>
    <w:rsid w:val="47BB044C"/>
    <w:rsid w:val="47C0177B"/>
    <w:rsid w:val="48262DE5"/>
    <w:rsid w:val="48397913"/>
    <w:rsid w:val="48880896"/>
    <w:rsid w:val="4949229C"/>
    <w:rsid w:val="496E72CD"/>
    <w:rsid w:val="49C0281D"/>
    <w:rsid w:val="49E449BF"/>
    <w:rsid w:val="49EC77B8"/>
    <w:rsid w:val="49ED5B1C"/>
    <w:rsid w:val="4AD45EF1"/>
    <w:rsid w:val="4ADD13CB"/>
    <w:rsid w:val="4AE04A18"/>
    <w:rsid w:val="4AFD5526"/>
    <w:rsid w:val="4B337454"/>
    <w:rsid w:val="4B407CC6"/>
    <w:rsid w:val="4B42232B"/>
    <w:rsid w:val="4B464DA1"/>
    <w:rsid w:val="4B825A76"/>
    <w:rsid w:val="4B8B3702"/>
    <w:rsid w:val="4B9B0D7E"/>
    <w:rsid w:val="4BBA273D"/>
    <w:rsid w:val="4BC83B65"/>
    <w:rsid w:val="4C1A1162"/>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845391"/>
    <w:rsid w:val="5089714C"/>
    <w:rsid w:val="50A01369"/>
    <w:rsid w:val="50C41CF1"/>
    <w:rsid w:val="51025322"/>
    <w:rsid w:val="51217DA6"/>
    <w:rsid w:val="51294703"/>
    <w:rsid w:val="51425A27"/>
    <w:rsid w:val="5158757E"/>
    <w:rsid w:val="51BC3A3B"/>
    <w:rsid w:val="521A5D1E"/>
    <w:rsid w:val="523624DE"/>
    <w:rsid w:val="52A23F56"/>
    <w:rsid w:val="52BA5471"/>
    <w:rsid w:val="52D871F4"/>
    <w:rsid w:val="52EA2E32"/>
    <w:rsid w:val="52F263D6"/>
    <w:rsid w:val="53024EB7"/>
    <w:rsid w:val="53261795"/>
    <w:rsid w:val="536D357B"/>
    <w:rsid w:val="53836041"/>
    <w:rsid w:val="53953BE7"/>
    <w:rsid w:val="53E93AEB"/>
    <w:rsid w:val="53F51637"/>
    <w:rsid w:val="54124FEF"/>
    <w:rsid w:val="541C4B67"/>
    <w:rsid w:val="543233B5"/>
    <w:rsid w:val="54643395"/>
    <w:rsid w:val="552A2893"/>
    <w:rsid w:val="556B045B"/>
    <w:rsid w:val="557D4E77"/>
    <w:rsid w:val="55C375DD"/>
    <w:rsid w:val="56156439"/>
    <w:rsid w:val="563E0F56"/>
    <w:rsid w:val="56643532"/>
    <w:rsid w:val="568B5A7B"/>
    <w:rsid w:val="56EF4D06"/>
    <w:rsid w:val="570A6E63"/>
    <w:rsid w:val="573B0118"/>
    <w:rsid w:val="573D2268"/>
    <w:rsid w:val="57411925"/>
    <w:rsid w:val="57441E32"/>
    <w:rsid w:val="57535542"/>
    <w:rsid w:val="575B3098"/>
    <w:rsid w:val="5767596D"/>
    <w:rsid w:val="57764BFF"/>
    <w:rsid w:val="577F2D1A"/>
    <w:rsid w:val="57F55B90"/>
    <w:rsid w:val="580F191D"/>
    <w:rsid w:val="5813575E"/>
    <w:rsid w:val="581D033C"/>
    <w:rsid w:val="58276F84"/>
    <w:rsid w:val="58584813"/>
    <w:rsid w:val="58A23D0B"/>
    <w:rsid w:val="58B728A2"/>
    <w:rsid w:val="58B868EB"/>
    <w:rsid w:val="590D059A"/>
    <w:rsid w:val="592802C2"/>
    <w:rsid w:val="594F2184"/>
    <w:rsid w:val="595074E8"/>
    <w:rsid w:val="5978735A"/>
    <w:rsid w:val="59E42114"/>
    <w:rsid w:val="59E710C8"/>
    <w:rsid w:val="5A1C59A1"/>
    <w:rsid w:val="5A386EB4"/>
    <w:rsid w:val="5A407674"/>
    <w:rsid w:val="5A432974"/>
    <w:rsid w:val="5A5D01AD"/>
    <w:rsid w:val="5A6A20C5"/>
    <w:rsid w:val="5AD64AF2"/>
    <w:rsid w:val="5B544EB3"/>
    <w:rsid w:val="5B6276D1"/>
    <w:rsid w:val="5B6A33DD"/>
    <w:rsid w:val="5BF04FFA"/>
    <w:rsid w:val="5C045A62"/>
    <w:rsid w:val="5C4D2649"/>
    <w:rsid w:val="5C7A4570"/>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551AC0"/>
    <w:rsid w:val="5F616E2A"/>
    <w:rsid w:val="5FCA3AC9"/>
    <w:rsid w:val="5FE015B4"/>
    <w:rsid w:val="600754B6"/>
    <w:rsid w:val="6018182B"/>
    <w:rsid w:val="601E0F43"/>
    <w:rsid w:val="60596F8D"/>
    <w:rsid w:val="608075E1"/>
    <w:rsid w:val="61144C85"/>
    <w:rsid w:val="61326FB1"/>
    <w:rsid w:val="61384C31"/>
    <w:rsid w:val="61B54D2E"/>
    <w:rsid w:val="61E77A7E"/>
    <w:rsid w:val="61F16F63"/>
    <w:rsid w:val="622A4138"/>
    <w:rsid w:val="62385483"/>
    <w:rsid w:val="62385A6C"/>
    <w:rsid w:val="62876D77"/>
    <w:rsid w:val="62CA4AF4"/>
    <w:rsid w:val="62E4371E"/>
    <w:rsid w:val="632045D1"/>
    <w:rsid w:val="6342544F"/>
    <w:rsid w:val="63720424"/>
    <w:rsid w:val="63A31ABC"/>
    <w:rsid w:val="63BF6691"/>
    <w:rsid w:val="63C65078"/>
    <w:rsid w:val="63D35F07"/>
    <w:rsid w:val="63EA156F"/>
    <w:rsid w:val="63EA6D88"/>
    <w:rsid w:val="63ED7E05"/>
    <w:rsid w:val="64621F9C"/>
    <w:rsid w:val="64A537DD"/>
    <w:rsid w:val="64B45425"/>
    <w:rsid w:val="64B96E85"/>
    <w:rsid w:val="64BB6795"/>
    <w:rsid w:val="64D069A0"/>
    <w:rsid w:val="64F023DD"/>
    <w:rsid w:val="64F27E75"/>
    <w:rsid w:val="65067C78"/>
    <w:rsid w:val="653C2C5E"/>
    <w:rsid w:val="65662197"/>
    <w:rsid w:val="656B5D01"/>
    <w:rsid w:val="658C79F9"/>
    <w:rsid w:val="65A264A1"/>
    <w:rsid w:val="65A33DF6"/>
    <w:rsid w:val="65BE04E1"/>
    <w:rsid w:val="65F429F0"/>
    <w:rsid w:val="6657467F"/>
    <w:rsid w:val="665A6FDB"/>
    <w:rsid w:val="66664DFA"/>
    <w:rsid w:val="66904B4A"/>
    <w:rsid w:val="66B368AE"/>
    <w:rsid w:val="66B532F3"/>
    <w:rsid w:val="66B752DF"/>
    <w:rsid w:val="66C2760F"/>
    <w:rsid w:val="675A3B6C"/>
    <w:rsid w:val="67AF7DB6"/>
    <w:rsid w:val="67CC4BFB"/>
    <w:rsid w:val="67F66A1C"/>
    <w:rsid w:val="680564C6"/>
    <w:rsid w:val="681B3F7A"/>
    <w:rsid w:val="68233428"/>
    <w:rsid w:val="6844529D"/>
    <w:rsid w:val="68B54AF7"/>
    <w:rsid w:val="68CA009F"/>
    <w:rsid w:val="692B4279"/>
    <w:rsid w:val="695B5920"/>
    <w:rsid w:val="69B35A0D"/>
    <w:rsid w:val="69CC607C"/>
    <w:rsid w:val="69EA1163"/>
    <w:rsid w:val="69F96768"/>
    <w:rsid w:val="6A06093A"/>
    <w:rsid w:val="6A287F98"/>
    <w:rsid w:val="6A7E2490"/>
    <w:rsid w:val="6AB40496"/>
    <w:rsid w:val="6ABD1D5E"/>
    <w:rsid w:val="6AF33939"/>
    <w:rsid w:val="6B126F12"/>
    <w:rsid w:val="6B494065"/>
    <w:rsid w:val="6B795D62"/>
    <w:rsid w:val="6B910AA0"/>
    <w:rsid w:val="6BC747F5"/>
    <w:rsid w:val="6BD35CE4"/>
    <w:rsid w:val="6C3014BE"/>
    <w:rsid w:val="6C5D414F"/>
    <w:rsid w:val="6C761A36"/>
    <w:rsid w:val="6CA324B4"/>
    <w:rsid w:val="6CDE17FD"/>
    <w:rsid w:val="6D1D2C91"/>
    <w:rsid w:val="6D232D3C"/>
    <w:rsid w:val="6D2F5D1E"/>
    <w:rsid w:val="6D412369"/>
    <w:rsid w:val="6D792112"/>
    <w:rsid w:val="6D9C27C0"/>
    <w:rsid w:val="6E02514F"/>
    <w:rsid w:val="6E641038"/>
    <w:rsid w:val="6EBD0EA6"/>
    <w:rsid w:val="6F435405"/>
    <w:rsid w:val="6F4810D8"/>
    <w:rsid w:val="6F6D2BAA"/>
    <w:rsid w:val="6F8F1120"/>
    <w:rsid w:val="6F9A4A47"/>
    <w:rsid w:val="6FD909A9"/>
    <w:rsid w:val="701710D0"/>
    <w:rsid w:val="702426DC"/>
    <w:rsid w:val="70795456"/>
    <w:rsid w:val="709946EC"/>
    <w:rsid w:val="70B02DA9"/>
    <w:rsid w:val="71E86C30"/>
    <w:rsid w:val="723F23EC"/>
    <w:rsid w:val="72702455"/>
    <w:rsid w:val="728F2E47"/>
    <w:rsid w:val="72973011"/>
    <w:rsid w:val="72E42D1B"/>
    <w:rsid w:val="731254DC"/>
    <w:rsid w:val="734F0911"/>
    <w:rsid w:val="736054C4"/>
    <w:rsid w:val="736C572D"/>
    <w:rsid w:val="73A27303"/>
    <w:rsid w:val="73A422EB"/>
    <w:rsid w:val="73C71690"/>
    <w:rsid w:val="74103E55"/>
    <w:rsid w:val="745B622A"/>
    <w:rsid w:val="753E2D2E"/>
    <w:rsid w:val="757460B8"/>
    <w:rsid w:val="75BE0253"/>
    <w:rsid w:val="75DB13A5"/>
    <w:rsid w:val="75E552E3"/>
    <w:rsid w:val="75EC38CD"/>
    <w:rsid w:val="7648538B"/>
    <w:rsid w:val="764F3DDB"/>
    <w:rsid w:val="76577132"/>
    <w:rsid w:val="76BD747C"/>
    <w:rsid w:val="76CD52EB"/>
    <w:rsid w:val="76FE004A"/>
    <w:rsid w:val="77462C4C"/>
    <w:rsid w:val="778B1DFE"/>
    <w:rsid w:val="77A268F6"/>
    <w:rsid w:val="77CC3658"/>
    <w:rsid w:val="780F54C3"/>
    <w:rsid w:val="782C6CF7"/>
    <w:rsid w:val="78680ECD"/>
    <w:rsid w:val="7880670B"/>
    <w:rsid w:val="78AA5656"/>
    <w:rsid w:val="78AE0265"/>
    <w:rsid w:val="78EE7F5B"/>
    <w:rsid w:val="78F11CE1"/>
    <w:rsid w:val="78F66955"/>
    <w:rsid w:val="79053EDA"/>
    <w:rsid w:val="79097264"/>
    <w:rsid w:val="791D3993"/>
    <w:rsid w:val="79202162"/>
    <w:rsid w:val="7924138B"/>
    <w:rsid w:val="79533A3E"/>
    <w:rsid w:val="79826449"/>
    <w:rsid w:val="79854232"/>
    <w:rsid w:val="79D339B9"/>
    <w:rsid w:val="79D82C55"/>
    <w:rsid w:val="7A200C95"/>
    <w:rsid w:val="7A594332"/>
    <w:rsid w:val="7A8564DB"/>
    <w:rsid w:val="7AC22B97"/>
    <w:rsid w:val="7ACB083F"/>
    <w:rsid w:val="7B1F77A4"/>
    <w:rsid w:val="7B292799"/>
    <w:rsid w:val="7BA66D79"/>
    <w:rsid w:val="7C0414F4"/>
    <w:rsid w:val="7C090682"/>
    <w:rsid w:val="7C4E6027"/>
    <w:rsid w:val="7C6A6CA8"/>
    <w:rsid w:val="7CF04E00"/>
    <w:rsid w:val="7D0B04E5"/>
    <w:rsid w:val="7D41026F"/>
    <w:rsid w:val="7D59343F"/>
    <w:rsid w:val="7DFC1A33"/>
    <w:rsid w:val="7E0A78B3"/>
    <w:rsid w:val="7E2912F3"/>
    <w:rsid w:val="7F4C6C85"/>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1"/>
    <w:pPr>
      <w:ind w:hanging="560"/>
      <w:outlineLvl w:val="1"/>
    </w:pPr>
    <w:rPr>
      <w:rFonts w:ascii="宋体" w:hAnsi="宋体" w:eastAsia="宋体"/>
      <w:b/>
      <w:sz w:val="28"/>
      <w:szCs w:val="28"/>
    </w:rPr>
  </w:style>
  <w:style w:type="paragraph" w:styleId="6">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7">
    <w:name w:val="Body Text"/>
    <w:basedOn w:val="1"/>
    <w:qFormat/>
    <w:uiPriority w:val="1"/>
    <w:pPr>
      <w:ind w:left="472"/>
    </w:pPr>
    <w:rPr>
      <w:rFonts w:ascii="宋体" w:hAnsi="宋体" w:eastAsia="宋体" w:cs="宋体"/>
      <w:sz w:val="21"/>
      <w:szCs w:val="21"/>
      <w:lang w:val="zh-CN" w:eastAsia="zh-CN" w:bidi="zh-CN"/>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color w:val="0000FF"/>
      <w:u w:val="single"/>
    </w:rPr>
  </w:style>
  <w:style w:type="paragraph" w:customStyle="1" w:styleId="16">
    <w:name w:val="表格文字"/>
    <w:basedOn w:val="1"/>
    <w:qFormat/>
    <w:uiPriority w:val="0"/>
    <w:pPr>
      <w:spacing w:before="25" w:after="25"/>
    </w:pPr>
    <w:rPr>
      <w:bCs/>
      <w:spacing w:val="10"/>
    </w:rPr>
  </w:style>
  <w:style w:type="character" w:customStyle="1" w:styleId="17">
    <w:name w:val="页眉 字符"/>
    <w:basedOn w:val="14"/>
    <w:link w:val="10"/>
    <w:qFormat/>
    <w:uiPriority w:val="99"/>
    <w:rPr>
      <w:rFonts w:ascii="Times New Roman" w:hAnsi="Times New Roman" w:eastAsia="宋体" w:cs="Times New Roman"/>
      <w:sz w:val="18"/>
      <w:szCs w:val="18"/>
    </w:rPr>
  </w:style>
  <w:style w:type="character" w:customStyle="1" w:styleId="18">
    <w:name w:val="页脚 字符"/>
    <w:basedOn w:val="14"/>
    <w:link w:val="9"/>
    <w:qFormat/>
    <w:uiPriority w:val="99"/>
    <w:rPr>
      <w:rFonts w:ascii="Times New Roman" w:hAnsi="Times New Roman" w:eastAsia="宋体" w:cs="Times New Roman"/>
      <w:sz w:val="18"/>
      <w:szCs w:val="18"/>
    </w:rPr>
  </w:style>
  <w:style w:type="character" w:customStyle="1" w:styleId="19">
    <w:name w:val="批注框文本 字符"/>
    <w:basedOn w:val="14"/>
    <w:link w:val="8"/>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styleId="21">
    <w:name w:val="List Paragraph"/>
    <w:basedOn w:val="1"/>
    <w:qFormat/>
    <w:uiPriority w:val="99"/>
    <w:pPr>
      <w:ind w:firstLine="420" w:firstLineChars="200"/>
    </w:pPr>
  </w:style>
  <w:style w:type="paragraph" w:customStyle="1" w:styleId="22">
    <w:name w:val="三级条标题"/>
    <w:basedOn w:val="23"/>
    <w:next w:val="25"/>
    <w:qFormat/>
    <w:uiPriority w:val="0"/>
    <w:pPr>
      <w:numPr>
        <w:ilvl w:val="4"/>
        <w:numId w:val="1"/>
      </w:numPr>
      <w:outlineLvl w:val="4"/>
    </w:pPr>
  </w:style>
  <w:style w:type="paragraph" w:customStyle="1" w:styleId="23">
    <w:name w:val="二级条标题"/>
    <w:basedOn w:val="24"/>
    <w:next w:val="25"/>
    <w:qFormat/>
    <w:uiPriority w:val="0"/>
    <w:pPr>
      <w:numPr>
        <w:ilvl w:val="3"/>
        <w:numId w:val="1"/>
      </w:numPr>
      <w:outlineLvl w:val="3"/>
    </w:pPr>
  </w:style>
  <w:style w:type="paragraph" w:customStyle="1" w:styleId="24">
    <w:name w:val="一级条标题"/>
    <w:next w:val="25"/>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18036</Words>
  <Characters>19652</Characters>
  <Lines>79</Lines>
  <Paragraphs>22</Paragraphs>
  <TotalTime>9</TotalTime>
  <ScaleCrop>false</ScaleCrop>
  <LinksUpToDate>false</LinksUpToDate>
  <CharactersWithSpaces>21166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2022-07-13T17:29:44Z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0FD0F98FA2C442AE86A4F4E5B01C41FC</vt:lpwstr>
  </property>
</Properties>
</file>