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59"/>
        <w:gridCol w:w="1"/>
        <w:gridCol w:w="751"/>
        <w:gridCol w:w="9253"/>
        <w:gridCol w:w="1"/>
        <w:gridCol w:w="6"/>
        <w:gridCol w:w="1543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负责人：粱吉 </w:t>
            </w:r>
            <w:r>
              <w:rPr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雷宏</w:t>
            </w:r>
          </w:p>
        </w:tc>
        <w:tc>
          <w:tcPr>
            <w:tcW w:w="1585" w:type="dxa"/>
            <w:gridSpan w:val="4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rFonts w:hint="eastAsia"/>
                <w:sz w:val="24"/>
                <w:szCs w:val="24"/>
              </w:rPr>
              <w:t>:O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】，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任泽华</w:t>
            </w:r>
            <w:r>
              <w:rPr>
                <w:rFonts w:hint="eastAsia"/>
                <w:sz w:val="24"/>
                <w:szCs w:val="24"/>
              </w:rPr>
              <w:t>:E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[审核沟通方式：微信/语音/电话/腾讯会议]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2022-06-19 下午</w:t>
            </w:r>
            <w:bookmarkStart w:id="0" w:name="_GoBack"/>
            <w:bookmarkEnd w:id="0"/>
          </w:p>
        </w:tc>
        <w:tc>
          <w:tcPr>
            <w:tcW w:w="1585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E/O:5.3/6.1.2/6.1.4/7.1/8.1/8.2</w:t>
            </w:r>
          </w:p>
        </w:tc>
        <w:tc>
          <w:tcPr>
            <w:tcW w:w="1585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5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E5.3</w:t>
            </w:r>
          </w:p>
          <w:p>
            <w:pPr>
              <w:pStyle w:val="7"/>
              <w:ind w:left="0" w:firstLine="0" w:firstLineChars="0"/>
            </w:pPr>
            <w:r>
              <w:rPr>
                <w:rFonts w:ascii="Times New Roman" w:hAnsi="Times New Roman"/>
                <w:sz w:val="21"/>
                <w:szCs w:val="21"/>
              </w:rPr>
              <w:t>O5.3</w:t>
            </w:r>
          </w:p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43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59" w:type="dxa"/>
            <w:vMerge w:val="continue"/>
            <w:shd w:val="clear" w:color="auto" w:fill="auto"/>
          </w:tcPr>
          <w:p/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</w:t>
            </w:r>
            <w:r>
              <w:rPr>
                <w:rFonts w:hint="eastAsia"/>
                <w:lang w:val="en-US" w:eastAsia="zh-CN"/>
              </w:rPr>
              <w:t>能源消耗的统计、环境和职业健康安全方面的资金投入及管理；本部门涉及的环境和职业健康安全的运行情况等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工作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59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《环境因素识别与评价控制程序》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161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59" w:type="dxa"/>
            <w:vMerge w:val="continue"/>
            <w:shd w:val="clear" w:color="auto" w:fill="auto"/>
          </w:tcPr>
          <w:p/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《环境因素识别评价表》、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《重要环境因素清单》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本部门主要是日常行政办公，评价环境因素涉及能源资源消耗、生活污水、废旧电脑、废色带、墨盒、硒鼓等内容，基本覆盖本部门活动，但未识别火灾、爆炸；已与企业沟通；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</w:t>
            </w:r>
            <w:r>
              <w:rPr>
                <w:rFonts w:hint="eastAsia"/>
                <w:b/>
                <w:bCs/>
                <w:highlight w:val="none"/>
              </w:rPr>
              <w:t>部门职</w:t>
            </w:r>
            <w:r>
              <w:rPr>
                <w:rFonts w:hint="eastAsia"/>
                <w:b/>
                <w:bCs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highlight w:val="none"/>
              </w:rPr>
              <w:t>措施是</w:t>
            </w:r>
            <w:r>
              <w:rPr>
                <w:rFonts w:hint="eastAsia"/>
                <w:highlight w:val="none"/>
              </w:rPr>
              <w:t>：</w:t>
            </w:r>
          </w:p>
          <w:tbl>
            <w:tblPr>
              <w:tblStyle w:val="8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生活污水</w:t>
                  </w:r>
                </w:p>
              </w:tc>
              <w:tc>
                <w:tcPr>
                  <w:tcW w:w="246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="宋体"/>
                      <w:szCs w:val="24"/>
                      <w:lang w:val="en-US" w:eastAsia="zh-CN"/>
                    </w:rPr>
                    <w:t>经生化池处理，送鸭溪污水处理厂集中处理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生活垃圾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环卫部门清运处理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正常 </w:t>
                  </w: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异常 </w:t>
                  </w: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紧急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正常 </w:t>
                  </w: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异常 </w:t>
                  </w: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紧急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59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《危险源识别和控制程序》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522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59" w:type="dxa"/>
            <w:vMerge w:val="continue"/>
            <w:shd w:val="clear" w:color="auto" w:fill="auto"/>
          </w:tcPr>
          <w:p/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</w:t>
            </w:r>
          </w:p>
          <w:p>
            <w:pPr>
              <w:pStyle w:val="2"/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评价不可接受风险的准则：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szCs w:val="22"/>
                <w:highlight w:val="none"/>
                <w:u w:val="single"/>
              </w:rPr>
              <w:t>危险源辨识和风险评价控制程序</w:t>
            </w:r>
            <w:r>
              <w:rPr>
                <w:rFonts w:hint="eastAsia"/>
                <w:highlight w:val="none"/>
                <w:u w:val="single"/>
              </w:rPr>
              <w:t xml:space="preserve">》LEC法 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</w:rPr>
              <w:t>重要危险源，及其控制措施是</w:t>
            </w:r>
            <w:r>
              <w:rPr>
                <w:rFonts w:hint="eastAsia"/>
                <w:highlight w:val="none"/>
              </w:rPr>
              <w:t>：</w:t>
            </w:r>
            <w:r>
              <w:rPr>
                <w:rFonts w:hint="eastAsia"/>
                <w:highlight w:val="none"/>
                <w:lang w:val="en-US" w:eastAsia="zh-CN"/>
              </w:rPr>
              <w:t>本部门不涉及重要危险源，涉及的不可接受风险</w:t>
            </w:r>
          </w:p>
          <w:tbl>
            <w:tblPr>
              <w:tblStyle w:val="8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4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职业健康安全风险</w:t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火灾事故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烧伤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强化消防设施日常检查、人员下班后断电；</w:t>
                  </w:r>
                </w:p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应急预案、应急演练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59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54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2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59" w:type="dxa"/>
            <w:vMerge w:val="continue"/>
            <w:shd w:val="clear" w:color="auto" w:fill="auto"/>
          </w:tcPr>
          <w:p/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gridSpan w:val="3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组织针对重要环境因素、合规义务、风险和机遇制订了控制措施（管理方案）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本部门不涉及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3"/>
              <w:gridCol w:w="1530"/>
              <w:gridCol w:w="4373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生活污水</w:t>
                  </w:r>
                </w:p>
              </w:tc>
              <w:tc>
                <w:tcPr>
                  <w:tcW w:w="153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重要环境因素</w:t>
                  </w:r>
                </w:p>
              </w:tc>
              <w:tc>
                <w:tcPr>
                  <w:tcW w:w="437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="宋体"/>
                      <w:szCs w:val="24"/>
                      <w:lang w:val="en-US" w:eastAsia="zh-CN"/>
                    </w:rPr>
                    <w:t>经生化池处理，送鸭溪污水处理厂集中处理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安全环保部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生活垃圾</w:t>
                  </w:r>
                </w:p>
              </w:tc>
              <w:tc>
                <w:tcPr>
                  <w:tcW w:w="153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437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环卫部门清运处理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安全环保部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火灾事故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不可接受风险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强化消防设施日常检查、人员下班后断电；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应急预案、应急演练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安全环保部</w:t>
                  </w:r>
                </w:p>
              </w:tc>
            </w:tr>
          </w:tbl>
          <w:p/>
        </w:tc>
        <w:tc>
          <w:tcPr>
            <w:tcW w:w="154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gridSpan w:val="2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  <w:gridSpan w:val="4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2160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52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3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能源和资源消耗：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能源消耗费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资源消耗费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废弃物排放：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危废处理费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环境监测费用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废弃物处理（厨余垃圾）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其他：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消防检测费用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应急费用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罚款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其他——油烟机清洁</w:t>
            </w:r>
          </w:p>
          <w:p>
            <w:pPr>
              <w:ind w:firstLine="840" w:firstLineChars="40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48360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>元；累计能源消耗费用：5341。26万元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50.48万元 元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资源能耗情况统计：（首次导入体系，不涉及）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上一年度单位产品/产值能耗人民币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   ；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——    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能耗有所好转的原因：生态循环经济</w:t>
            </w:r>
          </w:p>
        </w:tc>
        <w:tc>
          <w:tcPr>
            <w:tcW w:w="1585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59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5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《突发事件准备和响应控制程序》、《应急预案》</w:t>
            </w:r>
          </w:p>
        </w:tc>
        <w:tc>
          <w:tcPr>
            <w:tcW w:w="1585" w:type="dxa"/>
            <w:gridSpan w:val="4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52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见“安全环保部审核记录”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59" w:type="dxa"/>
            <w:vMerge w:val="restart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5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手册第7.1章</w:t>
            </w:r>
          </w:p>
        </w:tc>
        <w:tc>
          <w:tcPr>
            <w:tcW w:w="1585" w:type="dxa"/>
            <w:gridSpan w:val="4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5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52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3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安全评价费用（还在进行中）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职业病危害评价费用（还在进行中）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48360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>元；累计能源消耗费用：5341。26万元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50.48万元 元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585" w:type="dxa"/>
            <w:gridSpan w:val="4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59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75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突发事件准备和响应控制程序</w:t>
            </w:r>
            <w:r>
              <w:rPr>
                <w:rFonts w:hint="eastAsia"/>
                <w:color w:val="auto"/>
                <w:lang w:val="en-US" w:eastAsia="zh-CN"/>
              </w:rPr>
              <w:t>》、《应急预案》</w:t>
            </w:r>
          </w:p>
        </w:tc>
        <w:tc>
          <w:tcPr>
            <w:tcW w:w="1585" w:type="dxa"/>
            <w:gridSpan w:val="4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5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52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3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见“安全环保部审核记录”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gridSpan w:val="4"/>
            <w:vMerge w:val="continue"/>
          </w:tcPr>
          <w:p>
            <w:pPr>
              <w:rPr>
                <w:color w:val="auto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395605" cy="398780"/>
          <wp:effectExtent l="0" t="0" r="10795" b="762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6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12FBB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036D8B"/>
    <w:rsid w:val="0D181113"/>
    <w:rsid w:val="0D1E4D9B"/>
    <w:rsid w:val="0D4D1326"/>
    <w:rsid w:val="0D6A2C36"/>
    <w:rsid w:val="0D7B34FF"/>
    <w:rsid w:val="0DB35CC0"/>
    <w:rsid w:val="0DD9585D"/>
    <w:rsid w:val="0E0C7431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8B679B"/>
    <w:rsid w:val="1C392A3A"/>
    <w:rsid w:val="1C683E38"/>
    <w:rsid w:val="1CB1322F"/>
    <w:rsid w:val="1CC145D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89792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742C7E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28427D"/>
    <w:rsid w:val="31B477DB"/>
    <w:rsid w:val="31B67BE2"/>
    <w:rsid w:val="31CA71DD"/>
    <w:rsid w:val="32341738"/>
    <w:rsid w:val="323A7B9B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DB21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27098"/>
    <w:rsid w:val="473E10CC"/>
    <w:rsid w:val="475C4BFE"/>
    <w:rsid w:val="475D7730"/>
    <w:rsid w:val="47BB044C"/>
    <w:rsid w:val="48262DE5"/>
    <w:rsid w:val="485226C4"/>
    <w:rsid w:val="48D61EA1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CB70B5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5069F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63171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0E04"/>
    <w:rsid w:val="681B3F7A"/>
    <w:rsid w:val="68233428"/>
    <w:rsid w:val="68494570"/>
    <w:rsid w:val="684A42BC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BB265B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10521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E15C23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1794</Words>
  <Characters>1903</Characters>
  <Lines>1</Lines>
  <Paragraphs>1</Paragraphs>
  <TotalTime>1</TotalTime>
  <ScaleCrop>false</ScaleCrop>
  <LinksUpToDate>false</LinksUpToDate>
  <CharactersWithSpaces>2147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2022-06-17T14:43:16Z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56C8F3366E534183966D8ED7DB3595F6</vt:lpwstr>
  </property>
</Properties>
</file>