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3"/>
        <w:gridCol w:w="1149"/>
        <w:gridCol w:w="1064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023"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49"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42" w:type="dxa"/>
            <w:vAlign w:val="center"/>
          </w:tcPr>
          <w:p>
            <w:pPr>
              <w:rPr>
                <w:sz w:val="24"/>
                <w:szCs w:val="24"/>
              </w:rPr>
            </w:pPr>
            <w:r>
              <w:rPr>
                <w:rFonts w:hint="eastAsia"/>
                <w:sz w:val="24"/>
                <w:szCs w:val="24"/>
              </w:rPr>
              <w:t>受审核部门：管理层</w:t>
            </w:r>
            <w:r>
              <w:rPr>
                <w:rFonts w:hint="eastAsia"/>
                <w:sz w:val="24"/>
                <w:szCs w:val="24"/>
                <w:lang w:val="en-US" w:eastAsia="zh-CN"/>
              </w:rPr>
              <w:t xml:space="preserve">    </w:t>
            </w:r>
            <w:r>
              <w:rPr>
                <w:rFonts w:hint="eastAsia"/>
                <w:sz w:val="24"/>
                <w:szCs w:val="24"/>
              </w:rPr>
              <w:t xml:space="preserve">   总经理：</w:t>
            </w:r>
            <w:r>
              <w:rPr>
                <w:rFonts w:hint="eastAsia"/>
                <w:sz w:val="24"/>
                <w:szCs w:val="24"/>
                <w:lang w:eastAsia="zh-CN"/>
              </w:rPr>
              <w:t>徐政</w:t>
            </w:r>
            <w:r>
              <w:rPr>
                <w:rFonts w:hint="eastAsia"/>
                <w:sz w:val="24"/>
                <w:szCs w:val="24"/>
              </w:rPr>
              <w:t xml:space="preserve">  管代：</w:t>
            </w:r>
            <w:r>
              <w:rPr>
                <w:rFonts w:hint="eastAsia"/>
                <w:sz w:val="24"/>
                <w:szCs w:val="24"/>
                <w:lang w:eastAsia="zh-CN"/>
              </w:rPr>
              <w:t>徐宁</w:t>
            </w:r>
            <w:r>
              <w:rPr>
                <w:rFonts w:hint="eastAsia"/>
                <w:sz w:val="24"/>
                <w:szCs w:val="24"/>
              </w:rPr>
              <w:t xml:space="preserve">  </w:t>
            </w:r>
            <w:r>
              <w:rPr>
                <w:rFonts w:hint="eastAsia"/>
                <w:sz w:val="24"/>
                <w:szCs w:val="24"/>
                <w:lang w:val="en-US" w:eastAsia="zh-CN"/>
              </w:rPr>
              <w:t>陪同：刘培丰</w:t>
            </w:r>
            <w:r>
              <w:rPr>
                <w:rFonts w:hint="eastAsia" w:eastAsia="宋体"/>
                <w:sz w:val="24"/>
                <w:szCs w:val="24"/>
                <w:lang w:val="en-US" w:eastAsia="zh-CN"/>
              </w:rPr>
              <w:t>（远程微信沟通）</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23" w:type="dxa"/>
            <w:vMerge w:val="continue"/>
            <w:vAlign w:val="center"/>
          </w:tcPr>
          <w:p/>
        </w:tc>
        <w:tc>
          <w:tcPr>
            <w:tcW w:w="1149" w:type="dxa"/>
            <w:vMerge w:val="continue"/>
            <w:vAlign w:val="center"/>
          </w:tcPr>
          <w:p/>
        </w:tc>
        <w:tc>
          <w:tcPr>
            <w:tcW w:w="10642" w:type="dxa"/>
            <w:vAlign w:val="center"/>
          </w:tcPr>
          <w:p>
            <w:pPr>
              <w:rPr>
                <w:sz w:val="24"/>
                <w:szCs w:val="24"/>
              </w:rPr>
            </w:pPr>
            <w:r>
              <w:rPr>
                <w:rFonts w:hint="eastAsia"/>
                <w:sz w:val="24"/>
                <w:szCs w:val="24"/>
              </w:rPr>
              <w:t>审核员：温红玲    审核时间：2022年</w:t>
            </w:r>
            <w:r>
              <w:rPr>
                <w:rFonts w:hint="eastAsia"/>
                <w:sz w:val="24"/>
                <w:szCs w:val="24"/>
                <w:lang w:val="en-US" w:eastAsia="zh-CN"/>
              </w:rPr>
              <w:t>6</w:t>
            </w:r>
            <w:r>
              <w:rPr>
                <w:rFonts w:hint="eastAsia"/>
                <w:sz w:val="24"/>
                <w:szCs w:val="24"/>
              </w:rPr>
              <w:t>月</w:t>
            </w:r>
            <w:r>
              <w:rPr>
                <w:rFonts w:hint="eastAsia"/>
                <w:sz w:val="24"/>
                <w:szCs w:val="24"/>
                <w:lang w:val="en-US" w:eastAsia="zh-CN"/>
              </w:rPr>
              <w:t>14</w:t>
            </w:r>
            <w:r>
              <w:rPr>
                <w:rFonts w:hint="eastAsia"/>
                <w:sz w:val="24"/>
                <w:szCs w:val="24"/>
              </w:rPr>
              <w:t>日</w:t>
            </w:r>
          </w:p>
        </w:tc>
        <w:tc>
          <w:tcPr>
            <w:tcW w:w="895" w:type="dxa"/>
            <w:vMerge w:val="continue"/>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23" w:type="dxa"/>
            <w:vMerge w:val="continue"/>
            <w:vAlign w:val="center"/>
          </w:tcPr>
          <w:p/>
        </w:tc>
        <w:tc>
          <w:tcPr>
            <w:tcW w:w="1149" w:type="dxa"/>
            <w:vMerge w:val="continue"/>
            <w:vAlign w:val="center"/>
          </w:tcPr>
          <w:p/>
        </w:tc>
        <w:tc>
          <w:tcPr>
            <w:tcW w:w="10642" w:type="dxa"/>
            <w:vAlign w:val="center"/>
          </w:tcPr>
          <w:p>
            <w:pPr>
              <w:snapToGrid w:val="0"/>
              <w:spacing w:line="240" w:lineRule="exact"/>
              <w:rPr>
                <w:rFonts w:hint="eastAsia" w:ascii="宋体" w:hAnsi="宋体" w:eastAsia="宋体" w:cs="宋体"/>
                <w:b w:val="0"/>
                <w:bCs/>
                <w:sz w:val="21"/>
                <w:szCs w:val="21"/>
              </w:rPr>
            </w:pPr>
            <w:r>
              <w:rPr>
                <w:rFonts w:hint="eastAsia" w:ascii="宋体" w:hAnsi="宋体" w:eastAsia="宋体" w:cs="宋体"/>
                <w:b w:val="0"/>
                <w:bCs/>
                <w:sz w:val="21"/>
                <w:szCs w:val="21"/>
              </w:rPr>
              <w:t>管理层：</w:t>
            </w:r>
          </w:p>
          <w:p>
            <w:pPr>
              <w:pStyle w:val="11"/>
              <w:rPr>
                <w:rFonts w:hint="eastAsia" w:ascii="宋体" w:hAnsi="宋体" w:eastAsia="宋体" w:cs="宋体"/>
                <w:b w:val="0"/>
                <w:bCs/>
                <w:sz w:val="21"/>
                <w:szCs w:val="21"/>
              </w:rPr>
            </w:pPr>
            <w:r>
              <w:rPr>
                <w:rFonts w:hint="eastAsia" w:ascii="宋体" w:hAnsi="宋体" w:eastAsia="宋体" w:cs="宋体"/>
                <w:b w:val="0"/>
                <w:bCs/>
                <w:sz w:val="21"/>
                <w:szCs w:val="21"/>
              </w:rPr>
              <w:t>4.1组织及其环境;4.2相关方需求与期望;4.3确定体系范围;4.4体系及其过程;5.1领导作用与承诺;5.2方针;5.3组织的角色、职责和权限；6.1应对风险和机遇的措施；6.2目标及其实现的策划；6.3变更的策划；7.1.1资源 总则；7.4沟通；9.1.1监视、测量、分析和评价总则；9.3管理评审；10.1改进 总则；10.3持续改进</w:t>
            </w:r>
          </w:p>
          <w:p>
            <w:pPr>
              <w:pStyle w:val="11"/>
            </w:pPr>
            <w:r>
              <w:rPr>
                <w:rFonts w:hint="eastAsia" w:ascii="宋体" w:hAnsi="宋体" w:eastAsia="宋体" w:cs="宋体"/>
                <w:b w:val="0"/>
                <w:bCs/>
                <w:sz w:val="21"/>
                <w:szCs w:val="21"/>
              </w:rPr>
              <w:t>资质验证、安全事故、顾客投诉、抽查、遵纪守法情况、证书标志的使用，不符合项报告的验证等</w:t>
            </w:r>
          </w:p>
        </w:tc>
        <w:tc>
          <w:tcPr>
            <w:tcW w:w="895" w:type="dxa"/>
            <w:vMerge w:val="continue"/>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023" w:type="dxa"/>
            <w:vAlign w:val="top"/>
          </w:tcPr>
          <w:p>
            <w:pPr>
              <w:spacing w:line="280" w:lineRule="exact"/>
              <w:rPr>
                <w:rFonts w:ascii="宋体" w:hAnsi="宋体" w:cs="宋体"/>
                <w:szCs w:val="21"/>
              </w:rPr>
            </w:pPr>
            <w:r>
              <w:rPr>
                <w:rFonts w:hint="eastAsia" w:ascii="宋体" w:hAnsi="宋体" w:cs="宋体"/>
                <w:szCs w:val="21"/>
              </w:rPr>
              <w:t>理解组织及其环境</w:t>
            </w:r>
          </w:p>
          <w:p>
            <w:pPr>
              <w:spacing w:line="280" w:lineRule="exact"/>
              <w:rPr>
                <w:rFonts w:ascii="宋体" w:hAnsi="宋体" w:cs="宋体"/>
                <w:szCs w:val="21"/>
              </w:rPr>
            </w:pPr>
            <w:r>
              <w:rPr>
                <w:rFonts w:hint="eastAsia" w:ascii="宋体" w:hAnsi="宋体" w:cs="宋体"/>
                <w:szCs w:val="21"/>
              </w:rPr>
              <w:t>总要求</w:t>
            </w:r>
          </w:p>
          <w:p>
            <w:pPr>
              <w:spacing w:line="280" w:lineRule="exact"/>
            </w:pPr>
          </w:p>
        </w:tc>
        <w:tc>
          <w:tcPr>
            <w:tcW w:w="1149" w:type="dxa"/>
            <w:vAlign w:val="top"/>
          </w:tcPr>
          <w:p>
            <w:pPr>
              <w:spacing w:line="280" w:lineRule="exact"/>
              <w:rPr>
                <w:rFonts w:ascii="宋体" w:hAnsi="宋体" w:cs="宋体"/>
                <w:szCs w:val="21"/>
              </w:rPr>
            </w:pPr>
            <w:r>
              <w:rPr>
                <w:rFonts w:hint="eastAsia" w:ascii="宋体" w:hAnsi="宋体" w:cs="宋体"/>
                <w:szCs w:val="21"/>
              </w:rPr>
              <w:t>Q4.1</w:t>
            </w:r>
          </w:p>
          <w:p>
            <w:pPr>
              <w:spacing w:line="280" w:lineRule="exact"/>
            </w:pPr>
          </w:p>
        </w:tc>
        <w:tc>
          <w:tcPr>
            <w:tcW w:w="10642" w:type="dxa"/>
            <w:vAlign w:val="center"/>
          </w:tcPr>
          <w:p>
            <w:pPr>
              <w:rPr>
                <w:rFonts w:hint="eastAsia"/>
                <w:szCs w:val="21"/>
              </w:rPr>
            </w:pPr>
            <w:r>
              <w:rPr>
                <w:rFonts w:hint="eastAsia"/>
                <w:szCs w:val="21"/>
              </w:rPr>
              <w:t>与总经理徐</w:t>
            </w:r>
            <w:r>
              <w:rPr>
                <w:rFonts w:hint="eastAsia"/>
                <w:szCs w:val="21"/>
                <w:lang w:val="en-US" w:eastAsia="zh-CN"/>
              </w:rPr>
              <w:t>政</w:t>
            </w:r>
            <w:r>
              <w:rPr>
                <w:rFonts w:hint="eastAsia"/>
                <w:szCs w:val="21"/>
              </w:rPr>
              <w:t>、管理者代表徐宁交谈了解到：</w:t>
            </w:r>
          </w:p>
          <w:p>
            <w:pPr>
              <w:rPr>
                <w:rFonts w:hint="eastAsia"/>
                <w:szCs w:val="21"/>
              </w:rPr>
            </w:pPr>
            <w:r>
              <w:rPr>
                <w:rFonts w:hint="eastAsia"/>
                <w:szCs w:val="21"/>
              </w:rPr>
              <w:t>1、公司成立于2017年12月。注册地址：河北省邯郸市武安市工业园区泉上大道；经营地址：河北省邯郸市武安市工业园区泉上大道,</w:t>
            </w:r>
            <w:r>
              <w:rPr>
                <w:rFonts w:hint="eastAsia"/>
                <w:szCs w:val="21"/>
                <w:lang w:val="en-US" w:eastAsia="zh-CN"/>
              </w:rPr>
              <w:t>占</w:t>
            </w:r>
            <w:r>
              <w:rPr>
                <w:rFonts w:hint="eastAsia"/>
                <w:szCs w:val="21"/>
              </w:rPr>
              <w:t>地15000平方米，仓储面积100余平方米，办公面积150余平方米，水、电、暖气及综合管理部分布图等设施设备符合体系运行要求。公司现有管理部门</w:t>
            </w:r>
            <w:r>
              <w:rPr>
                <w:rFonts w:hint="eastAsia"/>
                <w:szCs w:val="21"/>
                <w:lang w:val="en-US" w:eastAsia="zh-CN"/>
              </w:rPr>
              <w:t>6</w:t>
            </w:r>
            <w:r>
              <w:rPr>
                <w:rFonts w:hint="eastAsia"/>
                <w:szCs w:val="21"/>
              </w:rPr>
              <w:t>个，体系覆盖范围内的员工总数45人，暂无倒班，外包过程无；公司目前主要金属机械零件的铸造</w:t>
            </w:r>
            <w:r>
              <w:rPr>
                <w:rFonts w:hint="eastAsia"/>
                <w:szCs w:val="21"/>
                <w:lang w:val="en-US" w:eastAsia="zh-CN"/>
              </w:rPr>
              <w:t>和机加工</w:t>
            </w:r>
            <w:r>
              <w:rPr>
                <w:rFonts w:hint="eastAsia"/>
                <w:szCs w:val="21"/>
              </w:rPr>
              <w:t>。</w:t>
            </w:r>
          </w:p>
          <w:p>
            <w:pPr>
              <w:rPr>
                <w:rFonts w:hint="eastAsia"/>
                <w:szCs w:val="21"/>
              </w:rPr>
            </w:pPr>
            <w:r>
              <w:rPr>
                <w:rFonts w:hint="eastAsia"/>
                <w:szCs w:val="21"/>
              </w:rPr>
              <w:t xml:space="preserve">2、与其目标战略方向相关并影响其实现质量管理体系预期结果的各种内外部因素有：  </w:t>
            </w:r>
          </w:p>
          <w:p>
            <w:pPr>
              <w:rPr>
                <w:rFonts w:hint="eastAsia"/>
                <w:szCs w:val="21"/>
              </w:rPr>
            </w:pPr>
            <w:r>
              <w:rPr>
                <w:rFonts w:hint="eastAsia"/>
                <w:szCs w:val="21"/>
              </w:rPr>
              <w:t>目标及战略方向：未来招募人员组建拓展目标客户，按客户要求开发更多类型的适用客户的换代产品，已满足更多顾客的需求。</w:t>
            </w:r>
          </w:p>
          <w:p>
            <w:pPr>
              <w:rPr>
                <w:rFonts w:hint="eastAsia"/>
                <w:szCs w:val="21"/>
              </w:rPr>
            </w:pPr>
            <w:r>
              <w:rPr>
                <w:rFonts w:hint="eastAsia"/>
                <w:szCs w:val="21"/>
              </w:rPr>
              <w:t xml:space="preserve">正面和负面的要素或条件。本企业属于自主经营、自负盈亏的独立法人企业，适应市场变化能力较强，但技术性研发力量稍显薄弱，企业会一步步进行改进。  </w:t>
            </w:r>
          </w:p>
          <w:p>
            <w:pPr>
              <w:rPr>
                <w:rFonts w:hint="eastAsia"/>
                <w:szCs w:val="21"/>
              </w:rPr>
            </w:pPr>
            <w:r>
              <w:rPr>
                <w:rFonts w:hint="eastAsia"/>
                <w:szCs w:val="21"/>
              </w:rPr>
              <w:t xml:space="preserve">外部因素：来自法规（行政）的风险；来自技术滞后的风险或先进的风险与机遇；来自不正当竞争的风险；来自市场需求的风险和机遇；来自社会监督（如媒体）的风险；来自经济因素的风险。 </w:t>
            </w:r>
          </w:p>
          <w:p>
            <w:pPr>
              <w:rPr>
                <w:rFonts w:hint="eastAsia"/>
                <w:szCs w:val="21"/>
              </w:rPr>
            </w:pPr>
            <w:r>
              <w:rPr>
                <w:rFonts w:hint="eastAsia"/>
                <w:szCs w:val="21"/>
              </w:rPr>
              <w:t xml:space="preserve">内部因素：考虑组织的价值观/文化/知识和绩效等相关因素。 组织总体表现，包括财务因素；资源因素，包括基础设施、过程运行、组织的知识；人力因素，例如人员能力/组织文化；运营因素，例如过程、生产或交付能力、质量管理体系绩效/顾客评价；组织治理相关因素，如决策的规则和程序及组织架构。 </w:t>
            </w:r>
          </w:p>
          <w:p>
            <w:pPr>
              <w:rPr>
                <w:rFonts w:ascii="Arial" w:hAnsi="Arial" w:cs="Arial"/>
              </w:rPr>
            </w:pPr>
            <w:r>
              <w:rPr>
                <w:rFonts w:hint="eastAsia" w:ascii="Arial" w:hAnsi="Arial" w:cs="Arial"/>
              </w:rPr>
              <w:t>管理手册，实施、发布日期：2018年8月10日。</w:t>
            </w:r>
          </w:p>
          <w:p>
            <w:pPr>
              <w:autoSpaceDE w:val="0"/>
              <w:autoSpaceDN w:val="0"/>
              <w:adjustRightInd w:val="0"/>
              <w:rPr>
                <w:rFonts w:ascii="Arial" w:hAnsi="Arial" w:cs="Arial"/>
              </w:rPr>
            </w:pPr>
            <w:r>
              <w:rPr>
                <w:rFonts w:hint="eastAsia" w:ascii="Arial" w:hAnsi="Arial" w:cs="Arial"/>
              </w:rPr>
              <w:t>认证范围：</w:t>
            </w:r>
          </w:p>
          <w:p>
            <w:pPr>
              <w:autoSpaceDE w:val="0"/>
              <w:autoSpaceDN w:val="0"/>
              <w:adjustRightInd w:val="0"/>
              <w:ind w:firstLine="480"/>
              <w:rPr>
                <w:rFonts w:ascii="Arial" w:hAnsi="Arial" w:cs="Arial"/>
              </w:rPr>
            </w:pPr>
            <w:r>
              <w:rPr>
                <w:rFonts w:hint="eastAsia" w:ascii="Arial" w:hAnsi="Arial" w:cs="Arial"/>
              </w:rPr>
              <w:t>Q：</w:t>
            </w:r>
            <w:r>
              <w:rPr>
                <w:rFonts w:hint="eastAsia"/>
                <w:sz w:val="20"/>
              </w:rPr>
              <w:t>金属机械零件的铸造及机加工</w:t>
            </w:r>
          </w:p>
          <w:p>
            <w:pPr>
              <w:autoSpaceDE w:val="0"/>
              <w:autoSpaceDN w:val="0"/>
              <w:adjustRightInd w:val="0"/>
              <w:rPr>
                <w:rFonts w:ascii="宋体" w:hAnsi="宋体" w:cs="宋体"/>
                <w:szCs w:val="21"/>
              </w:rPr>
            </w:pPr>
            <w:r>
              <w:rPr>
                <w:rFonts w:hint="eastAsia" w:ascii="宋体" w:hAnsi="宋体" w:cs="宋体"/>
                <w:szCs w:val="21"/>
              </w:rPr>
              <w:t>法律法规：公司在环境和职业健康安全方面符合国家、本省、地方的环境和安全法律法规要求。</w:t>
            </w:r>
          </w:p>
          <w:p>
            <w:pPr>
              <w:autoSpaceDE w:val="0"/>
              <w:autoSpaceDN w:val="0"/>
              <w:adjustRightInd w:val="0"/>
              <w:ind w:firstLine="480"/>
              <w:rPr>
                <w:rFonts w:ascii="宋体" w:hAnsi="宋体" w:cs="宋体"/>
                <w:szCs w:val="21"/>
              </w:rPr>
            </w:pPr>
            <w:r>
              <w:rPr>
                <w:rFonts w:hint="eastAsia" w:ascii="宋体" w:hAnsi="宋体" w:cs="宋体"/>
                <w:szCs w:val="21"/>
              </w:rPr>
              <w:t>总经理负责组织对确定的内部和外部因素的相关信息进行监视和评审，以确保质量、管理体系与公司的战略方向一致，并实现其预期的结果。</w:t>
            </w:r>
          </w:p>
        </w:tc>
        <w:tc>
          <w:tcPr>
            <w:tcW w:w="895" w:type="dxa"/>
            <w:vAlign w:val="top"/>
          </w:tcPr>
          <w:p>
            <w:pPr>
              <w:rPr>
                <w:rFonts w:ascii="宋体" w:hAnsi="宋体" w:cs="宋体"/>
                <w:szCs w:val="21"/>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023" w:type="dxa"/>
            <w:vAlign w:val="top"/>
          </w:tcPr>
          <w:p>
            <w:pPr>
              <w:spacing w:line="280" w:lineRule="exact"/>
              <w:rPr>
                <w:rFonts w:ascii="宋体" w:hAnsi="宋体" w:cs="宋体"/>
                <w:szCs w:val="21"/>
              </w:rPr>
            </w:pPr>
            <w:r>
              <w:rPr>
                <w:rFonts w:hint="eastAsia" w:ascii="宋体" w:hAnsi="宋体" w:cs="宋体"/>
                <w:szCs w:val="21"/>
              </w:rPr>
              <w:t>理解相关方的需求和期望</w:t>
            </w:r>
          </w:p>
          <w:p>
            <w:pPr>
              <w:spacing w:line="280" w:lineRule="exact"/>
            </w:pPr>
          </w:p>
        </w:tc>
        <w:tc>
          <w:tcPr>
            <w:tcW w:w="1149" w:type="dxa"/>
            <w:vAlign w:val="top"/>
          </w:tcPr>
          <w:p>
            <w:pPr>
              <w:spacing w:line="280" w:lineRule="exact"/>
              <w:rPr>
                <w:rFonts w:ascii="宋体" w:hAnsi="宋体" w:cs="宋体"/>
                <w:szCs w:val="21"/>
              </w:rPr>
            </w:pPr>
            <w:r>
              <w:rPr>
                <w:rFonts w:hint="eastAsia" w:ascii="宋体" w:hAnsi="宋体" w:cs="宋体"/>
                <w:szCs w:val="21"/>
              </w:rPr>
              <w:t>Q4.2</w:t>
            </w:r>
          </w:p>
          <w:p>
            <w:pPr>
              <w:spacing w:line="280" w:lineRule="exact"/>
            </w:pPr>
          </w:p>
        </w:tc>
        <w:tc>
          <w:tcPr>
            <w:tcW w:w="10642" w:type="dxa"/>
            <w:vAlign w:val="center"/>
          </w:tcPr>
          <w:p>
            <w:pPr>
              <w:pStyle w:val="11"/>
              <w:rPr>
                <w:rFonts w:hint="eastAsia"/>
              </w:rPr>
            </w:pPr>
            <w:r>
              <w:rPr>
                <w:rFonts w:hint="eastAsia"/>
              </w:rPr>
              <w:t>公司通过综合分析影响企业绩效或受到企业经营绩效影响来确定与公司有关的相关方，通过发放顾客满意度调查表、访谈、电话、网络、会议等方法保持与相关方的沟通，了解相关方的需求和期望。目前所识别出的相关方包括：员工、客户、供方及相关政府监管机构等。目前市场部负责了解客户的需求和服务信息、供方进行定期的沟通，了解相关信息；综合管理部负责并了解组织内部员工需求及使用的相关法律法规要求。通过管理评审对相关信息进行监视和评审。了解相关方的需求和期望，并采取措施满足或超越相关方的需求和期望。</w:t>
            </w:r>
          </w:p>
          <w:p>
            <w:pPr>
              <w:pStyle w:val="11"/>
            </w:pPr>
            <w:r>
              <w:rPr>
                <w:rFonts w:hint="eastAsia"/>
              </w:rPr>
              <w:t>抽查监视和评价结果：供应商要求确定其：资金、信誉等级、供货能力评价结果均良好可以满足供方要求。客户要求了解其公司员工、经营能力、技术能力、法规要求、服务质量、售后服务、争议解决等。评价结果均良好，可以满足客户要求。其它相关方包括社会、法律法规、上级部门的相关要求均进行了及时的监视，评价结果：良好，可以满足要求。并将识别出的相关要求作为指定方针、目标、管理评审的输入内容，基本符合要求。</w:t>
            </w:r>
          </w:p>
        </w:tc>
        <w:tc>
          <w:tcPr>
            <w:tcW w:w="895" w:type="dxa"/>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023" w:type="dxa"/>
            <w:vAlign w:val="top"/>
          </w:tcPr>
          <w:p>
            <w:pPr>
              <w:spacing w:line="280" w:lineRule="exact"/>
              <w:rPr>
                <w:rFonts w:ascii="宋体" w:hAnsi="宋体" w:cs="宋体"/>
                <w:szCs w:val="21"/>
              </w:rPr>
            </w:pPr>
            <w:r>
              <w:rPr>
                <w:rFonts w:hint="eastAsia" w:ascii="宋体" w:hAnsi="宋体" w:cs="宋体"/>
                <w:szCs w:val="21"/>
              </w:rPr>
              <w:t>确定管理体系的范围</w:t>
            </w:r>
          </w:p>
          <w:p>
            <w:pPr>
              <w:spacing w:line="280" w:lineRule="exact"/>
            </w:pPr>
          </w:p>
        </w:tc>
        <w:tc>
          <w:tcPr>
            <w:tcW w:w="1149" w:type="dxa"/>
            <w:vAlign w:val="top"/>
          </w:tcPr>
          <w:p>
            <w:pPr>
              <w:spacing w:line="280" w:lineRule="exact"/>
              <w:rPr>
                <w:rFonts w:ascii="宋体" w:hAnsi="宋体" w:cs="宋体"/>
                <w:szCs w:val="21"/>
              </w:rPr>
            </w:pPr>
            <w:r>
              <w:rPr>
                <w:rFonts w:hint="eastAsia" w:ascii="宋体" w:hAnsi="宋体" w:cs="宋体"/>
                <w:szCs w:val="21"/>
              </w:rPr>
              <w:t>Q4.3</w:t>
            </w:r>
          </w:p>
          <w:p>
            <w:pPr>
              <w:spacing w:line="280" w:lineRule="exact"/>
            </w:pPr>
          </w:p>
        </w:tc>
        <w:tc>
          <w:tcPr>
            <w:tcW w:w="10642" w:type="dxa"/>
            <w:vAlign w:val="center"/>
          </w:tcPr>
          <w:p>
            <w:pPr>
              <w:jc w:val="left"/>
              <w:rPr>
                <w:rFonts w:ascii="宋体" w:hAnsi="宋体" w:cs="宋体"/>
                <w:szCs w:val="21"/>
              </w:rPr>
            </w:pPr>
            <w:r>
              <w:rPr>
                <w:rFonts w:hint="eastAsia" w:ascii="宋体" w:hAnsi="宋体" w:cs="宋体"/>
                <w:szCs w:val="21"/>
              </w:rPr>
              <w:t>公司管理体系范围为：</w:t>
            </w:r>
            <w:r>
              <w:rPr>
                <w:rFonts w:hint="eastAsia" w:ascii="Arial" w:hAnsi="Arial" w:cs="Arial"/>
              </w:rPr>
              <w:t>Q：</w:t>
            </w:r>
            <w:r>
              <w:rPr>
                <w:rFonts w:hint="eastAsia"/>
                <w:sz w:val="20"/>
              </w:rPr>
              <w:t>金属机械零件的铸造及机加工</w:t>
            </w:r>
          </w:p>
          <w:p>
            <w:pPr>
              <w:jc w:val="left"/>
              <w:rPr>
                <w:rFonts w:ascii="宋体" w:hAnsi="宋体" w:cs="宋体"/>
                <w:szCs w:val="21"/>
              </w:rPr>
            </w:pPr>
            <w:r>
              <w:rPr>
                <w:rFonts w:hint="eastAsia" w:ascii="宋体" w:hAnsi="宋体" w:cs="宋体"/>
                <w:szCs w:val="21"/>
              </w:rPr>
              <w:t>本手册覆盖ISO9001:2015/GB/T19001-2016《质量管理体系  要求》除8.3设计开发外全部条款，不适用8.3理由：公司产品的生产按客户的图纸和技术要求（具体每个工程的具体要求，包括型号规格等）、国家行业相关标准进行生产，各产品各工艺稳定成熟，生产过程中无产品的设计开发，不承担设计开发责任，删减8.3 条款后不影响企业提供满足顾客和法律法规要求的产品的能力和责任，基本合理充分，各产品加工工艺为行业内通用，比较透明。</w:t>
            </w:r>
          </w:p>
        </w:tc>
        <w:tc>
          <w:tcPr>
            <w:tcW w:w="895" w:type="dxa"/>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2023" w:type="dxa"/>
            <w:vAlign w:val="top"/>
          </w:tcPr>
          <w:p>
            <w:pPr>
              <w:spacing w:line="280" w:lineRule="exact"/>
              <w:rPr>
                <w:rFonts w:ascii="宋体" w:hAnsi="宋体" w:cs="宋体"/>
                <w:szCs w:val="21"/>
              </w:rPr>
            </w:pPr>
            <w:r>
              <w:rPr>
                <w:rFonts w:hint="eastAsia" w:ascii="宋体" w:hAnsi="宋体" w:cs="宋体"/>
                <w:szCs w:val="21"/>
              </w:rPr>
              <w:t>管理体系及其过程</w:t>
            </w:r>
          </w:p>
          <w:p>
            <w:pPr>
              <w:spacing w:line="280" w:lineRule="exact"/>
            </w:pPr>
          </w:p>
        </w:tc>
        <w:tc>
          <w:tcPr>
            <w:tcW w:w="1149" w:type="dxa"/>
            <w:vAlign w:val="top"/>
          </w:tcPr>
          <w:p>
            <w:pPr>
              <w:spacing w:line="280" w:lineRule="exact"/>
              <w:rPr>
                <w:rFonts w:ascii="宋体" w:hAnsi="宋体" w:cs="宋体"/>
                <w:szCs w:val="21"/>
              </w:rPr>
            </w:pPr>
            <w:r>
              <w:rPr>
                <w:rFonts w:hint="eastAsia" w:ascii="宋体" w:hAnsi="宋体" w:cs="宋体"/>
                <w:szCs w:val="21"/>
              </w:rPr>
              <w:t>Q4.4</w:t>
            </w:r>
          </w:p>
          <w:p>
            <w:pPr>
              <w:spacing w:line="280" w:lineRule="exact"/>
            </w:pPr>
          </w:p>
        </w:tc>
        <w:tc>
          <w:tcPr>
            <w:tcW w:w="10642" w:type="dxa"/>
            <w:vAlign w:val="center"/>
          </w:tcPr>
          <w:p>
            <w:pPr>
              <w:pStyle w:val="11"/>
              <w:rPr>
                <w:rFonts w:hint="eastAsia"/>
              </w:rPr>
            </w:pPr>
            <w:r>
              <w:rPr>
                <w:rFonts w:hint="eastAsia"/>
              </w:rPr>
              <w:t xml:space="preserve">1、组织按照标准的要求，建立、实施、保持和持续改进质量管理体系。审核时提供了一整套质量手册、程序文件、记录等体系资料。 </w:t>
            </w:r>
          </w:p>
          <w:p>
            <w:pPr>
              <w:pStyle w:val="11"/>
              <w:rPr>
                <w:rFonts w:hint="eastAsia"/>
              </w:rPr>
            </w:pPr>
            <w:r>
              <w:rPr>
                <w:rFonts w:hint="eastAsia"/>
              </w:rPr>
              <w:t xml:space="preserve">2、质量管理体系所需的过程包括: 识别相关方、顾客的需要，顾客满意评价的大过程，还包括每一具体的质量活动的子过程，如：管理评审过程、产品服务过程、产品销售过程、测量分析过程、改进过程等。   </w:t>
            </w:r>
          </w:p>
          <w:p>
            <w:pPr>
              <w:pStyle w:val="11"/>
              <w:rPr>
                <w:rFonts w:hint="eastAsia"/>
              </w:rPr>
            </w:pPr>
            <w:r>
              <w:rPr>
                <w:rFonts w:hint="eastAsia"/>
              </w:rPr>
              <w:t>3、组织按照识别的顾客需要确定了所需过程所需的输入和期望的输出。组织将顾客需求输入--顾客确定产品是否满足要求—生产的过程，并已确定这些过程的顺序和各环节的相互作用。</w:t>
            </w:r>
          </w:p>
          <w:p>
            <w:pPr>
              <w:pStyle w:val="11"/>
              <w:rPr>
                <w:rFonts w:hint="eastAsia"/>
              </w:rPr>
            </w:pPr>
            <w:r>
              <w:rPr>
                <w:rFonts w:hint="eastAsia"/>
              </w:rPr>
              <w:t>5、确定和应用了所需的准则和方法(包括监视/测量和相关绩效指标)以确保这些过程的运行和有效控制；定期通过管理评审、内审、日常检查、客户等的检查，确保这些过程的有效。</w:t>
            </w:r>
          </w:p>
          <w:p>
            <w:pPr>
              <w:pStyle w:val="11"/>
              <w:rPr>
                <w:rFonts w:hint="eastAsia"/>
              </w:rPr>
            </w:pPr>
            <w:r>
              <w:rPr>
                <w:rFonts w:hint="eastAsia"/>
              </w:rPr>
              <w:t>6、确定并确保获得了这些过程所需的资源，最高管理者确保了获得了生产、服务所需的相关资源。</w:t>
            </w:r>
          </w:p>
          <w:p>
            <w:pPr>
              <w:pStyle w:val="11"/>
              <w:rPr>
                <w:rFonts w:hint="eastAsia"/>
              </w:rPr>
            </w:pPr>
            <w:r>
              <w:rPr>
                <w:rFonts w:hint="eastAsia"/>
              </w:rPr>
              <w:t>7、规定与这些过程相关的责任和权限；最高管理者确定了各部门、岗位、过程管理的责任和权限。</w:t>
            </w:r>
          </w:p>
          <w:p>
            <w:pPr>
              <w:pStyle w:val="11"/>
              <w:rPr>
                <w:rFonts w:hint="eastAsia"/>
              </w:rPr>
            </w:pPr>
            <w:r>
              <w:rPr>
                <w:rFonts w:hint="eastAsia"/>
              </w:rPr>
              <w:t>8、确定了风险和机遇；能清晰地知道公司存在的风险与机遇。</w:t>
            </w:r>
          </w:p>
          <w:p>
            <w:pPr>
              <w:pStyle w:val="11"/>
              <w:rPr>
                <w:rFonts w:hint="eastAsia"/>
              </w:rPr>
            </w:pPr>
            <w:r>
              <w:rPr>
                <w:rFonts w:hint="eastAsia"/>
              </w:rPr>
              <w:t>9、组织评价了这些过程，实施所需的变更，以确保实现这些过程的预期结果；</w:t>
            </w:r>
          </w:p>
          <w:p>
            <w:pPr>
              <w:pStyle w:val="11"/>
              <w:rPr>
                <w:rFonts w:hint="eastAsia"/>
              </w:rPr>
            </w:pPr>
            <w:r>
              <w:rPr>
                <w:rFonts w:hint="eastAsia"/>
              </w:rPr>
              <w:t xml:space="preserve">10、组织不断改进过程和质量管理体系。 </w:t>
            </w:r>
          </w:p>
          <w:p>
            <w:pPr>
              <w:pStyle w:val="11"/>
              <w:rPr>
                <w:rFonts w:hint="eastAsia"/>
              </w:rPr>
            </w:pPr>
            <w:r>
              <w:rPr>
                <w:rFonts w:hint="eastAsia"/>
              </w:rPr>
              <w:t xml:space="preserve">11、形成必要的文件化信息以支持过程运行。 </w:t>
            </w:r>
          </w:p>
          <w:p>
            <w:pPr>
              <w:pStyle w:val="11"/>
            </w:pPr>
            <w:r>
              <w:rPr>
                <w:rFonts w:hint="eastAsia"/>
              </w:rPr>
              <w:t>12、保留了确认其过程按策划进行的形成文件的信息。</w:t>
            </w:r>
          </w:p>
        </w:tc>
        <w:tc>
          <w:tcPr>
            <w:tcW w:w="895" w:type="dxa"/>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023" w:type="dxa"/>
            <w:vAlign w:val="top"/>
          </w:tcPr>
          <w:p>
            <w:pPr>
              <w:spacing w:line="280" w:lineRule="exact"/>
              <w:rPr>
                <w:rFonts w:ascii="宋体" w:hAnsi="宋体" w:cs="宋体"/>
                <w:szCs w:val="21"/>
              </w:rPr>
            </w:pPr>
            <w:r>
              <w:rPr>
                <w:rFonts w:hint="eastAsia" w:ascii="宋体" w:hAnsi="宋体" w:cs="宋体"/>
                <w:szCs w:val="21"/>
              </w:rPr>
              <w:t>领导作用与承诺</w:t>
            </w:r>
          </w:p>
          <w:p>
            <w:pPr>
              <w:spacing w:line="280" w:lineRule="exact"/>
            </w:pPr>
          </w:p>
        </w:tc>
        <w:tc>
          <w:tcPr>
            <w:tcW w:w="1149" w:type="dxa"/>
            <w:vAlign w:val="top"/>
          </w:tcPr>
          <w:p>
            <w:pPr>
              <w:spacing w:line="280" w:lineRule="exact"/>
              <w:rPr>
                <w:rFonts w:ascii="宋体" w:hAnsi="宋体" w:cs="宋体"/>
                <w:szCs w:val="21"/>
              </w:rPr>
            </w:pPr>
            <w:r>
              <w:rPr>
                <w:rFonts w:hint="eastAsia" w:ascii="宋体" w:hAnsi="宋体" w:cs="宋体"/>
                <w:szCs w:val="21"/>
              </w:rPr>
              <w:t>Q5.1</w:t>
            </w:r>
          </w:p>
          <w:p>
            <w:pPr>
              <w:spacing w:line="280" w:lineRule="exact"/>
            </w:pPr>
          </w:p>
        </w:tc>
        <w:tc>
          <w:tcPr>
            <w:tcW w:w="10642" w:type="dxa"/>
            <w:vAlign w:val="center"/>
          </w:tcPr>
          <w:p>
            <w:pPr>
              <w:ind w:firstLine="420" w:firstLineChars="200"/>
              <w:rPr>
                <w:rFonts w:ascii="宋体" w:hAnsi="宋体" w:cs="宋体"/>
                <w:szCs w:val="21"/>
              </w:rPr>
            </w:pPr>
            <w:r>
              <w:rPr>
                <w:rFonts w:hint="eastAsia" w:ascii="宋体" w:hAnsi="宋体" w:cs="宋体"/>
                <w:szCs w:val="21"/>
              </w:rPr>
              <w:t>公司最高管理者介绍主要承诺有：</w:t>
            </w:r>
          </w:p>
          <w:p>
            <w:pPr>
              <w:ind w:firstLine="420" w:firstLineChars="200"/>
              <w:rPr>
                <w:rFonts w:ascii="宋体" w:hAnsi="宋体" w:cs="宋体"/>
                <w:szCs w:val="21"/>
              </w:rPr>
            </w:pPr>
            <w:r>
              <w:rPr>
                <w:rFonts w:hint="eastAsia" w:ascii="宋体" w:hAnsi="宋体" w:cs="宋体"/>
                <w:szCs w:val="21"/>
              </w:rPr>
              <w:t>a）在职责方面，对管理体系的有效性承担责任；</w:t>
            </w:r>
          </w:p>
          <w:p>
            <w:pPr>
              <w:ind w:firstLine="420" w:firstLineChars="200"/>
              <w:rPr>
                <w:rFonts w:ascii="宋体" w:hAnsi="宋体" w:cs="宋体"/>
                <w:szCs w:val="21"/>
              </w:rPr>
            </w:pPr>
            <w:r>
              <w:rPr>
                <w:rFonts w:hint="eastAsia" w:ascii="宋体" w:hAnsi="宋体" w:cs="宋体"/>
                <w:szCs w:val="21"/>
              </w:rPr>
              <w:t>b）制定管理体系的方针和目标,并与组织环境和战略方向相一致；</w:t>
            </w:r>
          </w:p>
          <w:p>
            <w:pPr>
              <w:ind w:firstLine="420" w:firstLineChars="200"/>
              <w:rPr>
                <w:rFonts w:ascii="宋体" w:hAnsi="宋体" w:cs="宋体"/>
                <w:szCs w:val="21"/>
              </w:rPr>
            </w:pPr>
            <w:r>
              <w:rPr>
                <w:rFonts w:hint="eastAsia" w:ascii="宋体" w:hAnsi="宋体" w:cs="宋体"/>
                <w:szCs w:val="21"/>
              </w:rPr>
              <w:t>c）将管理体系要求融入公司的业务过程；</w:t>
            </w:r>
          </w:p>
          <w:p>
            <w:pPr>
              <w:ind w:firstLine="420" w:firstLineChars="200"/>
              <w:rPr>
                <w:rFonts w:ascii="宋体" w:hAnsi="宋体" w:cs="宋体"/>
                <w:szCs w:val="21"/>
              </w:rPr>
            </w:pPr>
            <w:r>
              <w:rPr>
                <w:rFonts w:hint="eastAsia" w:ascii="宋体" w:hAnsi="宋体" w:cs="宋体"/>
                <w:szCs w:val="21"/>
              </w:rPr>
              <w:t>d）促进管理者在体系策划、运行中使用过程方法和基于风险的思维；</w:t>
            </w:r>
          </w:p>
          <w:p>
            <w:pPr>
              <w:ind w:firstLine="420" w:firstLineChars="200"/>
              <w:rPr>
                <w:rFonts w:ascii="宋体" w:hAnsi="宋体" w:cs="宋体"/>
                <w:szCs w:val="21"/>
              </w:rPr>
            </w:pPr>
            <w:r>
              <w:rPr>
                <w:rFonts w:hint="eastAsia" w:ascii="宋体" w:hAnsi="宋体" w:cs="宋体"/>
                <w:szCs w:val="21"/>
              </w:rPr>
              <w:t>e）识别公司管理体系所需的资源及其更新需要并配备这些资源；</w:t>
            </w:r>
          </w:p>
          <w:p>
            <w:pPr>
              <w:ind w:firstLine="420" w:firstLineChars="200"/>
              <w:rPr>
                <w:rFonts w:ascii="宋体" w:hAnsi="宋体" w:cs="宋体"/>
                <w:szCs w:val="21"/>
              </w:rPr>
            </w:pPr>
            <w:r>
              <w:rPr>
                <w:rFonts w:hint="eastAsia" w:ascii="宋体" w:hAnsi="宋体" w:cs="宋体"/>
                <w:szCs w:val="21"/>
              </w:rPr>
              <w:t>f）在公司内进行沟通，确保全员理解有效的管理和符合管理体系要求的重要性，积极主动参与和配合，通过考核、培训、分享知识、奖励制度，促使、指导和支持员工努力提高其素质，提高管理体系的有效性和管理绩效；</w:t>
            </w:r>
          </w:p>
          <w:p>
            <w:pPr>
              <w:ind w:firstLine="420" w:firstLineChars="200"/>
              <w:rPr>
                <w:rFonts w:ascii="宋体" w:hAnsi="宋体" w:cs="宋体"/>
                <w:szCs w:val="21"/>
              </w:rPr>
            </w:pPr>
            <w:r>
              <w:rPr>
                <w:rFonts w:hint="eastAsia" w:ascii="宋体" w:hAnsi="宋体" w:cs="宋体"/>
                <w:szCs w:val="21"/>
              </w:rPr>
              <w:t>g）实施各项业务过程，实现公司目标和质量管理体系的预期结果；</w:t>
            </w:r>
          </w:p>
          <w:p>
            <w:pPr>
              <w:ind w:firstLine="420" w:firstLineChars="200"/>
              <w:rPr>
                <w:rFonts w:ascii="宋体" w:hAnsi="宋体" w:cs="宋体"/>
                <w:szCs w:val="21"/>
              </w:rPr>
            </w:pPr>
            <w:r>
              <w:rPr>
                <w:rFonts w:hint="eastAsia" w:ascii="宋体" w:hAnsi="宋体" w:cs="宋体"/>
                <w:szCs w:val="21"/>
              </w:rPr>
              <w:t>h）推动改进；</w:t>
            </w:r>
          </w:p>
          <w:p>
            <w:pPr>
              <w:ind w:firstLine="420" w:firstLineChars="200"/>
              <w:rPr>
                <w:rFonts w:ascii="宋体" w:hAnsi="宋体" w:cs="宋体"/>
                <w:szCs w:val="21"/>
              </w:rPr>
            </w:pPr>
            <w:r>
              <w:rPr>
                <w:rFonts w:hint="eastAsia" w:ascii="宋体" w:hAnsi="宋体" w:cs="宋体"/>
                <w:szCs w:val="21"/>
              </w:rPr>
              <w:t>i）明确公司内部职责分工，支持其他管理者履行其相关领域的职责。</w:t>
            </w:r>
          </w:p>
          <w:p>
            <w:pPr>
              <w:ind w:firstLine="420" w:firstLineChars="200"/>
              <w:rPr>
                <w:rFonts w:ascii="宋体" w:hAnsi="宋体" w:cs="宋体"/>
                <w:szCs w:val="21"/>
              </w:rPr>
            </w:pPr>
            <w:r>
              <w:rPr>
                <w:rFonts w:hint="eastAsia" w:ascii="宋体" w:hAnsi="宋体" w:cs="宋体"/>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r>
              <w:rPr>
                <w:rFonts w:hint="eastAsia" w:ascii="宋体" w:hAnsi="宋体" w:cs="宋体"/>
                <w:szCs w:val="21"/>
              </w:rPr>
              <w:t>承诺基本实现，没有违反的情况发生。</w:t>
            </w:r>
          </w:p>
        </w:tc>
        <w:tc>
          <w:tcPr>
            <w:tcW w:w="895" w:type="dxa"/>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023" w:type="dxa"/>
            <w:vAlign w:val="top"/>
          </w:tcPr>
          <w:p>
            <w:pPr>
              <w:spacing w:line="280" w:lineRule="exact"/>
              <w:rPr>
                <w:rFonts w:ascii="宋体" w:hAnsi="宋体" w:cs="宋体"/>
                <w:szCs w:val="21"/>
              </w:rPr>
            </w:pPr>
            <w:r>
              <w:rPr>
                <w:rFonts w:hint="eastAsia" w:ascii="宋体" w:hAnsi="宋体" w:cs="宋体"/>
                <w:szCs w:val="21"/>
              </w:rPr>
              <w:t>方针</w:t>
            </w:r>
          </w:p>
          <w:p>
            <w:pPr>
              <w:spacing w:line="280" w:lineRule="exact"/>
              <w:rPr>
                <w:rFonts w:ascii="宋体" w:hAnsi="宋体" w:cs="宋体"/>
                <w:szCs w:val="21"/>
              </w:rPr>
            </w:pPr>
            <w:r>
              <w:rPr>
                <w:rFonts w:hint="eastAsia" w:ascii="宋体" w:hAnsi="宋体" w:cs="宋体"/>
                <w:szCs w:val="21"/>
              </w:rPr>
              <w:t>制定方针</w:t>
            </w:r>
          </w:p>
          <w:p>
            <w:pPr>
              <w:spacing w:line="280" w:lineRule="exact"/>
            </w:pPr>
            <w:r>
              <w:rPr>
                <w:rFonts w:hint="eastAsia" w:ascii="宋体" w:hAnsi="宋体" w:cs="宋体"/>
                <w:szCs w:val="21"/>
              </w:rPr>
              <w:t>沟通方针</w:t>
            </w:r>
          </w:p>
        </w:tc>
        <w:tc>
          <w:tcPr>
            <w:tcW w:w="1149" w:type="dxa"/>
            <w:vAlign w:val="top"/>
          </w:tcPr>
          <w:p>
            <w:pPr>
              <w:spacing w:line="280" w:lineRule="exact"/>
              <w:rPr>
                <w:rFonts w:ascii="宋体" w:hAnsi="宋体" w:cs="宋体"/>
                <w:szCs w:val="21"/>
              </w:rPr>
            </w:pPr>
            <w:r>
              <w:rPr>
                <w:rFonts w:hint="eastAsia" w:ascii="宋体" w:hAnsi="宋体" w:cs="宋体"/>
                <w:szCs w:val="21"/>
              </w:rPr>
              <w:t>Q5.2</w:t>
            </w:r>
          </w:p>
          <w:p>
            <w:pPr>
              <w:snapToGrid w:val="0"/>
              <w:spacing w:line="280" w:lineRule="exact"/>
              <w:rPr>
                <w:szCs w:val="21"/>
              </w:rPr>
            </w:pPr>
          </w:p>
          <w:p>
            <w:pPr>
              <w:spacing w:line="280" w:lineRule="exact"/>
              <w:rPr>
                <w:rFonts w:ascii="宋体" w:hAnsi="宋体" w:cs="宋体"/>
                <w:szCs w:val="21"/>
              </w:rPr>
            </w:pPr>
          </w:p>
          <w:p>
            <w:pPr>
              <w:spacing w:line="280" w:lineRule="exact"/>
            </w:pPr>
          </w:p>
        </w:tc>
        <w:tc>
          <w:tcPr>
            <w:tcW w:w="10642" w:type="dxa"/>
            <w:vAlign w:val="center"/>
          </w:tcPr>
          <w:p>
            <w:pPr>
              <w:ind w:firstLine="420" w:firstLineChars="200"/>
              <w:rPr>
                <w:rFonts w:ascii="宋体" w:hAnsi="宋体" w:cs="宋体"/>
                <w:szCs w:val="21"/>
              </w:rPr>
            </w:pPr>
            <w:r>
              <w:rPr>
                <w:rFonts w:hint="eastAsia" w:ascii="宋体" w:hAnsi="宋体" w:cs="宋体"/>
                <w:szCs w:val="21"/>
              </w:rPr>
              <w:t>该公司质量方针：遵纪守法，持续改进，成就鼎润百年品牌</w:t>
            </w:r>
          </w:p>
          <w:p>
            <w:pPr>
              <w:ind w:firstLine="420" w:firstLineChars="200"/>
              <w:rPr>
                <w:rFonts w:ascii="宋体" w:hAnsi="宋体" w:cs="宋体"/>
                <w:szCs w:val="21"/>
              </w:rPr>
            </w:pPr>
            <w:r>
              <w:rPr>
                <w:rFonts w:hint="eastAsia" w:ascii="宋体" w:hAnsi="宋体" w:cs="宋体"/>
                <w:szCs w:val="21"/>
              </w:rPr>
              <w:t>公司以质量标准为基础，结合公司实际特制定管理方针。与总经理进行交谈，总经理</w:t>
            </w:r>
            <w:r>
              <w:rPr>
                <w:rFonts w:hint="eastAsia" w:ascii="宋体" w:hAnsi="宋体" w:cs="宋体"/>
                <w:szCs w:val="21"/>
                <w:lang w:eastAsia="zh-CN"/>
              </w:rPr>
              <w:t>徐政</w:t>
            </w:r>
            <w:r>
              <w:rPr>
                <w:rFonts w:hint="eastAsia" w:ascii="宋体" w:hAnsi="宋体" w:cs="宋体"/>
                <w:szCs w:val="21"/>
              </w:rPr>
              <w:t>对方针内涵的理解较深刻。方针能为制定目标提供框架，方针基本符合标准的要求。</w:t>
            </w:r>
          </w:p>
          <w:p>
            <w:pPr>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总经理用会议、文件等手段保证管理方针为全体员工理解并落实到工作中。总经理说管理评审时对方针的持续适宜性进行了评审，有评审记录。</w:t>
            </w:r>
          </w:p>
          <w:p>
            <w:pPr>
              <w:ind w:firstLine="420" w:firstLineChars="200"/>
              <w:rPr>
                <w:rFonts w:ascii="宋体" w:hAnsi="宋体" w:cs="宋体"/>
                <w:szCs w:val="21"/>
              </w:rPr>
            </w:pPr>
            <w:r>
              <w:rPr>
                <w:rFonts w:hint="eastAsia" w:ascii="宋体" w:hAnsi="宋体" w:cs="宋体"/>
                <w:szCs w:val="21"/>
              </w:rPr>
              <w:t>以上管理方针通过文件、培训等形式将公司管理方针传达给所有为公司工作或代表公司的人员，相关方也可通过</w:t>
            </w:r>
            <w:r>
              <w:rPr>
                <w:rFonts w:hint="eastAsia" w:ascii="宋体" w:hAnsi="宋体" w:cs="宋体"/>
                <w:szCs w:val="21"/>
                <w:lang w:eastAsia="zh-CN"/>
              </w:rPr>
              <w:t>综合管理部</w:t>
            </w:r>
            <w:r>
              <w:rPr>
                <w:rFonts w:hint="eastAsia" w:ascii="宋体" w:hAnsi="宋体" w:cs="宋体"/>
                <w:szCs w:val="21"/>
              </w:rPr>
              <w:t>获取公司管理方针。</w:t>
            </w:r>
          </w:p>
        </w:tc>
        <w:tc>
          <w:tcPr>
            <w:tcW w:w="895" w:type="dxa"/>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023" w:type="dxa"/>
            <w:vAlign w:val="top"/>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1149" w:type="dxa"/>
            <w:vAlign w:val="top"/>
          </w:tcPr>
          <w:p>
            <w:pPr>
              <w:spacing w:line="280" w:lineRule="exact"/>
              <w:rPr>
                <w:rFonts w:ascii="宋体" w:cs="宋体"/>
                <w:szCs w:val="21"/>
              </w:rPr>
            </w:pPr>
            <w:r>
              <w:rPr>
                <w:rFonts w:ascii="宋体" w:cs="宋体"/>
                <w:szCs w:val="21"/>
              </w:rPr>
              <w:t>Q5.3</w:t>
            </w:r>
          </w:p>
          <w:p>
            <w:pPr>
              <w:spacing w:line="280" w:lineRule="exact"/>
            </w:pPr>
          </w:p>
        </w:tc>
        <w:tc>
          <w:tcPr>
            <w:tcW w:w="10642" w:type="dxa"/>
            <w:vAlign w:val="center"/>
          </w:tcPr>
          <w:p>
            <w:pPr>
              <w:ind w:firstLine="420" w:firstLineChars="200"/>
            </w:pPr>
            <w:r>
              <w:rPr>
                <w:rFonts w:hint="eastAsia"/>
                <w:lang w:val="en-US" w:eastAsia="zh-CN"/>
              </w:rPr>
              <w:t>查规定有《职责和权限与沟通控制程序》，</w:t>
            </w:r>
            <w:r>
              <w:rPr>
                <w:rFonts w:hint="eastAsia"/>
              </w:rPr>
              <w:t>确定了部门、各岗位人员职责、权限和相互关系，并在公司内对各级员工进行了必要的传达。对从事与服务有关的管理、执行和验证人员规定其职责、权限及其相互关系，以实现公司管理方针和管理目标。建立、实施和保持公司管理体系所需的过程，公司任命</w:t>
            </w:r>
            <w:r>
              <w:rPr>
                <w:rFonts w:hint="eastAsia"/>
                <w:lang w:eastAsia="zh-CN"/>
              </w:rPr>
              <w:t>徐</w:t>
            </w:r>
            <w:r>
              <w:rPr>
                <w:rFonts w:hint="eastAsia"/>
                <w:lang w:val="en-US" w:eastAsia="zh-CN"/>
              </w:rPr>
              <w:t>宁</w:t>
            </w:r>
            <w:r>
              <w:rPr>
                <w:rFonts w:hint="eastAsia"/>
              </w:rPr>
              <w:t>为管理体系的管理者代表。其职责和权限规定如下：</w:t>
            </w:r>
          </w:p>
          <w:p>
            <w:pPr>
              <w:ind w:firstLine="420" w:firstLineChars="200"/>
            </w:pPr>
            <w:r>
              <w:rPr>
                <w:rFonts w:hint="eastAsia"/>
              </w:rPr>
              <w:t>确保质量管理体系的建立、实施和保持；向总经理报告质量管理体系的业绩和任何改进的需求；采取适当措施，在整个组织内提高顾客要求的意识得到有效落实；负责质量管理体系的有关事宜与外部联络，协调内部体系的一切问题；确保管理体系相互协调、完整。</w:t>
            </w:r>
          </w:p>
          <w:p>
            <w:pPr>
              <w:ind w:firstLine="420" w:firstLineChars="200"/>
            </w:pPr>
            <w:r>
              <w:rPr>
                <w:rFonts w:hint="eastAsia"/>
              </w:rPr>
              <w:t>询问管代</w:t>
            </w:r>
            <w:r>
              <w:rPr>
                <w:rFonts w:hint="eastAsia"/>
                <w:lang w:eastAsia="zh-CN"/>
              </w:rPr>
              <w:t>徐政</w:t>
            </w:r>
            <w:r>
              <w:rPr>
                <w:rFonts w:hint="eastAsia"/>
              </w:rPr>
              <w:t>职责回答正确。</w:t>
            </w:r>
          </w:p>
        </w:tc>
        <w:tc>
          <w:tcPr>
            <w:tcW w:w="895" w:type="dxa"/>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2023" w:type="dxa"/>
            <w:vAlign w:val="top"/>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1149" w:type="dxa"/>
            <w:vAlign w:val="top"/>
          </w:tcPr>
          <w:p>
            <w:pPr>
              <w:spacing w:line="280" w:lineRule="exact"/>
              <w:rPr>
                <w:rFonts w:ascii="宋体"/>
                <w:szCs w:val="21"/>
              </w:rPr>
            </w:pPr>
            <w:r>
              <w:rPr>
                <w:rFonts w:hint="eastAsia" w:ascii="宋体" w:hAnsi="宋体" w:cs="宋体"/>
                <w:szCs w:val="21"/>
              </w:rPr>
              <w:t>Q6.1</w:t>
            </w:r>
          </w:p>
          <w:p>
            <w:pPr>
              <w:spacing w:line="280" w:lineRule="exact"/>
              <w:rPr>
                <w:rFonts w:ascii="宋体" w:hAnsi="宋体" w:cs="宋体"/>
                <w:szCs w:val="21"/>
              </w:rPr>
            </w:pPr>
          </w:p>
          <w:p>
            <w:pPr>
              <w:spacing w:line="280" w:lineRule="exact"/>
            </w:pPr>
          </w:p>
        </w:tc>
        <w:tc>
          <w:tcPr>
            <w:tcW w:w="10642" w:type="dxa"/>
            <w:vAlign w:val="center"/>
          </w:tcPr>
          <w:p>
            <w:pPr>
              <w:pStyle w:val="13"/>
              <w:ind w:left="425" w:firstLine="0" w:firstLineChars="0"/>
              <w:rPr>
                <w:rFonts w:hint="eastAsia"/>
              </w:rPr>
            </w:pPr>
            <w:r>
              <w:rPr>
                <w:rFonts w:hint="eastAsia"/>
              </w:rPr>
              <w:t>总经理说：公司编制有风险和机遇应对管理制度组织在实现其目标和预期结果的活动中不定期采用会议、培训、讨论等形式以进行风险和机遇的识别，并根据识别出的风险和机遇指定应对措施。顾客对铸件产品技术服务和产品质量要求不断提升、施工和产品工艺更新换代不及时以及标准提升导致遭受淘汰的风险等问题，以后要派遣专业人士到客户现场进行技术咨询，充分理解顾客对铸件产品要求，培养专业技术人员的能力；如不能满足要求请外部人员协助完成技术改良，已达到客户的要求，减小市场的流失率。管理层定期参加各种行业会议，确定跟进市场需求，内部的工艺监视和评审则由技术人员不断进行改进或者请外部人员协助解决。定期召开质量管理体系管理评审，评价措施的有效性与风险和机遇的适应程度。20</w:t>
            </w:r>
            <w:r>
              <w:rPr>
                <w:rFonts w:hint="eastAsia"/>
                <w:lang w:val="en-US" w:eastAsia="zh-CN"/>
              </w:rPr>
              <w:t>22</w:t>
            </w:r>
            <w:r>
              <w:rPr>
                <w:rFonts w:hint="eastAsia"/>
              </w:rPr>
              <w:t>年0</w:t>
            </w:r>
            <w:r>
              <w:rPr>
                <w:rFonts w:hint="eastAsia"/>
                <w:lang w:val="en-US" w:eastAsia="zh-CN"/>
              </w:rPr>
              <w:t>1</w:t>
            </w:r>
            <w:r>
              <w:rPr>
                <w:rFonts w:hint="eastAsia"/>
              </w:rPr>
              <w:t>月10日由最高管理者组织各部门相关人员以会议形式就目前所处的环境，内外部因素及相关方的要求，对各过程进行了风险和机遇识别、评估、评价并指定制定相应措施，以实现策划的预期结果。</w:t>
            </w:r>
          </w:p>
          <w:p>
            <w:pPr>
              <w:pStyle w:val="13"/>
              <w:ind w:left="425" w:firstLine="0" w:firstLineChars="0"/>
              <w:rPr>
                <w:rFonts w:hint="eastAsia" w:eastAsia="宋体"/>
                <w:lang w:eastAsia="zh-CN"/>
              </w:rPr>
            </w:pPr>
            <w:r>
              <w:rPr>
                <w:rFonts w:hint="eastAsia"/>
              </w:rPr>
              <w:t>组织从中识别出风险和机遇</w:t>
            </w:r>
            <w:r>
              <w:rPr>
                <w:rFonts w:hint="eastAsia"/>
                <w:lang w:eastAsia="zh-CN"/>
              </w:rPr>
              <w:t>，</w:t>
            </w:r>
            <w:r>
              <w:rPr>
                <w:rFonts w:hint="eastAsia"/>
                <w:lang w:val="en-US" w:eastAsia="zh-CN"/>
              </w:rPr>
              <w:t>提供有《</w:t>
            </w:r>
            <w:r>
              <w:rPr>
                <w:rFonts w:hint="eastAsia"/>
                <w:lang w:eastAsia="zh-CN"/>
              </w:rPr>
              <w:t>主要过程风险/机遇识别控制评价表》：</w:t>
            </w:r>
          </w:p>
          <w:p>
            <w:pPr>
              <w:pStyle w:val="13"/>
              <w:ind w:left="425" w:firstLine="0" w:firstLineChars="0"/>
              <w:rPr>
                <w:rFonts w:hint="eastAsia"/>
              </w:rPr>
            </w:pPr>
            <w:r>
              <w:rPr>
                <w:rFonts w:hint="eastAsia"/>
              </w:rPr>
              <w:t>识别出的机会主要有：（1）外部机会：铸件产品生产行业整体复苏，铸件产品技术服务和铸件产品相关产品需求不断增加，铸件产品技术服务质量在同行业中有较好的口碑，赢得用户的信任。（2）内部机会：员工专业化程度高、工艺和设备在同行中处于先进水平、领导层重视管理和市场开发及巩固，注重服务创新、健全的质量管理过程及售后服务等。</w:t>
            </w:r>
          </w:p>
          <w:p>
            <w:pPr>
              <w:pStyle w:val="13"/>
              <w:ind w:left="425" w:firstLine="0" w:firstLineChars="0"/>
              <w:rPr>
                <w:rFonts w:hint="eastAsia"/>
              </w:rPr>
            </w:pPr>
            <w:r>
              <w:rPr>
                <w:rFonts w:hint="eastAsia"/>
              </w:rPr>
              <w:t>识别出的风险主要有：（1）外部风险：顾客对铸件产品技术服务和产品质量要求不断提升、产品工艺更新换代不及时以及标准提升导致遭受淘汰的风险等。（2）内部风险：员工涨薪诉求增加、不合格品对信誉的影响、关键岗位员工稳定性等内外部相关因素。</w:t>
            </w:r>
          </w:p>
          <w:p>
            <w:pPr>
              <w:pStyle w:val="13"/>
              <w:ind w:left="425" w:firstLine="0" w:firstLineChars="0"/>
              <w:rPr>
                <w:rFonts w:hint="eastAsia"/>
              </w:rPr>
            </w:pPr>
            <w:r>
              <w:rPr>
                <w:rFonts w:hint="eastAsia"/>
              </w:rPr>
              <w:t>采取应对措施：</w:t>
            </w:r>
          </w:p>
          <w:p>
            <w:pPr>
              <w:pStyle w:val="13"/>
              <w:ind w:left="425" w:firstLine="0" w:firstLineChars="0"/>
              <w:rPr>
                <w:rFonts w:hint="eastAsia"/>
              </w:rPr>
            </w:pPr>
            <w:r>
              <w:rPr>
                <w:rFonts w:hint="eastAsia"/>
              </w:rPr>
              <w:t>管理层人员告知，顾客对铸件产品技术服务和产品质量要求不断提升、产品工艺更新换代不及时以及标准提升导致遭受淘汰的风险等问题，以后要派遣专业人士到客户现场进行技术咨询，充分理解顾客对铸件产品技术服务质量和技术要求，培养专业技术人员的能力；如不能满足要求请外部人员协助完成技术改良，已达到客户的要求，减小市场的流失率。</w:t>
            </w:r>
          </w:p>
          <w:p>
            <w:pPr>
              <w:pStyle w:val="13"/>
              <w:ind w:left="425" w:firstLine="0" w:firstLineChars="0"/>
              <w:rPr>
                <w:rFonts w:hint="eastAsia"/>
              </w:rPr>
            </w:pPr>
            <w:r>
              <w:rPr>
                <w:rFonts w:hint="eastAsia"/>
              </w:rPr>
              <w:t>对这些内外部因素的相关信息进行监视和评审的情况: 管理层定期参加各种技术研讨会，确定跟进市场需求；时常关注网络最新市场动态；内部的工艺监视和评审则由技术人员不断进行改进或者请外部人员协助解决。</w:t>
            </w:r>
          </w:p>
          <w:p>
            <w:pPr>
              <w:pStyle w:val="13"/>
              <w:ind w:left="425" w:firstLine="0" w:firstLineChars="0"/>
              <w:rPr>
                <w:rFonts w:hint="eastAsia"/>
              </w:rPr>
            </w:pPr>
            <w:r>
              <w:rPr>
                <w:rFonts w:hint="eastAsia"/>
              </w:rPr>
              <w:t xml:space="preserve">提供有风险和机遇分析评价： </w:t>
            </w:r>
          </w:p>
          <w:p>
            <w:pPr>
              <w:pStyle w:val="13"/>
              <w:ind w:left="425" w:firstLine="0" w:firstLineChars="0"/>
              <w:rPr>
                <w:rFonts w:hint="eastAsia"/>
              </w:rPr>
            </w:pPr>
            <w:r>
              <w:rPr>
                <w:rFonts w:hint="eastAsia"/>
              </w:rPr>
              <w:t>风险描述：铸件产品技术服务和产品质量不稳定；性质：严重；发生部门：生产部；风险等级：一级；应对措施：1、强化工艺执行；2、加强设备维护保养；3、严格过程质量控制；4、加强过程质量检验；是否有效：实施过程中有效；</w:t>
            </w:r>
          </w:p>
          <w:p>
            <w:pPr>
              <w:pStyle w:val="13"/>
              <w:ind w:left="425" w:firstLine="0" w:firstLineChars="0"/>
              <w:rPr>
                <w:rFonts w:hint="eastAsia"/>
              </w:rPr>
            </w:pPr>
            <w:r>
              <w:rPr>
                <w:rFonts w:hint="eastAsia"/>
              </w:rPr>
              <w:t>风险描述：售后服务能力不足；性质：较重；发生部门：市场部；风险等级： 二级；应对措施：1、加强人员培训；2、在全公司招聘跟踪服务人员，补充队伍；是否有效：已实施有效。</w:t>
            </w:r>
          </w:p>
          <w:p>
            <w:pPr>
              <w:pStyle w:val="13"/>
              <w:ind w:left="425" w:firstLine="0" w:firstLineChars="0"/>
              <w:rPr>
                <w:rFonts w:hint="eastAsia"/>
              </w:rPr>
            </w:pPr>
            <w:r>
              <w:rPr>
                <w:rFonts w:hint="eastAsia"/>
              </w:rPr>
              <w:t>……</w:t>
            </w:r>
          </w:p>
          <w:p>
            <w:pPr>
              <w:pStyle w:val="13"/>
              <w:ind w:left="425" w:firstLine="0" w:firstLineChars="0"/>
              <w:rPr>
                <w:rFonts w:hint="eastAsia"/>
              </w:rPr>
            </w:pPr>
            <w:r>
              <w:rPr>
                <w:rFonts w:hint="eastAsia"/>
              </w:rPr>
              <w:t>共涉及生产经营、人员、服务、安全等方面风险4项，各项措施均在实施过程中，在总经理主持的例会中进行定期的有效性跟综和评审。目前阶段性有效。</w:t>
            </w:r>
          </w:p>
          <w:p>
            <w:pPr>
              <w:pStyle w:val="13"/>
              <w:ind w:left="425" w:firstLine="0" w:firstLineChars="0"/>
              <w:rPr>
                <w:rFonts w:hint="eastAsia"/>
              </w:rPr>
            </w:pPr>
            <w:r>
              <w:rPr>
                <w:rFonts w:hint="eastAsia"/>
              </w:rPr>
              <w:t>该组织建立的风险和利用机遇的机制基本符合要求。</w:t>
            </w:r>
          </w:p>
        </w:tc>
        <w:tc>
          <w:tcPr>
            <w:tcW w:w="895" w:type="dxa"/>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023" w:type="dxa"/>
            <w:vAlign w:val="top"/>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1149" w:type="dxa"/>
            <w:vAlign w:val="top"/>
          </w:tcPr>
          <w:p>
            <w:pPr>
              <w:spacing w:line="280" w:lineRule="exact"/>
              <w:rPr>
                <w:rFonts w:ascii="宋体" w:hAnsi="宋体" w:eastAsia="宋体" w:cs="宋体"/>
                <w:szCs w:val="21"/>
              </w:rPr>
            </w:pPr>
            <w:r>
              <w:rPr>
                <w:rFonts w:hint="eastAsia" w:ascii="宋体" w:hAnsi="宋体" w:eastAsia="宋体" w:cs="宋体"/>
                <w:szCs w:val="21"/>
              </w:rPr>
              <w:t>Q6.2</w:t>
            </w:r>
          </w:p>
          <w:p>
            <w:pPr>
              <w:spacing w:line="280" w:lineRule="exact"/>
              <w:rPr>
                <w:rFonts w:ascii="宋体" w:hAnsi="宋体" w:eastAsia="宋体" w:cs="宋体"/>
                <w:szCs w:val="21"/>
              </w:rPr>
            </w:pPr>
          </w:p>
        </w:tc>
        <w:tc>
          <w:tcPr>
            <w:tcW w:w="10642" w:type="dxa"/>
            <w:vAlign w:val="center"/>
          </w:tcPr>
          <w:p>
            <w:pPr>
              <w:ind w:firstLine="420" w:firstLineChars="200"/>
            </w:pPr>
            <w:r>
              <w:rPr>
                <w:rFonts w:hint="eastAsia"/>
              </w:rPr>
              <w:t>公司对管理体系所需的相关职能、层次和过程设定管理目标。</w:t>
            </w:r>
          </w:p>
          <w:p>
            <w:pPr>
              <w:ind w:firstLine="420" w:firstLineChars="200"/>
            </w:pPr>
            <w:r>
              <w:rPr>
                <w:rFonts w:hint="eastAsia"/>
              </w:rPr>
              <w:t>公司管理目标是：</w:t>
            </w:r>
          </w:p>
          <w:p>
            <w:pPr>
              <w:ind w:firstLine="420" w:firstLineChars="200"/>
              <w:rPr>
                <w:rFonts w:hint="eastAsia"/>
              </w:rPr>
            </w:pPr>
            <w:r>
              <w:rPr>
                <w:rFonts w:hint="eastAsia"/>
              </w:rPr>
              <w:t>质量目标</w:t>
            </w:r>
            <w:r>
              <w:rPr>
                <w:rFonts w:hint="eastAsia"/>
              </w:rPr>
              <w:tab/>
            </w:r>
            <w:r>
              <w:rPr>
                <w:rFonts w:hint="eastAsia"/>
              </w:rPr>
              <w:t>考核频次</w:t>
            </w:r>
            <w:r>
              <w:rPr>
                <w:rFonts w:hint="eastAsia"/>
              </w:rPr>
              <w:tab/>
            </w:r>
            <w:r>
              <w:rPr>
                <w:rFonts w:hint="eastAsia"/>
              </w:rPr>
              <w:t>计算方法</w:t>
            </w:r>
            <w:r>
              <w:rPr>
                <w:rFonts w:hint="eastAsia"/>
              </w:rPr>
              <w:tab/>
            </w:r>
            <w:r>
              <w:rPr>
                <w:rFonts w:hint="eastAsia"/>
              </w:rPr>
              <w:t>完成情况（2021.1-2022.5）</w:t>
            </w:r>
          </w:p>
          <w:p>
            <w:pPr>
              <w:ind w:firstLine="420" w:firstLineChars="200"/>
              <w:rPr>
                <w:rFonts w:hint="eastAsia"/>
              </w:rPr>
            </w:pPr>
            <w:r>
              <w:rPr>
                <w:rFonts w:hint="eastAsia"/>
              </w:rPr>
              <w:t>外部不良率 1%以下</w:t>
            </w:r>
            <w:r>
              <w:rPr>
                <w:rFonts w:hint="eastAsia"/>
              </w:rPr>
              <w:tab/>
            </w:r>
            <w:r>
              <w:rPr>
                <w:rFonts w:hint="eastAsia"/>
              </w:rPr>
              <w:t>1次/月</w:t>
            </w:r>
            <w:r>
              <w:rPr>
                <w:rFonts w:hint="eastAsia"/>
              </w:rPr>
              <w:tab/>
            </w:r>
            <w:r>
              <w:rPr>
                <w:rFonts w:hint="eastAsia"/>
              </w:rPr>
              <w:t>合格数÷检验批次总数*100%</w:t>
            </w:r>
            <w:r>
              <w:rPr>
                <w:rFonts w:hint="eastAsia"/>
              </w:rPr>
              <w:tab/>
            </w:r>
            <w:r>
              <w:rPr>
                <w:rFonts w:hint="eastAsia"/>
              </w:rPr>
              <w:t>0</w:t>
            </w:r>
          </w:p>
          <w:p>
            <w:pPr>
              <w:ind w:firstLine="420" w:firstLineChars="200"/>
              <w:rPr>
                <w:rFonts w:hint="eastAsia"/>
              </w:rPr>
            </w:pPr>
            <w:r>
              <w:rPr>
                <w:rFonts w:hint="eastAsia"/>
              </w:rPr>
              <w:t>内部不良率 3%以下</w:t>
            </w:r>
            <w:r>
              <w:rPr>
                <w:rFonts w:hint="eastAsia"/>
              </w:rPr>
              <w:tab/>
            </w:r>
            <w:r>
              <w:rPr>
                <w:rFonts w:hint="eastAsia"/>
              </w:rPr>
              <w:t>1次/月</w:t>
            </w:r>
            <w:r>
              <w:rPr>
                <w:rFonts w:hint="eastAsia"/>
              </w:rPr>
              <w:tab/>
            </w:r>
            <w:r>
              <w:rPr>
                <w:rFonts w:hint="eastAsia"/>
              </w:rPr>
              <w:t>检验准确数/检验总数*100%</w:t>
            </w:r>
            <w:r>
              <w:rPr>
                <w:rFonts w:hint="eastAsia"/>
              </w:rPr>
              <w:tab/>
            </w:r>
            <w:r>
              <w:rPr>
                <w:rFonts w:hint="eastAsia"/>
              </w:rPr>
              <w:t>0</w:t>
            </w:r>
          </w:p>
          <w:p>
            <w:pPr>
              <w:ind w:firstLine="420" w:firstLineChars="200"/>
              <w:rPr>
                <w:rFonts w:hint="eastAsia"/>
              </w:rPr>
            </w:pPr>
            <w:r>
              <w:rPr>
                <w:rFonts w:hint="eastAsia"/>
              </w:rPr>
              <w:t>产品交付及时率100%</w:t>
            </w:r>
            <w:r>
              <w:rPr>
                <w:rFonts w:hint="eastAsia"/>
              </w:rPr>
              <w:tab/>
            </w:r>
            <w:r>
              <w:rPr>
                <w:rFonts w:hint="eastAsia"/>
              </w:rPr>
              <w:t>1次/月</w:t>
            </w:r>
            <w:r>
              <w:rPr>
                <w:rFonts w:hint="eastAsia"/>
              </w:rPr>
              <w:tab/>
            </w:r>
            <w:r>
              <w:rPr>
                <w:rFonts w:hint="eastAsia"/>
              </w:rPr>
              <w:t>及时数÷销售产品总数*100%</w:t>
            </w:r>
            <w:r>
              <w:rPr>
                <w:rFonts w:hint="eastAsia"/>
              </w:rPr>
              <w:tab/>
            </w:r>
            <w:r>
              <w:rPr>
                <w:rFonts w:hint="eastAsia"/>
              </w:rPr>
              <w:t>100%</w:t>
            </w:r>
          </w:p>
          <w:p>
            <w:pPr>
              <w:ind w:firstLine="420" w:firstLineChars="200"/>
              <w:rPr>
                <w:rFonts w:hint="eastAsia"/>
              </w:rPr>
            </w:pPr>
            <w:r>
              <w:rPr>
                <w:rFonts w:hint="eastAsia"/>
              </w:rPr>
              <w:t>顾客满意率95%</w:t>
            </w:r>
            <w:r>
              <w:rPr>
                <w:rFonts w:hint="eastAsia"/>
              </w:rPr>
              <w:tab/>
            </w:r>
            <w:r>
              <w:rPr>
                <w:rFonts w:hint="eastAsia"/>
              </w:rPr>
              <w:t>1次/年</w:t>
            </w:r>
            <w:r>
              <w:rPr>
                <w:rFonts w:hint="eastAsia"/>
              </w:rPr>
              <w:tab/>
            </w:r>
            <w:r>
              <w:rPr>
                <w:rFonts w:hint="eastAsia"/>
              </w:rPr>
              <w:t>满意项/调查项*100%</w:t>
            </w:r>
            <w:r>
              <w:rPr>
                <w:rFonts w:hint="eastAsia"/>
              </w:rPr>
              <w:tab/>
            </w:r>
            <w:r>
              <w:rPr>
                <w:rFonts w:hint="eastAsia"/>
              </w:rPr>
              <w:t>95.8%</w:t>
            </w:r>
          </w:p>
          <w:p>
            <w:pPr>
              <w:ind w:firstLine="420" w:firstLineChars="200"/>
            </w:pPr>
            <w:r>
              <w:rPr>
                <w:rFonts w:hint="eastAsia"/>
              </w:rPr>
              <w:t>目标可测量，与公司管理方针一致。</w:t>
            </w:r>
          </w:p>
          <w:p>
            <w:pPr>
              <w:ind w:firstLine="420" w:firstLineChars="200"/>
            </w:pPr>
            <w:r>
              <w:rPr>
                <w:rFonts w:hint="eastAsia"/>
              </w:rPr>
              <w:t>每年由</w:t>
            </w:r>
            <w:r>
              <w:rPr>
                <w:rFonts w:hint="eastAsia"/>
                <w:lang w:eastAsia="zh-CN"/>
              </w:rPr>
              <w:t>综合管理部</w:t>
            </w:r>
            <w:r>
              <w:rPr>
                <w:rFonts w:hint="eastAsia"/>
              </w:rPr>
              <w:t>按公司管理目标考核要求统计考核公司管理目标完成情况，提交管理评审会议。</w:t>
            </w:r>
          </w:p>
        </w:tc>
        <w:tc>
          <w:tcPr>
            <w:tcW w:w="895" w:type="dxa"/>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023" w:type="dxa"/>
            <w:vAlign w:val="top"/>
          </w:tcPr>
          <w:p>
            <w:pPr>
              <w:spacing w:line="280" w:lineRule="exact"/>
              <w:rPr>
                <w:rFonts w:ascii="宋体" w:hAnsi="宋体" w:cs="宋体"/>
                <w:szCs w:val="21"/>
              </w:rPr>
            </w:pPr>
            <w:r>
              <w:rPr>
                <w:rFonts w:hint="eastAsia" w:ascii="宋体" w:hAnsi="宋体" w:cs="宋体"/>
                <w:szCs w:val="21"/>
              </w:rPr>
              <w:t>变更的策划</w:t>
            </w:r>
          </w:p>
          <w:p>
            <w:pPr>
              <w:spacing w:line="280" w:lineRule="exact"/>
              <w:rPr>
                <w:rFonts w:ascii="宋体" w:hAnsi="宋体" w:cs="宋体"/>
                <w:szCs w:val="21"/>
              </w:rPr>
            </w:pPr>
          </w:p>
        </w:tc>
        <w:tc>
          <w:tcPr>
            <w:tcW w:w="1149" w:type="dxa"/>
            <w:vAlign w:val="top"/>
          </w:tcPr>
          <w:p>
            <w:pPr>
              <w:spacing w:line="280" w:lineRule="exact"/>
              <w:rPr>
                <w:szCs w:val="21"/>
              </w:rPr>
            </w:pPr>
            <w:r>
              <w:rPr>
                <w:rFonts w:hint="eastAsia"/>
                <w:szCs w:val="21"/>
              </w:rPr>
              <w:t>Q6.3</w:t>
            </w:r>
          </w:p>
          <w:p>
            <w:pPr>
              <w:pStyle w:val="11"/>
            </w:pPr>
          </w:p>
        </w:tc>
        <w:tc>
          <w:tcPr>
            <w:tcW w:w="10642" w:type="dxa"/>
            <w:vAlign w:val="center"/>
          </w:tcPr>
          <w:p>
            <w:pPr>
              <w:autoSpaceDE w:val="0"/>
              <w:autoSpaceDN w:val="0"/>
              <w:adjustRightInd w:val="0"/>
              <w:ind w:firstLine="480"/>
              <w:rPr>
                <w:rFonts w:ascii="宋体" w:hAnsi="宋体" w:cs="宋体"/>
                <w:szCs w:val="21"/>
              </w:rPr>
            </w:pPr>
            <w:r>
              <w:rPr>
                <w:rFonts w:hint="eastAsia" w:ascii="宋体" w:hAnsi="宋体" w:cs="宋体"/>
                <w:szCs w:val="21"/>
              </w:rPr>
              <w:t>公司确定需要对管理体系进行变更时，应经策划并系统的实施。需要管理层考虑体系变更的目的、变更后的潜在后果及变更后体系的完整性，考虑变更后资源获得及责任权限的再分配等问题。明确以上因素后，按照过程方法要求系统地实施变更，重新确定变更后过程的输入输出、监测标准、资源支持及改进可能等。</w:t>
            </w:r>
          </w:p>
          <w:p>
            <w:pPr>
              <w:ind w:firstLine="420" w:firstLineChars="200"/>
              <w:rPr>
                <w:rFonts w:ascii="宋体" w:hAnsi="宋体" w:cs="宋体"/>
                <w:szCs w:val="21"/>
              </w:rPr>
            </w:pPr>
            <w:r>
              <w:rPr>
                <w:rFonts w:hint="eastAsia" w:ascii="宋体" w:hAnsi="宋体" w:cs="宋体"/>
                <w:szCs w:val="21"/>
              </w:rPr>
              <w:t>公司目前对管理体系暂无变更。</w:t>
            </w:r>
          </w:p>
        </w:tc>
        <w:tc>
          <w:tcPr>
            <w:tcW w:w="895" w:type="dxa"/>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23" w:type="dxa"/>
            <w:vAlign w:val="top"/>
          </w:tcPr>
          <w:p>
            <w:pPr>
              <w:spacing w:line="280" w:lineRule="exact"/>
              <w:rPr>
                <w:rFonts w:ascii="宋体" w:hAnsi="宋体" w:cs="宋体"/>
                <w:szCs w:val="21"/>
              </w:rPr>
            </w:pPr>
            <w:r>
              <w:rPr>
                <w:rFonts w:hint="eastAsia" w:ascii="宋体" w:hAnsi="宋体" w:cs="宋体"/>
                <w:szCs w:val="21"/>
              </w:rPr>
              <w:t>资源、总则</w:t>
            </w:r>
          </w:p>
          <w:p>
            <w:pPr>
              <w:spacing w:line="280" w:lineRule="exact"/>
              <w:rPr>
                <w:rFonts w:ascii="宋体" w:hAnsi="宋体" w:cs="宋体"/>
                <w:szCs w:val="21"/>
              </w:rPr>
            </w:pPr>
          </w:p>
        </w:tc>
        <w:tc>
          <w:tcPr>
            <w:tcW w:w="1149" w:type="dxa"/>
            <w:vAlign w:val="top"/>
          </w:tcPr>
          <w:p>
            <w:pPr>
              <w:spacing w:line="280" w:lineRule="exact"/>
              <w:rPr>
                <w:szCs w:val="21"/>
              </w:rPr>
            </w:pPr>
            <w:r>
              <w:rPr>
                <w:rFonts w:hint="eastAsia"/>
                <w:szCs w:val="21"/>
              </w:rPr>
              <w:t>Q7.1.1</w:t>
            </w:r>
          </w:p>
          <w:p>
            <w:pPr>
              <w:spacing w:line="280" w:lineRule="exact"/>
            </w:pPr>
          </w:p>
        </w:tc>
        <w:tc>
          <w:tcPr>
            <w:tcW w:w="10642" w:type="dxa"/>
            <w:vAlign w:val="center"/>
          </w:tcPr>
          <w:p>
            <w:pPr>
              <w:autoSpaceDE w:val="0"/>
              <w:autoSpaceDN w:val="0"/>
              <w:adjustRightInd w:val="0"/>
              <w:ind w:firstLine="480"/>
              <w:rPr>
                <w:rFonts w:hint="eastAsia" w:ascii="宋体" w:hAnsi="宋体" w:eastAsia="宋体" w:cs="宋体"/>
                <w:szCs w:val="21"/>
              </w:rPr>
            </w:pPr>
            <w:r>
              <w:rPr>
                <w:rFonts w:hint="eastAsia" w:ascii="宋体" w:hAnsi="宋体" w:eastAsia="宋体" w:cs="宋体"/>
                <w:szCs w:val="21"/>
              </w:rPr>
              <w:t>为确保QMS的有效运行和持续改进，公司在人财物、信息和时间上均作了投入，规范了管理，铸件产品技术服务和销售产品质量稳定提高，增进了顾客的满意。基本满足。</w:t>
            </w:r>
          </w:p>
          <w:p>
            <w:pPr>
              <w:autoSpaceDE w:val="0"/>
              <w:autoSpaceDN w:val="0"/>
              <w:adjustRightInd w:val="0"/>
              <w:ind w:firstLine="480"/>
              <w:rPr>
                <w:rFonts w:hint="eastAsia" w:ascii="宋体" w:hAnsi="宋体" w:eastAsia="宋体" w:cs="宋体"/>
                <w:szCs w:val="21"/>
              </w:rPr>
            </w:pPr>
            <w:r>
              <w:rPr>
                <w:rFonts w:hint="eastAsia" w:ascii="宋体" w:hAnsi="宋体" w:eastAsia="宋体" w:cs="宋体"/>
                <w:szCs w:val="21"/>
              </w:rPr>
              <w:t>公司为确保质量管理体系能够有效地运行，保证产品实现的顺利进行，提供了必要的资源。</w:t>
            </w:r>
          </w:p>
          <w:p>
            <w:pPr>
              <w:autoSpaceDE w:val="0"/>
              <w:autoSpaceDN w:val="0"/>
              <w:adjustRightInd w:val="0"/>
              <w:ind w:firstLine="480"/>
              <w:rPr>
                <w:rFonts w:hint="eastAsia" w:ascii="宋体" w:hAnsi="宋体" w:eastAsia="宋体" w:cs="宋体"/>
                <w:szCs w:val="21"/>
              </w:rPr>
            </w:pPr>
            <w:r>
              <w:rPr>
                <w:rFonts w:hint="eastAsia" w:ascii="宋体" w:hAnsi="宋体" w:eastAsia="宋体" w:cs="宋体"/>
                <w:szCs w:val="21"/>
              </w:rPr>
              <w:t>公司经营地址：河北省邯郸市武安市工业园区泉上大道，占地15000平方米，仓储面积100余平方米，办公面积50余平方米，水、电、暖气及综合管理部分布图等设施设备符合体系运行要求。平方米，水、电、暖气及综合管理部分布图等设施设备符合体系运行要求。</w:t>
            </w:r>
          </w:p>
          <w:p>
            <w:pPr>
              <w:autoSpaceDE w:val="0"/>
              <w:autoSpaceDN w:val="0"/>
              <w:adjustRightInd w:val="0"/>
              <w:ind w:firstLine="480"/>
              <w:rPr>
                <w:rFonts w:hint="eastAsia" w:ascii="宋体" w:hAnsi="宋体" w:eastAsia="宋体" w:cs="宋体"/>
                <w:szCs w:val="21"/>
              </w:rPr>
            </w:pPr>
            <w:r>
              <w:rPr>
                <w:rFonts w:hint="eastAsia" w:ascii="宋体" w:hAnsi="宋体" w:eastAsia="宋体" w:cs="宋体"/>
                <w:szCs w:val="21"/>
              </w:rPr>
              <w:t>查公司配备了必要的人力资源，基础设施，规范文件、资金等必要的资源，能够持续满足顾客需求和管理体系改进的需要。</w:t>
            </w:r>
          </w:p>
          <w:p>
            <w:pPr>
              <w:autoSpaceDE w:val="0"/>
              <w:autoSpaceDN w:val="0"/>
              <w:adjustRightInd w:val="0"/>
              <w:ind w:firstLine="480"/>
              <w:rPr>
                <w:rFonts w:hint="default" w:ascii="宋体" w:hAnsi="宋体" w:eastAsia="宋体" w:cs="宋体"/>
                <w:szCs w:val="21"/>
                <w:lang w:val="en-US" w:eastAsia="zh-CN"/>
              </w:rPr>
            </w:pPr>
            <w:r>
              <w:rPr>
                <w:rFonts w:hint="eastAsia" w:ascii="宋体" w:hAnsi="宋体" w:eastAsia="宋体" w:cs="宋体"/>
                <w:szCs w:val="21"/>
              </w:rPr>
              <w:t>部门：</w:t>
            </w:r>
            <w:r>
              <w:rPr>
                <w:rFonts w:hint="eastAsia" w:ascii="宋体" w:hAnsi="宋体" w:eastAsia="宋体" w:cs="宋体"/>
                <w:szCs w:val="21"/>
                <w:lang w:eastAsia="zh-CN"/>
              </w:rPr>
              <w:t>综合管理部</w:t>
            </w:r>
            <w:r>
              <w:rPr>
                <w:rFonts w:hint="eastAsia" w:ascii="宋体" w:hAnsi="宋体" w:eastAsia="宋体" w:cs="宋体"/>
                <w:szCs w:val="21"/>
              </w:rPr>
              <w:t>、</w:t>
            </w:r>
            <w:r>
              <w:rPr>
                <w:rFonts w:hint="eastAsia" w:ascii="宋体" w:hAnsi="宋体" w:eastAsia="宋体" w:cs="宋体"/>
                <w:szCs w:val="21"/>
                <w:lang w:val="en-US" w:eastAsia="zh-CN"/>
              </w:rPr>
              <w:t>采购</w:t>
            </w:r>
            <w:r>
              <w:rPr>
                <w:rFonts w:hint="eastAsia" w:ascii="宋体" w:hAnsi="宋体" w:eastAsia="宋体" w:cs="宋体"/>
                <w:szCs w:val="21"/>
              </w:rPr>
              <w:t>部、</w:t>
            </w:r>
            <w:r>
              <w:rPr>
                <w:rFonts w:hint="eastAsia" w:ascii="宋体" w:hAnsi="宋体" w:eastAsia="宋体" w:cs="宋体"/>
                <w:szCs w:val="21"/>
                <w:lang w:val="en-US" w:eastAsia="zh-CN"/>
              </w:rPr>
              <w:t>经营部、</w:t>
            </w:r>
            <w:r>
              <w:rPr>
                <w:rFonts w:hint="eastAsia" w:ascii="宋体" w:hAnsi="宋体" w:eastAsia="宋体" w:cs="宋体"/>
                <w:szCs w:val="21"/>
              </w:rPr>
              <w:t>生产技术部</w:t>
            </w:r>
            <w:r>
              <w:rPr>
                <w:rFonts w:hint="eastAsia" w:ascii="宋体" w:hAnsi="宋体" w:eastAsia="宋体" w:cs="宋体"/>
                <w:szCs w:val="21"/>
                <w:lang w:eastAsia="zh-CN"/>
              </w:rPr>
              <w:t>、</w:t>
            </w:r>
            <w:r>
              <w:rPr>
                <w:rFonts w:hint="eastAsia" w:ascii="宋体" w:hAnsi="宋体" w:eastAsia="宋体" w:cs="宋体"/>
                <w:szCs w:val="21"/>
                <w:lang w:val="en-US" w:eastAsia="zh-CN"/>
              </w:rPr>
              <w:t>生产管理部、品质部。</w:t>
            </w:r>
          </w:p>
          <w:p>
            <w:pPr>
              <w:autoSpaceDE w:val="0"/>
              <w:autoSpaceDN w:val="0"/>
              <w:adjustRightInd w:val="0"/>
              <w:ind w:firstLine="480"/>
              <w:rPr>
                <w:rFonts w:hint="eastAsia" w:ascii="宋体" w:hAnsi="宋体" w:eastAsia="宋体" w:cs="宋体"/>
                <w:szCs w:val="21"/>
              </w:rPr>
            </w:pPr>
            <w:r>
              <w:rPr>
                <w:rFonts w:hint="eastAsia" w:ascii="宋体" w:hAnsi="宋体" w:eastAsia="宋体" w:cs="宋体"/>
                <w:szCs w:val="21"/>
              </w:rPr>
              <w:t>人员：办公人员、销售人员、财务人员、技术人员、生产人员、质检人员。</w:t>
            </w:r>
          </w:p>
          <w:p>
            <w:pPr>
              <w:autoSpaceDE w:val="0"/>
              <w:autoSpaceDN w:val="0"/>
              <w:adjustRightInd w:val="0"/>
              <w:ind w:firstLine="480"/>
              <w:rPr>
                <w:rFonts w:hint="eastAsia" w:ascii="宋体" w:hAnsi="宋体" w:eastAsia="宋体" w:cs="宋体"/>
                <w:szCs w:val="21"/>
              </w:rPr>
            </w:pPr>
            <w:r>
              <w:rPr>
                <w:rFonts w:hint="eastAsia" w:ascii="宋体" w:hAnsi="宋体" w:eastAsia="宋体" w:cs="宋体"/>
                <w:szCs w:val="21"/>
              </w:rPr>
              <w:t>办公设备：电脑、电话、打印机、传真机等</w:t>
            </w:r>
          </w:p>
          <w:p>
            <w:pPr>
              <w:autoSpaceDE w:val="0"/>
              <w:autoSpaceDN w:val="0"/>
              <w:adjustRightInd w:val="0"/>
              <w:ind w:firstLine="480"/>
              <w:rPr>
                <w:rFonts w:hint="eastAsia" w:ascii="宋体" w:hAnsi="宋体" w:eastAsia="宋体" w:cs="宋体"/>
                <w:szCs w:val="21"/>
              </w:rPr>
            </w:pPr>
            <w:r>
              <w:rPr>
                <w:rFonts w:hint="eastAsia" w:ascii="宋体" w:hAnsi="宋体" w:eastAsia="宋体" w:cs="宋体"/>
                <w:szCs w:val="21"/>
              </w:rPr>
              <w:t>生产设备：主要有混砂机（带砂储存罐）、自制流涂机、抛丸机、落砂机、砂粗磨设备、冷却塔、台式钻床、龙门动梁铣床、炮塔式铣床</w:t>
            </w:r>
            <w:r>
              <w:rPr>
                <w:rFonts w:hint="eastAsia" w:ascii="宋体" w:hAnsi="宋体" w:eastAsia="宋体" w:cs="宋体"/>
                <w:szCs w:val="21"/>
                <w:lang w:eastAsia="zh-CN"/>
              </w:rPr>
              <w:t>、</w:t>
            </w:r>
            <w:r>
              <w:rPr>
                <w:rFonts w:hint="eastAsia" w:ascii="宋体" w:hAnsi="宋体" w:eastAsia="宋体" w:cs="宋体"/>
                <w:szCs w:val="21"/>
              </w:rPr>
              <w:t>树脂砂处理、中频电炉、吊钩式抛丸清理机、热处理炉、空压机、电动平车等设备。  </w:t>
            </w:r>
          </w:p>
          <w:p>
            <w:pPr>
              <w:autoSpaceDE w:val="0"/>
              <w:autoSpaceDN w:val="0"/>
              <w:adjustRightInd w:val="0"/>
              <w:ind w:firstLine="480"/>
              <w:rPr>
                <w:rFonts w:hint="eastAsia" w:ascii="宋体" w:hAnsi="宋体" w:eastAsia="宋体" w:cs="宋体"/>
                <w:szCs w:val="21"/>
              </w:rPr>
            </w:pPr>
            <w:r>
              <w:rPr>
                <w:rFonts w:hint="eastAsia" w:ascii="宋体" w:hAnsi="宋体" w:eastAsia="宋体" w:cs="宋体"/>
                <w:szCs w:val="21"/>
              </w:rPr>
              <w:t>特种设备：桥式起重机</w:t>
            </w:r>
            <w:r>
              <w:rPr>
                <w:rFonts w:hint="eastAsia" w:ascii="宋体" w:hAnsi="宋体" w:eastAsia="宋体" w:cs="宋体"/>
                <w:szCs w:val="21"/>
                <w:lang w:eastAsia="zh-CN"/>
              </w:rPr>
              <w:t>、</w:t>
            </w:r>
            <w:r>
              <w:rPr>
                <w:rFonts w:hint="eastAsia" w:ascii="宋体" w:hAnsi="宋体" w:eastAsia="宋体" w:cs="宋体"/>
                <w:szCs w:val="21"/>
                <w:lang w:val="en-US" w:eastAsia="zh-CN"/>
              </w:rPr>
              <w:t>叉车</w:t>
            </w:r>
            <w:r>
              <w:rPr>
                <w:rFonts w:hint="eastAsia" w:ascii="宋体" w:hAnsi="宋体" w:eastAsia="宋体" w:cs="宋体"/>
                <w:szCs w:val="21"/>
              </w:rPr>
              <w:t>。</w:t>
            </w:r>
          </w:p>
          <w:p>
            <w:pPr>
              <w:autoSpaceDE w:val="0"/>
              <w:autoSpaceDN w:val="0"/>
              <w:adjustRightInd w:val="0"/>
              <w:ind w:firstLine="480"/>
              <w:rPr>
                <w:rFonts w:hint="eastAsia" w:ascii="宋体" w:hAnsi="宋体" w:eastAsia="宋体" w:cs="宋体"/>
                <w:szCs w:val="21"/>
                <w:lang w:eastAsia="zh-CN"/>
              </w:rPr>
            </w:pPr>
            <w:r>
              <w:rPr>
                <w:rFonts w:hint="eastAsia" w:ascii="宋体" w:hAnsi="宋体" w:eastAsia="宋体" w:cs="宋体"/>
                <w:szCs w:val="21"/>
              </w:rPr>
              <w:t>环保设备：脉冲布袋除尘、除尘系统</w:t>
            </w:r>
            <w:r>
              <w:rPr>
                <w:rFonts w:hint="eastAsia" w:ascii="宋体" w:hAnsi="宋体" w:eastAsia="宋体" w:cs="宋体"/>
                <w:szCs w:val="21"/>
                <w:lang w:eastAsia="zh-CN"/>
              </w:rPr>
              <w:t>。</w:t>
            </w:r>
          </w:p>
          <w:p>
            <w:pPr>
              <w:autoSpaceDE w:val="0"/>
              <w:autoSpaceDN w:val="0"/>
              <w:adjustRightInd w:val="0"/>
              <w:ind w:firstLine="480"/>
              <w:rPr>
                <w:rFonts w:hint="eastAsia" w:ascii="宋体" w:hAnsi="宋体" w:eastAsia="宋体" w:cs="宋体"/>
                <w:szCs w:val="21"/>
              </w:rPr>
            </w:pPr>
            <w:r>
              <w:rPr>
                <w:rFonts w:hint="eastAsia" w:ascii="宋体" w:hAnsi="宋体" w:eastAsia="宋体" w:cs="宋体"/>
                <w:szCs w:val="21"/>
              </w:rPr>
              <w:t>监视测量设备：万能试验机、硬度计、金相显微镜、测温计、筛沙机、标准筛、吊钩秤、热分析仪、光谱仪、高频红外碳硫分析仪、分光光度计等。</w:t>
            </w:r>
          </w:p>
          <w:p>
            <w:pPr>
              <w:autoSpaceDE w:val="0"/>
              <w:autoSpaceDN w:val="0"/>
              <w:adjustRightInd w:val="0"/>
              <w:ind w:firstLine="480"/>
              <w:rPr>
                <w:rFonts w:hint="eastAsia" w:ascii="宋体" w:hAnsi="宋体" w:eastAsia="宋体" w:cs="宋体"/>
                <w:szCs w:val="21"/>
              </w:rPr>
            </w:pPr>
            <w:r>
              <w:rPr>
                <w:rFonts w:hint="eastAsia" w:ascii="宋体" w:hAnsi="宋体" w:eastAsia="宋体" w:cs="宋体"/>
                <w:szCs w:val="21"/>
              </w:rPr>
              <w:t>消防设备：灭火器、消防栓等</w:t>
            </w:r>
          </w:p>
          <w:p>
            <w:pPr>
              <w:autoSpaceDE w:val="0"/>
              <w:autoSpaceDN w:val="0"/>
              <w:adjustRightInd w:val="0"/>
              <w:ind w:firstLine="480"/>
              <w:rPr>
                <w:rFonts w:hint="eastAsia" w:ascii="宋体" w:hAnsi="宋体" w:eastAsia="宋体" w:cs="宋体"/>
                <w:szCs w:val="21"/>
              </w:rPr>
            </w:pPr>
            <w:r>
              <w:rPr>
                <w:rFonts w:hint="eastAsia" w:ascii="宋体" w:hAnsi="宋体" w:eastAsia="宋体" w:cs="宋体"/>
                <w:szCs w:val="21"/>
              </w:rPr>
              <w:t>办公设备有电脑、电话、传真、扫描仪等。</w:t>
            </w:r>
          </w:p>
          <w:p>
            <w:pPr>
              <w:autoSpaceDE w:val="0"/>
              <w:autoSpaceDN w:val="0"/>
              <w:adjustRightInd w:val="0"/>
              <w:ind w:firstLine="480"/>
              <w:rPr>
                <w:rFonts w:hint="eastAsia" w:ascii="宋体" w:hAnsi="宋体" w:eastAsia="宋体" w:cs="宋体"/>
                <w:szCs w:val="21"/>
              </w:rPr>
            </w:pPr>
            <w:r>
              <w:rPr>
                <w:rFonts w:hint="eastAsia" w:ascii="宋体" w:hAnsi="宋体" w:eastAsia="宋体" w:cs="宋体"/>
                <w:szCs w:val="21"/>
              </w:rPr>
              <w:t>与顾客有关的过程控的监视和测量：主要是采用人员+规范的形式进行，通过检查表对销售服务人员是否按服务规范进行检查。</w:t>
            </w:r>
          </w:p>
          <w:p>
            <w:pPr>
              <w:autoSpaceDE w:val="0"/>
              <w:autoSpaceDN w:val="0"/>
              <w:adjustRightInd w:val="0"/>
              <w:ind w:firstLine="480"/>
              <w:rPr>
                <w:rFonts w:hint="eastAsia" w:ascii="宋体" w:hAnsi="宋体" w:eastAsia="宋体" w:cs="宋体"/>
                <w:szCs w:val="21"/>
              </w:rPr>
            </w:pPr>
            <w:r>
              <w:rPr>
                <w:rFonts w:hint="eastAsia" w:ascii="宋体" w:hAnsi="宋体" w:eastAsia="宋体" w:cs="宋体"/>
                <w:szCs w:val="21"/>
              </w:rPr>
              <w:t>资源基本满足公司经营活动和体系运行的需要。</w:t>
            </w:r>
          </w:p>
        </w:tc>
        <w:tc>
          <w:tcPr>
            <w:tcW w:w="895" w:type="dxa"/>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23" w:type="dxa"/>
            <w:vAlign w:val="center"/>
          </w:tcPr>
          <w:p>
            <w:pPr>
              <w:rPr>
                <w:rFonts w:hint="eastAsia" w:ascii="Times New Roman" w:hAnsi="Times New Roman" w:eastAsia="宋体" w:cs="Times New Roman"/>
                <w:strike w:val="0"/>
                <w:dstrike w:val="0"/>
                <w:kern w:val="2"/>
                <w:sz w:val="21"/>
                <w:lang w:val="en-US" w:eastAsia="zh-CN" w:bidi="ar-SA"/>
              </w:rPr>
            </w:pPr>
            <w:r>
              <w:rPr>
                <w:rFonts w:hint="eastAsia"/>
                <w:strike w:val="0"/>
                <w:dstrike w:val="0"/>
                <w:szCs w:val="21"/>
              </w:rPr>
              <w:t>沟通</w:t>
            </w:r>
          </w:p>
        </w:tc>
        <w:tc>
          <w:tcPr>
            <w:tcW w:w="1149" w:type="dxa"/>
            <w:vAlign w:val="center"/>
          </w:tcPr>
          <w:p>
            <w:pPr>
              <w:rPr>
                <w:strike w:val="0"/>
                <w:dstrike w:val="0"/>
                <w:szCs w:val="21"/>
              </w:rPr>
            </w:pPr>
            <w:r>
              <w:rPr>
                <w:rFonts w:hint="eastAsia"/>
                <w:szCs w:val="21"/>
              </w:rPr>
              <w:t>Q</w:t>
            </w:r>
            <w:r>
              <w:rPr>
                <w:rFonts w:hint="eastAsia"/>
                <w:strike w:val="0"/>
                <w:dstrike w:val="0"/>
                <w:szCs w:val="21"/>
              </w:rPr>
              <w:t>7.4</w:t>
            </w:r>
          </w:p>
          <w:p>
            <w:pPr>
              <w:pStyle w:val="11"/>
              <w:rPr>
                <w:rFonts w:hint="eastAsia" w:ascii="Times New Roman" w:hAnsi="Times New Roman" w:eastAsia="宋体" w:cs="Times New Roman"/>
                <w:bCs/>
                <w:strike w:val="0"/>
                <w:dstrike w:val="0"/>
                <w:spacing w:val="10"/>
                <w:kern w:val="2"/>
                <w:sz w:val="21"/>
                <w:lang w:val="en-US" w:eastAsia="zh-CN" w:bidi="ar-SA"/>
              </w:rPr>
            </w:pPr>
          </w:p>
        </w:tc>
        <w:tc>
          <w:tcPr>
            <w:tcW w:w="10642" w:type="dxa"/>
            <w:vAlign w:val="center"/>
          </w:tcPr>
          <w:p>
            <w:pPr>
              <w:pStyle w:val="2"/>
              <w:rPr>
                <w:rFonts w:hint="eastAsia"/>
                <w:lang w:val="en-US" w:eastAsia="zh-CN"/>
              </w:rPr>
            </w:pPr>
            <w:r>
              <w:rPr>
                <w:rFonts w:hint="eastAsia"/>
                <w:lang w:val="en-US" w:eastAsia="zh-CN"/>
              </w:rPr>
              <w:t>查规定有《职责和权限与沟通控制程序》， 明确了内部外部信息交流的内容及职责，包含了质量等的交流规定，基本符合。公司主要的沟通方式：培训、会议、电话、QQ、邮件等方式。沟通的内容包括：认证有关的事宜、产品质量事宜、生产进度事宜、安全生产事宜、环境管理事宜等；一</w:t>
            </w:r>
            <w:bookmarkStart w:id="0" w:name="_GoBack"/>
            <w:bookmarkEnd w:id="0"/>
            <w:r>
              <w:rPr>
                <w:rFonts w:hint="eastAsia"/>
                <w:lang w:val="en-US" w:eastAsia="zh-CN"/>
              </w:rPr>
              <w:t>般形成会议记录、会议记录本、QQ记录、邮件往来信息记录等。对相关沟通事宜，均指定所属人员进行处理，并确定处理权限、周期。在各部门审核中继续查证。</w:t>
            </w:r>
          </w:p>
          <w:p>
            <w:pPr>
              <w:pStyle w:val="2"/>
              <w:rPr>
                <w:rFonts w:hint="eastAsia"/>
                <w:lang w:val="en-US" w:eastAsia="zh-CN"/>
              </w:rPr>
            </w:pPr>
            <w:r>
              <w:rPr>
                <w:rFonts w:hint="eastAsia"/>
                <w:lang w:val="en-US" w:eastAsia="zh-CN"/>
              </w:rPr>
              <w:t>现场审核时，未发生有顾客投诉、抱怨及员工抱怨的事情。</w:t>
            </w:r>
          </w:p>
          <w:p>
            <w:pPr>
              <w:pStyle w:val="2"/>
              <w:rPr>
                <w:rFonts w:hint="eastAsia"/>
                <w:lang w:val="en-US" w:eastAsia="zh-CN"/>
              </w:rPr>
            </w:pPr>
            <w:r>
              <w:rPr>
                <w:rFonts w:hint="eastAsia"/>
              </w:rPr>
              <w:t>目前各项沟通都较为及时、顺畅、效果较好。</w:t>
            </w:r>
          </w:p>
        </w:tc>
        <w:tc>
          <w:tcPr>
            <w:tcW w:w="895" w:type="dxa"/>
            <w:vAlign w:val="top"/>
          </w:tcPr>
          <w:p>
            <w:pPr>
              <w:rPr>
                <w:rFonts w:hint="eastAsia" w:ascii="Times New Roman" w:hAnsi="Times New Roman" w:eastAsia="宋体" w:cs="Times New Roman"/>
                <w:kern w:val="2"/>
                <w:sz w:val="21"/>
                <w:lang w:val="en-US" w:eastAsia="zh-CN" w:bidi="ar-SA"/>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23" w:type="dxa"/>
            <w:vAlign w:val="top"/>
          </w:tcPr>
          <w:p>
            <w:pPr>
              <w:rPr>
                <w:rFonts w:hint="eastAsia" w:eastAsia="宋体"/>
                <w:strike w:val="0"/>
                <w:dstrike w:val="0"/>
                <w:szCs w:val="21"/>
                <w:lang w:val="en-US" w:eastAsia="zh-CN"/>
              </w:rPr>
            </w:pPr>
            <w:r>
              <w:rPr>
                <w:rFonts w:hint="eastAsia" w:eastAsia="宋体"/>
                <w:strike w:val="0"/>
                <w:dstrike w:val="0"/>
                <w:szCs w:val="21"/>
              </w:rPr>
              <w:t>监视测量分析评价总则</w:t>
            </w:r>
          </w:p>
        </w:tc>
        <w:tc>
          <w:tcPr>
            <w:tcW w:w="1149" w:type="dxa"/>
            <w:vAlign w:val="top"/>
          </w:tcPr>
          <w:p>
            <w:pPr>
              <w:rPr>
                <w:rFonts w:hint="eastAsia" w:eastAsia="宋体"/>
                <w:strike w:val="0"/>
                <w:dstrike w:val="0"/>
                <w:szCs w:val="21"/>
                <w:lang w:val="en-US" w:eastAsia="zh-CN"/>
              </w:rPr>
            </w:pPr>
            <w:r>
              <w:rPr>
                <w:rFonts w:hint="eastAsia" w:eastAsia="宋体"/>
                <w:strike w:val="0"/>
                <w:dstrike w:val="0"/>
                <w:szCs w:val="21"/>
              </w:rPr>
              <w:t>Q9.1.1</w:t>
            </w:r>
          </w:p>
        </w:tc>
        <w:tc>
          <w:tcPr>
            <w:tcW w:w="10642" w:type="dxa"/>
            <w:vAlign w:val="top"/>
          </w:tcPr>
          <w:p>
            <w:pPr>
              <w:rPr>
                <w:rFonts w:hint="eastAsia" w:eastAsia="宋体"/>
                <w:strike w:val="0"/>
                <w:dstrike w:val="0"/>
                <w:szCs w:val="21"/>
              </w:rPr>
            </w:pPr>
            <w:r>
              <w:rPr>
                <w:rFonts w:hint="eastAsia" w:eastAsia="宋体"/>
                <w:strike w:val="0"/>
                <w:dstrike w:val="0"/>
                <w:szCs w:val="21"/>
              </w:rPr>
              <w:t>公司在内外部因素、产品和服务实现、体系内部审核、绩效考核和顾客满意五个方面进行了监视测量的策划，采用了调查表、顾客满意分析，顾客投诉，内审，管理评审，相关方需求和期望，质量目标实现情况，外部供方绩效，服务过程等统计技术手段。</w:t>
            </w:r>
          </w:p>
          <w:p>
            <w:pPr>
              <w:rPr>
                <w:rFonts w:hint="eastAsia" w:eastAsia="宋体"/>
                <w:strike w:val="0"/>
                <w:dstrike w:val="0"/>
                <w:szCs w:val="21"/>
              </w:rPr>
            </w:pPr>
            <w:r>
              <w:rPr>
                <w:rFonts w:hint="eastAsia" w:eastAsia="宋体"/>
                <w:strike w:val="0"/>
                <w:dstrike w:val="0"/>
                <w:szCs w:val="21"/>
              </w:rPr>
              <w:t>1、组织确定需要监视和测量的对象：组织的内外部因素、产品和服务实现、体系内部审核、绩效考核和顾客满意五个方面。</w:t>
            </w:r>
          </w:p>
          <w:p>
            <w:pPr>
              <w:rPr>
                <w:rFonts w:hint="eastAsia" w:eastAsia="宋体"/>
                <w:strike w:val="0"/>
                <w:dstrike w:val="0"/>
                <w:szCs w:val="21"/>
              </w:rPr>
            </w:pPr>
            <w:r>
              <w:rPr>
                <w:rFonts w:hint="eastAsia" w:eastAsia="宋体"/>
                <w:strike w:val="0"/>
                <w:dstrike w:val="0"/>
                <w:szCs w:val="21"/>
              </w:rPr>
              <w:t>2、组织采用的监视、测量、分析和评价方法：采用了调查表、顾客满意分析，顾客投诉，内审，管理评审，相关方需求和期望，质量目标实现情况，外部供方绩效，服务过程等统计技术手段。</w:t>
            </w:r>
          </w:p>
          <w:p>
            <w:pPr>
              <w:rPr>
                <w:rFonts w:hint="eastAsia" w:eastAsia="宋体"/>
                <w:strike w:val="0"/>
                <w:dstrike w:val="0"/>
                <w:szCs w:val="21"/>
              </w:rPr>
            </w:pPr>
            <w:r>
              <w:rPr>
                <w:rFonts w:hint="eastAsia" w:eastAsia="宋体"/>
                <w:strike w:val="0"/>
                <w:dstrike w:val="0"/>
                <w:szCs w:val="21"/>
              </w:rPr>
              <w:t xml:space="preserve">3、实施监视和测量的时机：按一定时间间隔实施监视和测量，通常为1年； </w:t>
            </w:r>
          </w:p>
          <w:p>
            <w:pPr>
              <w:rPr>
                <w:rFonts w:hint="eastAsia" w:eastAsia="宋体"/>
                <w:strike w:val="0"/>
                <w:dstrike w:val="0"/>
                <w:szCs w:val="21"/>
              </w:rPr>
            </w:pPr>
            <w:r>
              <w:rPr>
                <w:rFonts w:hint="eastAsia" w:eastAsia="宋体"/>
                <w:strike w:val="0"/>
                <w:dstrike w:val="0"/>
                <w:szCs w:val="21"/>
              </w:rPr>
              <w:t>4、实施分析和评价的时机：按一定时间间隔实施评价和分析，通常为1年；特殊情况下，实时进行评价和分析。</w:t>
            </w:r>
          </w:p>
          <w:p>
            <w:pPr>
              <w:rPr>
                <w:rFonts w:hint="eastAsia" w:eastAsia="宋体"/>
                <w:strike w:val="0"/>
                <w:dstrike w:val="0"/>
                <w:szCs w:val="21"/>
              </w:rPr>
            </w:pPr>
            <w:r>
              <w:rPr>
                <w:rFonts w:hint="eastAsia" w:eastAsia="宋体"/>
                <w:strike w:val="0"/>
                <w:dstrike w:val="0"/>
                <w:szCs w:val="21"/>
              </w:rPr>
              <w:t>5、质量管理体系的绩效和有效性的评价：</w:t>
            </w:r>
          </w:p>
          <w:p>
            <w:pPr>
              <w:rPr>
                <w:rFonts w:hint="eastAsia" w:eastAsia="宋体"/>
                <w:strike w:val="0"/>
                <w:dstrike w:val="0"/>
                <w:szCs w:val="21"/>
              </w:rPr>
            </w:pPr>
            <w:r>
              <w:rPr>
                <w:rFonts w:hint="eastAsia" w:eastAsia="宋体"/>
                <w:strike w:val="0"/>
                <w:dstrike w:val="0"/>
                <w:szCs w:val="21"/>
              </w:rPr>
              <w:t>1）对产品生产和铸件产品技术服务过程检验。（已提供生产过程记录、产品检验记录、交付验收记录）；对出现的不合格产品和服务进行评审和处置控制（已提供不合格评审和处置记录）。</w:t>
            </w:r>
          </w:p>
          <w:p>
            <w:pPr>
              <w:rPr>
                <w:rFonts w:hint="eastAsia" w:eastAsia="宋体"/>
                <w:strike w:val="0"/>
                <w:dstrike w:val="0"/>
                <w:szCs w:val="21"/>
              </w:rPr>
            </w:pPr>
            <w:r>
              <w:rPr>
                <w:rFonts w:hint="eastAsia" w:eastAsia="宋体"/>
                <w:strike w:val="0"/>
                <w:dstrike w:val="0"/>
                <w:szCs w:val="21"/>
              </w:rPr>
              <w:t>2）对顾客满意程度进行监视和测量（已提供顾客满意程度的调查表）； 对体系进行内审、管理评审发现、改进（已提供内审和管理评审的记录）；对体系过程进行监视测量（已提供对铸件产品技术服务过程的检查记录）；对方针目标的实施进行考核（已提供对质量目标的考核记录）；</w:t>
            </w:r>
          </w:p>
          <w:p>
            <w:pPr>
              <w:rPr>
                <w:rFonts w:hint="eastAsia" w:eastAsia="宋体"/>
                <w:strike w:val="0"/>
                <w:dstrike w:val="0"/>
                <w:szCs w:val="21"/>
              </w:rPr>
            </w:pPr>
            <w:r>
              <w:rPr>
                <w:rFonts w:hint="eastAsia" w:eastAsia="宋体"/>
                <w:strike w:val="0"/>
                <w:dstrike w:val="0"/>
                <w:szCs w:val="21"/>
              </w:rPr>
              <w:t>3）通过内审、管理评审、数据分析，采取措施进行体系有效性的改进。（已提供内审和管理评审的资料，数据分析记录，采取的措施记录）。</w:t>
            </w:r>
          </w:p>
          <w:p>
            <w:pPr>
              <w:rPr>
                <w:rFonts w:hint="eastAsia" w:eastAsia="宋体"/>
                <w:strike w:val="0"/>
                <w:dstrike w:val="0"/>
                <w:szCs w:val="21"/>
                <w:lang w:val="en-US" w:eastAsia="zh-CN"/>
              </w:rPr>
            </w:pPr>
            <w:r>
              <w:rPr>
                <w:rFonts w:hint="eastAsia" w:eastAsia="宋体"/>
                <w:strike w:val="0"/>
                <w:dstrike w:val="0"/>
                <w:szCs w:val="21"/>
              </w:rPr>
              <w:t>4）保留了有关监视、测量记录。</w:t>
            </w:r>
          </w:p>
        </w:tc>
        <w:tc>
          <w:tcPr>
            <w:tcW w:w="895" w:type="dxa"/>
            <w:vAlign w:val="top"/>
          </w:tcPr>
          <w:p>
            <w:pPr>
              <w:rPr>
                <w:rFonts w:hint="eastAsia" w:eastAsia="宋体"/>
                <w:strike w:val="0"/>
                <w:dstrike w:val="0"/>
                <w:szCs w:val="21"/>
                <w:lang w:val="en-US" w:eastAsia="zh-CN"/>
              </w:rPr>
            </w:pPr>
            <w:r>
              <w:rPr>
                <w:rFonts w:hint="eastAsia" w:eastAsia="宋体"/>
                <w:strike w:val="0"/>
                <w:dstrike w:val="0"/>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023" w:type="dxa"/>
            <w:vAlign w:val="top"/>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1149" w:type="dxa"/>
            <w:vAlign w:val="top"/>
          </w:tcPr>
          <w:p>
            <w:pPr>
              <w:spacing w:line="280" w:lineRule="exact"/>
              <w:rPr>
                <w:szCs w:val="21"/>
              </w:rPr>
            </w:pPr>
            <w:r>
              <w:rPr>
                <w:rFonts w:hint="eastAsia"/>
                <w:szCs w:val="21"/>
              </w:rPr>
              <w:t>Q9.3</w:t>
            </w:r>
          </w:p>
          <w:p>
            <w:pPr>
              <w:spacing w:line="280" w:lineRule="exact"/>
              <w:rPr>
                <w:szCs w:val="21"/>
              </w:rPr>
            </w:pPr>
          </w:p>
          <w:p>
            <w:pPr>
              <w:spacing w:line="280" w:lineRule="exact"/>
              <w:rPr>
                <w:szCs w:val="21"/>
              </w:rPr>
            </w:pPr>
          </w:p>
          <w:p>
            <w:pPr>
              <w:spacing w:line="280" w:lineRule="exact"/>
            </w:pPr>
          </w:p>
        </w:tc>
        <w:tc>
          <w:tcPr>
            <w:tcW w:w="10642" w:type="dxa"/>
            <w:vAlign w:val="center"/>
          </w:tcPr>
          <w:p>
            <w:pPr>
              <w:rPr>
                <w:rFonts w:hint="eastAsia" w:ascii="宋体" w:hAnsi="宋体" w:cs="宋体"/>
                <w:szCs w:val="21"/>
              </w:rPr>
            </w:pPr>
            <w:r>
              <w:rPr>
                <w:rFonts w:hint="eastAsia" w:ascii="宋体" w:hAnsi="宋体" w:cs="宋体"/>
                <w:szCs w:val="21"/>
              </w:rPr>
              <w:t>提供“</w:t>
            </w:r>
            <w:r>
              <w:rPr>
                <w:rFonts w:hint="eastAsia"/>
                <w:bCs/>
                <w:szCs w:val="21"/>
              </w:rPr>
              <w:t>管理评审工作程序</w:t>
            </w:r>
            <w:r>
              <w:rPr>
                <w:rFonts w:hint="eastAsia" w:ascii="宋体" w:hAnsi="宋体" w:cs="宋体"/>
                <w:szCs w:val="21"/>
              </w:rPr>
              <w:t xml:space="preserve">”，策划管理评审的相关控制要求，内容符合标准要求。 </w:t>
            </w:r>
          </w:p>
          <w:p>
            <w:pPr>
              <w:rPr>
                <w:rFonts w:hint="eastAsia" w:ascii="宋体" w:hAnsi="宋体" w:cs="宋体"/>
                <w:szCs w:val="21"/>
              </w:rPr>
            </w:pPr>
            <w:r>
              <w:rPr>
                <w:rFonts w:hint="eastAsia" w:ascii="宋体" w:hAnsi="宋体" w:cs="宋体"/>
                <w:szCs w:val="21"/>
              </w:rPr>
              <w:t>1）查：“管理评审计划”：评审目的，评审范围、参加人员、评审内容、计划评审时间、评审输入等，进一步明确了评审内容和各部门准备资料要求。编制：刘培丰，审批：徐</w:t>
            </w:r>
            <w:r>
              <w:rPr>
                <w:rFonts w:hint="eastAsia" w:ascii="宋体" w:hAnsi="宋体" w:cs="宋体"/>
                <w:szCs w:val="21"/>
                <w:lang w:val="en-US" w:eastAsia="zh-CN"/>
              </w:rPr>
              <w:t>政</w:t>
            </w:r>
            <w:r>
              <w:rPr>
                <w:rFonts w:hint="eastAsia" w:ascii="宋体" w:hAnsi="宋体" w:cs="宋体"/>
                <w:szCs w:val="21"/>
              </w:rPr>
              <w:t>，2021.9.30。</w:t>
            </w:r>
          </w:p>
          <w:p>
            <w:pPr>
              <w:rPr>
                <w:rFonts w:hint="eastAsia" w:ascii="宋体" w:hAnsi="宋体" w:cs="宋体"/>
                <w:szCs w:val="21"/>
              </w:rPr>
            </w:pPr>
            <w:r>
              <w:rPr>
                <w:rFonts w:hint="eastAsia" w:ascii="宋体" w:hAnsi="宋体" w:cs="宋体"/>
                <w:szCs w:val="21"/>
              </w:rPr>
              <w:t>2)管理评审会议于2021.9.30召开，由总经理主持管理评审会。会议参加人员：徐</w:t>
            </w:r>
            <w:r>
              <w:rPr>
                <w:rFonts w:hint="eastAsia" w:ascii="宋体" w:hAnsi="宋体" w:cs="宋体"/>
                <w:szCs w:val="21"/>
                <w:lang w:val="en-US" w:eastAsia="zh-CN"/>
              </w:rPr>
              <w:t>政</w:t>
            </w:r>
            <w:r>
              <w:rPr>
                <w:rFonts w:hint="eastAsia" w:ascii="宋体" w:hAnsi="宋体" w:cs="宋体"/>
                <w:szCs w:val="21"/>
              </w:rPr>
              <w:t>（总经理）、</w:t>
            </w:r>
            <w:r>
              <w:rPr>
                <w:rFonts w:hint="eastAsia" w:ascii="宋体" w:hAnsi="宋体" w:cs="宋体"/>
                <w:szCs w:val="21"/>
                <w:lang w:val="en-US" w:eastAsia="zh-CN"/>
              </w:rPr>
              <w:t>徐宁</w:t>
            </w:r>
            <w:r>
              <w:rPr>
                <w:rFonts w:hint="eastAsia" w:ascii="宋体" w:hAnsi="宋体" w:cs="宋体"/>
                <w:szCs w:val="21"/>
              </w:rPr>
              <w:t>（管代） 、生产管理部、生产技术部、经营部、采购部等人员。提供管理评审会议签到表及会议记录。</w:t>
            </w:r>
          </w:p>
          <w:p>
            <w:pPr>
              <w:rPr>
                <w:rFonts w:hint="eastAsia" w:ascii="宋体" w:hAnsi="宋体" w:cs="宋体"/>
                <w:szCs w:val="21"/>
              </w:rPr>
            </w:pPr>
            <w:r>
              <w:rPr>
                <w:rFonts w:hint="eastAsia" w:ascii="宋体" w:hAnsi="宋体" w:eastAsia="宋体" w:cs="宋体"/>
                <w:szCs w:val="21"/>
                <w:lang w:eastAsia="zh-CN"/>
              </w:rPr>
              <w:drawing>
                <wp:anchor distT="0" distB="0" distL="114300" distR="114300" simplePos="0" relativeHeight="251660288" behindDoc="0" locked="0" layoutInCell="1" allowOverlap="1">
                  <wp:simplePos x="0" y="0"/>
                  <wp:positionH relativeFrom="column">
                    <wp:posOffset>214630</wp:posOffset>
                  </wp:positionH>
                  <wp:positionV relativeFrom="paragraph">
                    <wp:posOffset>62230</wp:posOffset>
                  </wp:positionV>
                  <wp:extent cx="1353820" cy="1863090"/>
                  <wp:effectExtent l="0" t="0" r="5080" b="3810"/>
                  <wp:wrapNone/>
                  <wp:docPr id="1" name="图片 1" descr="d6d1a832b3371da85e56489a34d20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6d1a832b3371da85e56489a34d203a"/>
                          <pic:cNvPicPr>
                            <a:picLocks noChangeAspect="1"/>
                          </pic:cNvPicPr>
                        </pic:nvPicPr>
                        <pic:blipFill>
                          <a:blip r:embed="rId6"/>
                          <a:stretch>
                            <a:fillRect/>
                          </a:stretch>
                        </pic:blipFill>
                        <pic:spPr>
                          <a:xfrm>
                            <a:off x="0" y="0"/>
                            <a:ext cx="1353820" cy="1863090"/>
                          </a:xfrm>
                          <a:prstGeom prst="rect">
                            <a:avLst/>
                          </a:prstGeom>
                        </pic:spPr>
                      </pic:pic>
                    </a:graphicData>
                  </a:graphic>
                </wp:anchor>
              </w:drawing>
            </w:r>
          </w:p>
          <w:p>
            <w:pPr>
              <w:rPr>
                <w:rFonts w:hint="eastAsia" w:ascii="宋体" w:hAnsi="宋体" w:eastAsia="宋体" w:cs="宋体"/>
                <w:szCs w:val="21"/>
                <w:lang w:eastAsia="zh-CN"/>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r>
              <w:rPr>
                <w:rFonts w:hint="eastAsia" w:ascii="宋体" w:hAnsi="宋体" w:cs="宋体"/>
                <w:szCs w:val="21"/>
              </w:rPr>
              <w:t xml:space="preserve"> </w:t>
            </w:r>
          </w:p>
          <w:p>
            <w:pPr>
              <w:rPr>
                <w:rFonts w:hint="eastAsia" w:ascii="宋体" w:hAnsi="宋体" w:cs="宋体"/>
                <w:szCs w:val="21"/>
              </w:rPr>
            </w:pPr>
            <w:r>
              <w:rPr>
                <w:rFonts w:hint="eastAsia" w:ascii="宋体" w:hAnsi="宋体" w:cs="宋体"/>
                <w:szCs w:val="21"/>
              </w:rPr>
              <w:t xml:space="preserve">3）管理评审输入资料： 提供了各部门“体系运行情况报告”，报告包括：内外部因素识别评价情况、相关方需求识别评价情况、应对风险和机遇评估分析情况及采取措施的有效性、顾客反馈信息综合报告、相关方的反馈信息、外部供方业绩评定情况、过程业绩和产品的符合性报告、不合格及纠正措施的跟踪验证情况、质量目标完成情况报告、内部审核的整改落实情况、汇报公司QMS方针、目标、管理体系的适宜性、充分性和运行的有效性情况；纠正和预防措施实施报告；公司结构和资源配备汇报； </w:t>
            </w:r>
          </w:p>
          <w:p>
            <w:pPr>
              <w:rPr>
                <w:rFonts w:hint="eastAsia" w:ascii="宋体" w:hAnsi="宋体" w:cs="宋体"/>
                <w:szCs w:val="21"/>
              </w:rPr>
            </w:pPr>
            <w:r>
              <w:rPr>
                <w:rFonts w:hint="eastAsia" w:ascii="宋体" w:hAnsi="宋体" w:cs="宋体"/>
                <w:szCs w:val="21"/>
              </w:rPr>
              <w:t xml:space="preserve">4）管理评审输出：提供管理评审报告，其内容包括：内部审核及其合规性评价结果；组织提供产品符合性；顾客反馈；改进的要求和建议；纠正和预防措施执行情况； </w:t>
            </w:r>
          </w:p>
          <w:p>
            <w:pPr>
              <w:rPr>
                <w:rFonts w:hint="eastAsia" w:ascii="宋体" w:hAnsi="宋体" w:cs="宋体"/>
                <w:szCs w:val="21"/>
              </w:rPr>
            </w:pPr>
            <w:r>
              <w:rPr>
                <w:rFonts w:hint="eastAsia" w:ascii="宋体" w:hAnsi="宋体" w:cs="宋体"/>
                <w:szCs w:val="21"/>
              </w:rPr>
              <w:t>5）结论：</w:t>
            </w:r>
          </w:p>
          <w:p>
            <w:pPr>
              <w:rPr>
                <w:rFonts w:hint="eastAsia" w:ascii="宋体" w:hAnsi="宋体" w:cs="宋体"/>
                <w:szCs w:val="21"/>
              </w:rPr>
            </w:pPr>
            <w:r>
              <w:rPr>
                <w:rFonts w:hint="eastAsia" w:ascii="宋体" w:hAnsi="宋体" w:cs="宋体"/>
                <w:szCs w:val="21"/>
              </w:rPr>
              <w:t>公司制定的质量方针是正确的，在体系运行中发挥了指导作用；公司制定的质量目标符合实际、符合法律法规的要求，切实可行；公司的质量管理体系达到了标准要求的适宜性、充分性、有效性。适宜性，即体系完全符合公司的实际情况。充分性，即在贯标中我们的各项管理工作都不同程度的得到了提高，我们对生产和管理的所有过程都进行了充分的控制。有效性，即体系的运行，有力的促进了质量的提高，提高了管理水平。对过程业绩的的考核，充分证明管理体系的有效性。</w:t>
            </w:r>
          </w:p>
          <w:p>
            <w:pPr>
              <w:rPr>
                <w:rFonts w:hint="eastAsia" w:ascii="宋体" w:hAnsi="宋体" w:cs="宋体"/>
                <w:szCs w:val="21"/>
              </w:rPr>
            </w:pPr>
            <w:r>
              <w:rPr>
                <w:rFonts w:hint="eastAsia" w:ascii="宋体" w:hAnsi="宋体" w:cs="宋体"/>
                <w:szCs w:val="21"/>
              </w:rPr>
              <w:t>我们这次管理评审比较全面，符合实际，取得了成功。同时也应看到，体系的运行中有的过程还不完善，我们的管理体系存在不足。公司领导正招聘工作人员，扩大生产。</w:t>
            </w:r>
          </w:p>
          <w:p>
            <w:pPr>
              <w:rPr>
                <w:rFonts w:ascii="宋体" w:hAnsi="宋体" w:cs="宋体"/>
                <w:szCs w:val="21"/>
              </w:rPr>
            </w:pPr>
            <w:r>
              <w:rPr>
                <w:rFonts w:hint="eastAsia" w:ascii="宋体" w:hAnsi="宋体" w:cs="宋体"/>
                <w:szCs w:val="21"/>
              </w:rPr>
              <w:t>形成决议或措施要求等。管评实施符合要求。</w:t>
            </w:r>
          </w:p>
        </w:tc>
        <w:tc>
          <w:tcPr>
            <w:tcW w:w="895" w:type="dxa"/>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023" w:type="dxa"/>
            <w:vAlign w:val="top"/>
          </w:tcPr>
          <w:p>
            <w:pPr>
              <w:spacing w:line="280" w:lineRule="exact"/>
              <w:rPr>
                <w:rFonts w:ascii="宋体" w:hAnsi="宋体" w:cs="宋体"/>
                <w:szCs w:val="21"/>
              </w:rPr>
            </w:pPr>
            <w:r>
              <w:rPr>
                <w:rFonts w:hint="eastAsia" w:ascii="宋体" w:hAnsi="宋体" w:cs="宋体"/>
                <w:szCs w:val="21"/>
              </w:rPr>
              <w:t>改进</w:t>
            </w:r>
          </w:p>
          <w:p>
            <w:pPr>
              <w:spacing w:line="280" w:lineRule="exact"/>
              <w:rPr>
                <w:rFonts w:ascii="宋体" w:hAnsi="宋体" w:cs="宋体"/>
                <w:szCs w:val="21"/>
              </w:rPr>
            </w:pPr>
            <w:r>
              <w:rPr>
                <w:rFonts w:hint="eastAsia" w:ascii="宋体" w:hAnsi="宋体" w:cs="宋体"/>
                <w:szCs w:val="21"/>
              </w:rPr>
              <w:t>总则</w:t>
            </w:r>
          </w:p>
          <w:p>
            <w:pPr>
              <w:spacing w:line="280" w:lineRule="exact"/>
              <w:rPr>
                <w:rFonts w:ascii="宋体" w:hAnsi="宋体" w:cs="宋体"/>
                <w:szCs w:val="21"/>
              </w:rPr>
            </w:pPr>
          </w:p>
        </w:tc>
        <w:tc>
          <w:tcPr>
            <w:tcW w:w="1149" w:type="dxa"/>
            <w:vAlign w:val="top"/>
          </w:tcPr>
          <w:p>
            <w:pPr>
              <w:spacing w:line="280" w:lineRule="exact"/>
              <w:rPr>
                <w:szCs w:val="21"/>
              </w:rPr>
            </w:pPr>
            <w:r>
              <w:rPr>
                <w:rFonts w:hint="eastAsia"/>
                <w:szCs w:val="21"/>
              </w:rPr>
              <w:t>Q10.1</w:t>
            </w:r>
          </w:p>
          <w:p>
            <w:pPr>
              <w:spacing w:line="280" w:lineRule="exact"/>
            </w:pPr>
          </w:p>
        </w:tc>
        <w:tc>
          <w:tcPr>
            <w:tcW w:w="10642" w:type="dxa"/>
            <w:vAlign w:val="top"/>
          </w:tcPr>
          <w:p>
            <w:pPr>
              <w:ind w:firstLine="420" w:firstLineChars="200"/>
              <w:rPr>
                <w:rFonts w:ascii="宋体" w:hAnsi="宋体" w:cs="宋体"/>
                <w:szCs w:val="21"/>
              </w:rPr>
            </w:pPr>
            <w:r>
              <w:rPr>
                <w:rFonts w:hint="eastAsia" w:ascii="宋体" w:hAnsi="宋体" w:cs="宋体"/>
                <w:szCs w:val="21"/>
              </w:rPr>
              <w:t>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w:t>
            </w:r>
          </w:p>
        </w:tc>
        <w:tc>
          <w:tcPr>
            <w:tcW w:w="895" w:type="dxa"/>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023" w:type="dxa"/>
            <w:vAlign w:val="top"/>
          </w:tcPr>
          <w:p>
            <w:pPr>
              <w:spacing w:line="280" w:lineRule="exact"/>
              <w:rPr>
                <w:rFonts w:ascii="宋体" w:hAnsi="宋体" w:cs="宋体"/>
                <w:szCs w:val="21"/>
              </w:rPr>
            </w:pPr>
            <w:r>
              <w:rPr>
                <w:rFonts w:hint="eastAsia" w:ascii="宋体" w:hAnsi="宋体" w:cs="宋体"/>
                <w:szCs w:val="21"/>
              </w:rPr>
              <w:t>持续改进</w:t>
            </w:r>
          </w:p>
        </w:tc>
        <w:tc>
          <w:tcPr>
            <w:tcW w:w="1149" w:type="dxa"/>
            <w:vAlign w:val="top"/>
          </w:tcPr>
          <w:p>
            <w:pPr>
              <w:spacing w:line="280" w:lineRule="exact"/>
              <w:rPr>
                <w:szCs w:val="21"/>
              </w:rPr>
            </w:pPr>
            <w:r>
              <w:rPr>
                <w:rFonts w:hint="eastAsia"/>
                <w:szCs w:val="21"/>
              </w:rPr>
              <w:t>Q10.3</w:t>
            </w:r>
          </w:p>
        </w:tc>
        <w:tc>
          <w:tcPr>
            <w:tcW w:w="10642" w:type="dxa"/>
            <w:vAlign w:val="center"/>
          </w:tcPr>
          <w:p>
            <w:pPr>
              <w:widowControl/>
              <w:ind w:firstLine="420" w:firstLineChars="200"/>
              <w:jc w:val="left"/>
            </w:pPr>
            <w:r>
              <w:rPr>
                <w:rFonts w:hint="eastAsia"/>
              </w:rPr>
              <w:t>为使质量/环境/职业健康安全管理体系实现预期结果和提高顾客满意，公司识别并选择改进的机会，采取包括改进产品和服务，纠正、预防或减少非预期情况给组织带来的不利影响等措施，改进体系的绩效和有效性。</w:t>
            </w:r>
          </w:p>
          <w:p>
            <w:r>
              <w:rPr>
                <w:rFonts w:hint="eastAsia"/>
              </w:rPr>
              <w:t>根据不同过程、不同产品和不同要求，采取不同的方法进行监视、测量和分析。</w:t>
            </w:r>
          </w:p>
          <w:p>
            <w:pPr>
              <w:widowControl/>
              <w:ind w:firstLine="420" w:firstLineChars="200"/>
              <w:jc w:val="left"/>
              <w:rPr>
                <w:rFonts w:ascii="宋体" w:hAnsi="宋体" w:cs="宋体"/>
                <w:szCs w:val="21"/>
              </w:rPr>
            </w:pPr>
            <w:r>
              <w:rPr>
                <w:rFonts w:hint="eastAsia" w:ascii="宋体" w:hAnsi="宋体" w:cs="宋体"/>
                <w:szCs w:val="21"/>
              </w:rPr>
              <w:t>据介绍，组织能够利用质量方针、质量目标，管理评审、审核结果、数据分析、纠正和预防措施等进行持续改进活动，并采取如下措施确保体系的持续改进：</w:t>
            </w:r>
          </w:p>
          <w:p>
            <w:pPr>
              <w:widowControl/>
              <w:ind w:firstLine="420" w:firstLineChars="200"/>
              <w:jc w:val="left"/>
              <w:rPr>
                <w:rFonts w:ascii="宋体" w:hAnsi="宋体" w:cs="宋体"/>
                <w:szCs w:val="21"/>
              </w:rPr>
            </w:pPr>
            <w:r>
              <w:rPr>
                <w:rFonts w:hint="eastAsia" w:ascii="宋体" w:hAnsi="宋体" w:cs="宋体"/>
                <w:szCs w:val="21"/>
              </w:rPr>
              <w:t>1、加强质量管理体系运行的有效性，加强市场预测及沟通，不断改进产品工艺，增加产品的市场占有率。</w:t>
            </w:r>
          </w:p>
          <w:p>
            <w:pPr>
              <w:ind w:firstLine="420" w:firstLineChars="200"/>
              <w:rPr>
                <w:rFonts w:hint="eastAsia" w:ascii="宋体" w:hAnsi="宋体" w:cs="宋体"/>
                <w:szCs w:val="21"/>
              </w:rPr>
            </w:pPr>
            <w:r>
              <w:rPr>
                <w:rFonts w:hint="eastAsia" w:ascii="宋体" w:hAnsi="宋体" w:cs="宋体"/>
                <w:szCs w:val="21"/>
              </w:rPr>
              <w:t>2、作好体系文件、标准和岗位技能的培训，提高全员的质量意识、顾客满意意识和工艺执行水平，确保服务质量。</w:t>
            </w:r>
          </w:p>
          <w:p>
            <w:pPr>
              <w:tabs>
                <w:tab w:val="left" w:pos="540"/>
              </w:tabs>
              <w:ind w:firstLine="420" w:firstLineChars="200"/>
              <w:rPr>
                <w:rFonts w:ascii="宋体" w:hAnsi="宋体" w:cs="宋体"/>
                <w:szCs w:val="21"/>
              </w:rPr>
            </w:pPr>
            <w:r>
              <w:rPr>
                <w:rFonts w:hint="eastAsia" w:ascii="宋体" w:hAnsi="宋体" w:cs="宋体"/>
                <w:szCs w:val="21"/>
              </w:rPr>
              <w:t>3、进一步加强质量目标考核和过程控制的同时，创造良好的工作环境及组织文化建设，获得更好的质量和效益。</w:t>
            </w:r>
          </w:p>
          <w:p>
            <w:pPr>
              <w:widowControl/>
              <w:ind w:firstLine="420" w:firstLineChars="200"/>
              <w:jc w:val="left"/>
              <w:rPr>
                <w:rFonts w:hint="eastAsia" w:ascii="宋体" w:hAnsi="宋体"/>
              </w:rPr>
            </w:pPr>
            <w:r>
              <w:rPr>
                <w:rFonts w:hint="eastAsia" w:ascii="宋体" w:hAnsi="宋体"/>
              </w:rPr>
              <w:t xml:space="preserve">日常渐进的改进通过以下方面进行： </w:t>
            </w:r>
          </w:p>
          <w:p>
            <w:pPr>
              <w:widowControl/>
              <w:ind w:firstLine="420" w:firstLineChars="200"/>
              <w:jc w:val="left"/>
              <w:rPr>
                <w:rFonts w:hint="eastAsia" w:ascii="宋体" w:hAnsi="宋体"/>
              </w:rPr>
            </w:pPr>
            <w:r>
              <w:rPr>
                <w:rFonts w:hint="eastAsia" w:ascii="宋体" w:hAnsi="宋体"/>
              </w:rPr>
              <w:t xml:space="preserve">a) 与质量管理体系相关的内外环境因素的变化及监视情况； </w:t>
            </w:r>
          </w:p>
          <w:p>
            <w:pPr>
              <w:widowControl/>
              <w:ind w:firstLine="420" w:firstLineChars="200"/>
              <w:jc w:val="left"/>
              <w:rPr>
                <w:rFonts w:hint="eastAsia" w:ascii="宋体" w:hAnsi="宋体"/>
              </w:rPr>
            </w:pPr>
            <w:r>
              <w:rPr>
                <w:rFonts w:hint="eastAsia" w:ascii="宋体" w:hAnsi="宋体"/>
              </w:rPr>
              <w:t>b) 相关方及其要求的相关信息的监视情况；</w:t>
            </w:r>
          </w:p>
          <w:p>
            <w:pPr>
              <w:widowControl/>
              <w:ind w:firstLine="420" w:firstLineChars="200"/>
              <w:jc w:val="left"/>
              <w:rPr>
                <w:rFonts w:hint="eastAsia" w:ascii="宋体" w:hAnsi="宋体"/>
              </w:rPr>
            </w:pPr>
            <w:r>
              <w:rPr>
                <w:rFonts w:hint="eastAsia" w:ascii="宋体" w:hAnsi="宋体"/>
              </w:rPr>
              <w:t>c) 质量方针、质量目标现状及实施状况；</w:t>
            </w:r>
          </w:p>
          <w:p>
            <w:pPr>
              <w:widowControl/>
              <w:ind w:firstLine="420" w:firstLineChars="200"/>
              <w:jc w:val="left"/>
              <w:rPr>
                <w:rFonts w:ascii="宋体" w:hAnsi="宋体"/>
              </w:rPr>
            </w:pPr>
            <w:r>
              <w:rPr>
                <w:rFonts w:hint="eastAsia" w:ascii="宋体" w:hAnsi="宋体"/>
              </w:rPr>
              <w:t>d) 审核结果；</w:t>
            </w:r>
          </w:p>
          <w:p>
            <w:pPr>
              <w:widowControl/>
              <w:ind w:firstLine="420" w:firstLineChars="200"/>
              <w:jc w:val="left"/>
              <w:rPr>
                <w:rFonts w:hint="eastAsia" w:ascii="宋体" w:hAnsi="宋体"/>
              </w:rPr>
            </w:pPr>
            <w:r>
              <w:rPr>
                <w:rFonts w:hint="eastAsia" w:ascii="宋体" w:hAnsi="宋体"/>
              </w:rPr>
              <w:t>e) 监视、测量结果；</w:t>
            </w:r>
          </w:p>
          <w:p>
            <w:pPr>
              <w:widowControl/>
              <w:ind w:firstLine="420" w:firstLineChars="200"/>
              <w:jc w:val="left"/>
              <w:rPr>
                <w:rFonts w:hint="eastAsia" w:ascii="宋体" w:hAnsi="宋体"/>
              </w:rPr>
            </w:pPr>
            <w:r>
              <w:rPr>
                <w:rFonts w:hint="eastAsia" w:ascii="宋体" w:hAnsi="宋体"/>
              </w:rPr>
              <w:t xml:space="preserve">f) 分析评价； </w:t>
            </w:r>
          </w:p>
          <w:p>
            <w:pPr>
              <w:widowControl/>
              <w:ind w:firstLine="420" w:firstLineChars="200"/>
              <w:jc w:val="left"/>
              <w:rPr>
                <w:rFonts w:hint="eastAsia" w:ascii="宋体" w:hAnsi="宋体"/>
              </w:rPr>
            </w:pPr>
            <w:r>
              <w:rPr>
                <w:rFonts w:hint="eastAsia" w:ascii="宋体" w:hAnsi="宋体"/>
              </w:rPr>
              <w:t xml:space="preserve">g) 纠正措施； </w:t>
            </w:r>
          </w:p>
          <w:p>
            <w:pPr>
              <w:pStyle w:val="2"/>
            </w:pPr>
            <w:r>
              <w:rPr>
                <w:rFonts w:hint="eastAsia" w:ascii="宋体" w:hAnsi="宋体"/>
              </w:rPr>
              <w:t>h) 管理评审等。</w:t>
            </w:r>
            <w:r>
              <w:rPr>
                <w:rFonts w:hint="eastAsia" w:ascii="宋体" w:hAnsi="宋体" w:cs="宋体"/>
                <w:szCs w:val="21"/>
              </w:rPr>
              <w:t xml:space="preserve">  </w:t>
            </w:r>
          </w:p>
        </w:tc>
        <w:tc>
          <w:tcPr>
            <w:tcW w:w="895" w:type="dxa"/>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023" w:type="dxa"/>
            <w:vAlign w:val="top"/>
          </w:tcPr>
          <w:p>
            <w:pPr>
              <w:pStyle w:val="2"/>
              <w:ind w:left="0" w:leftChars="0" w:firstLine="0" w:firstLineChars="0"/>
            </w:pPr>
            <w:r>
              <w:rPr>
                <w:rFonts w:hint="eastAsia"/>
              </w:rPr>
              <w:t>资质验证、安全事故、顾客投诉、抽查、遵纪守法情况、证书标志的使用，不符合项报告的验证等</w:t>
            </w:r>
          </w:p>
        </w:tc>
        <w:tc>
          <w:tcPr>
            <w:tcW w:w="1149" w:type="dxa"/>
            <w:vAlign w:val="top"/>
          </w:tcPr>
          <w:p>
            <w:pPr>
              <w:spacing w:line="280" w:lineRule="exact"/>
            </w:pPr>
          </w:p>
        </w:tc>
        <w:tc>
          <w:tcPr>
            <w:tcW w:w="10642" w:type="dxa"/>
            <w:vAlign w:val="center"/>
          </w:tcPr>
          <w:p>
            <w:pPr>
              <w:pStyle w:val="11"/>
            </w:pPr>
            <w:r>
              <w:rPr>
                <w:rFonts w:hint="eastAsia"/>
              </w:rPr>
              <w:t>一阶段无问题</w:t>
            </w:r>
          </w:p>
          <w:p>
            <w:pPr>
              <w:pStyle w:val="11"/>
            </w:pPr>
            <w:r>
              <w:rPr>
                <w:rFonts w:hint="eastAsia"/>
              </w:rPr>
              <w:t>公司管理体系自运行以来，未发生质量、环境、职业健康安全事故</w:t>
            </w:r>
          </w:p>
          <w:p>
            <w:pPr>
              <w:pStyle w:val="11"/>
            </w:pPr>
            <w:r>
              <w:rPr>
                <w:rFonts w:hint="eastAsia"/>
              </w:rPr>
              <w:t>管理体系运行期间未发生顾客及相关方投诉情况</w:t>
            </w:r>
          </w:p>
          <w:p>
            <w:pPr>
              <w:pStyle w:val="11"/>
              <w:rPr>
                <w:rFonts w:hint="eastAsia"/>
              </w:rPr>
            </w:pPr>
            <w:r>
              <w:rPr>
                <w:rFonts w:ascii="Times New Roman" w:hAnsi="Times New Roman" w:eastAsia="宋体" w:cs="Times New Roman"/>
                <w:bCs/>
                <w:spacing w:val="10"/>
                <w:kern w:val="2"/>
                <w:sz w:val="21"/>
                <w:lang w:val="en-US" w:eastAsia="zh-CN" w:bidi="ar-SA"/>
              </w:rPr>
              <w:drawing>
                <wp:anchor distT="0" distB="0" distL="114300" distR="114300" simplePos="0" relativeHeight="251659264" behindDoc="0" locked="0" layoutInCell="1" allowOverlap="1">
                  <wp:simplePos x="0" y="0"/>
                  <wp:positionH relativeFrom="column">
                    <wp:posOffset>19050</wp:posOffset>
                  </wp:positionH>
                  <wp:positionV relativeFrom="paragraph">
                    <wp:posOffset>200660</wp:posOffset>
                  </wp:positionV>
                  <wp:extent cx="2173605" cy="1260475"/>
                  <wp:effectExtent l="0" t="0" r="10795" b="9525"/>
                  <wp:wrapNone/>
                  <wp:docPr id="8" name="图片 8" descr="A 79995_信用网站截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A 79995_信用网站截图"/>
                          <pic:cNvPicPr>
                            <a:picLocks noChangeAspect="1"/>
                          </pic:cNvPicPr>
                        </pic:nvPicPr>
                        <pic:blipFill>
                          <a:blip r:embed="rId7"/>
                          <a:stretch>
                            <a:fillRect/>
                          </a:stretch>
                        </pic:blipFill>
                        <pic:spPr>
                          <a:xfrm>
                            <a:off x="0" y="0"/>
                            <a:ext cx="2173605" cy="1260475"/>
                          </a:xfrm>
                          <a:prstGeom prst="rect">
                            <a:avLst/>
                          </a:prstGeom>
                        </pic:spPr>
                      </pic:pic>
                    </a:graphicData>
                  </a:graphic>
                </wp:anchor>
              </w:drawing>
            </w:r>
            <w:r>
              <w:rPr>
                <w:rFonts w:hint="eastAsia"/>
              </w:rPr>
              <w:t>查国家企业信用公示系统，网站信息查询如下：</w:t>
            </w:r>
          </w:p>
          <w:p>
            <w:pPr>
              <w:pStyle w:val="11"/>
              <w:rPr>
                <w:rFonts w:ascii="Times New Roman" w:hAnsi="Times New Roman" w:eastAsia="宋体" w:cs="Times New Roman"/>
                <w:bCs/>
                <w:spacing w:val="10"/>
                <w:kern w:val="2"/>
                <w:sz w:val="21"/>
                <w:lang w:val="en-US" w:eastAsia="zh-CN" w:bidi="ar-SA"/>
              </w:rPr>
            </w:pPr>
          </w:p>
          <w:p>
            <w:pPr>
              <w:pStyle w:val="11"/>
              <w:rPr>
                <w:rFonts w:ascii="Times New Roman" w:hAnsi="Times New Roman" w:eastAsia="宋体" w:cs="Times New Roman"/>
                <w:bCs/>
                <w:spacing w:val="10"/>
                <w:kern w:val="2"/>
                <w:sz w:val="21"/>
                <w:lang w:val="en-US" w:eastAsia="zh-CN" w:bidi="ar-SA"/>
              </w:rPr>
            </w:pPr>
          </w:p>
          <w:p>
            <w:pPr>
              <w:pStyle w:val="11"/>
              <w:rPr>
                <w:rFonts w:ascii="Times New Roman" w:hAnsi="Times New Roman" w:eastAsia="宋体" w:cs="Times New Roman"/>
                <w:bCs/>
                <w:spacing w:val="10"/>
                <w:kern w:val="2"/>
                <w:sz w:val="21"/>
                <w:lang w:val="en-US" w:eastAsia="zh-CN" w:bidi="ar-SA"/>
              </w:rPr>
            </w:pPr>
          </w:p>
          <w:p>
            <w:pPr>
              <w:pStyle w:val="11"/>
              <w:rPr>
                <w:rFonts w:ascii="Times New Roman" w:hAnsi="Times New Roman" w:eastAsia="宋体" w:cs="Times New Roman"/>
                <w:bCs/>
                <w:spacing w:val="10"/>
                <w:kern w:val="2"/>
                <w:sz w:val="21"/>
                <w:lang w:val="en-US" w:eastAsia="zh-CN" w:bidi="ar-SA"/>
              </w:rPr>
            </w:pPr>
          </w:p>
          <w:p>
            <w:pPr>
              <w:pStyle w:val="11"/>
              <w:rPr>
                <w:rFonts w:ascii="Times New Roman" w:hAnsi="Times New Roman" w:eastAsia="宋体" w:cs="Times New Roman"/>
                <w:bCs/>
                <w:spacing w:val="10"/>
                <w:kern w:val="2"/>
                <w:sz w:val="21"/>
                <w:lang w:val="en-US" w:eastAsia="zh-CN" w:bidi="ar-SA"/>
              </w:rPr>
            </w:pPr>
          </w:p>
          <w:p>
            <w:pPr>
              <w:pStyle w:val="11"/>
              <w:rPr>
                <w:rFonts w:hint="eastAsia" w:ascii="Times New Roman" w:hAnsi="Times New Roman" w:eastAsia="宋体" w:cs="Times New Roman"/>
                <w:bCs/>
                <w:spacing w:val="10"/>
                <w:kern w:val="2"/>
                <w:sz w:val="21"/>
                <w:lang w:val="en-US" w:eastAsia="zh-CN" w:bidi="ar-SA"/>
              </w:rPr>
            </w:pPr>
          </w:p>
          <w:p>
            <w:pPr>
              <w:pStyle w:val="11"/>
            </w:pPr>
            <w:r>
              <w:rPr>
                <w:rFonts w:hint="eastAsia"/>
              </w:rPr>
              <w:t>目前公司经营过程中没有发生违反其它相关法律法规及其他要求的情况，无行政处罚信息，未列入严重违法失信名单。</w:t>
            </w:r>
          </w:p>
          <w:p>
            <w:pPr>
              <w:pStyle w:val="11"/>
            </w:pPr>
            <w:r>
              <w:rPr>
                <w:rFonts w:hint="eastAsia"/>
              </w:rPr>
              <w:t>经确认，</w:t>
            </w:r>
            <w:r>
              <w:rPr>
                <w:rFonts w:hint="eastAsia" w:ascii="宋体" w:hAnsi="宋体" w:cs="宋体"/>
                <w:szCs w:val="21"/>
              </w:rPr>
              <w:t>不适用ISO9001：2015标准8.3条款，公司生产依据国家有关的产品标准的法规文件，行业指定的使用规范标准的文件及客户对产品的具体要求进行生产。不涉及设计开发。不适用8.3条款后不影响公司确保其产品和服务合格以及增强顾客满意的能力或责任。</w:t>
            </w:r>
          </w:p>
        </w:tc>
        <w:tc>
          <w:tcPr>
            <w:tcW w:w="895" w:type="dxa"/>
            <w:vAlign w:val="top"/>
          </w:tcPr>
          <w:p>
            <w:r>
              <w:rPr>
                <w:rFonts w:hint="eastAsia"/>
              </w:rPr>
              <w:t>符合</w:t>
            </w:r>
          </w:p>
        </w:tc>
      </w:tr>
    </w:tbl>
    <w:p/>
    <w:p/>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rPr>
        <w:rFonts w:ascii="Times New Roman" w:hAnsi="Times New Roman" w:eastAsia="宋体" w:cs="Times New Roman"/>
        <w:kern w:val="2"/>
        <w:sz w:val="18"/>
        <w:szCs w:val="18"/>
        <w:lang w:val="en-US" w:eastAsia="zh-CN" w:bidi="ar-SA"/>
      </w:rP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3"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pic:cNvPicPr>
                    <a:picLocks noChangeAspect="1"/>
                  </pic:cNvPicPr>
                </pic:nvPicPr>
                <pic:blipFill>
                  <a:blip r:embed="rId1">
                    <a:lum/>
                  </a:blip>
                  <a:stretch>
                    <a:fillRect/>
                  </a:stretch>
                </pic:blipFill>
                <pic:spPr>
                  <a:xfrm>
                    <a:off x="0" y="0"/>
                    <a:ext cx="485775" cy="485775"/>
                  </a:xfrm>
                  <a:prstGeom prst="rect">
                    <a:avLst/>
                  </a:prstGeom>
                  <a:noFill/>
                  <a:ln>
                    <a:noFill/>
                  </a:ln>
                </pic:spPr>
              </pic:pic>
            </a:graphicData>
          </a:graphic>
        </wp:anchor>
      </w:drawing>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2" name="文本框 1"/>
              <wp:cNvGraphicFramePr/>
              <a:graphic xmlns:a="http://schemas.openxmlformats.org/drawingml/2006/main">
                <a:graphicData uri="http://schemas.microsoft.com/office/word/2010/wordprocessingShape">
                  <wps:wsp>
                    <wps:cNvSpPr/>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rect id="文本框 1" o:spid="_x0000_s1026" o:spt="1" style="position:absolute;left:0pt;margin-left:620.4pt;margin-top:12.55pt;height:20.2pt;width:102.7pt;z-index:251660288;mso-width-relative:page;mso-height-relative:page;" fillcolor="#FFFFFF" filled="t" stroked="f" coordsize="21600,21600" o:gfxdata="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sbslu1wAAAAsBAAAPAAAAAAAAAAEAIAAAACIAAABkcnMvZG93bnJldi54bWxQSwEC&#10;FAAUAAAACACHTuJAvZClHrwBAABtAwAADgAAAAAAAAABACAAAAAmAQAAZHJzL2Uyb0RvYy54bWxQ&#10;SwUGAAAAAAYABgBZAQAAVAUAAAAA&#10;">
              <v:fill on="t" focussize="0,0"/>
              <v:stroke on="f"/>
              <v:imagedata o:title=""/>
              <o:lock v:ext="edit" aspectratio="f"/>
              <v:textbox>
                <w:txbxContent>
                  <w:p>
                    <w:pPr>
                      <w:rPr>
                        <w:sz w:val="18"/>
                        <w:szCs w:val="18"/>
                      </w:rPr>
                    </w:pPr>
                    <w:r>
                      <w:rPr>
                        <w:rFonts w:hint="eastAsia"/>
                        <w:sz w:val="18"/>
                        <w:szCs w:val="18"/>
                      </w:rPr>
                      <w:t>ISC-B-II-12(05版）</w:t>
                    </w:r>
                  </w:p>
                </w:txbxContent>
              </v:textbox>
            </v:rect>
          </w:pict>
        </mc:Fallback>
      </mc:AlternateConten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7"/>
      <w:pBdr>
        <w:bottom w:val="none" w:color="auto" w:sz="0" w:space="0"/>
      </w:pBdr>
      <w:spacing w:line="320" w:lineRule="exact"/>
      <w:ind w:firstLine="756" w:firstLineChars="400"/>
      <w:jc w:val="left"/>
    </w:pPr>
    <w:r>
      <w:rPr>
        <w:rStyle w:val="18"/>
        <w:rFonts w:hint="default"/>
        <w:w w:val="90"/>
      </w:rPr>
      <w:t>Beijing International Standard united Certification Co.,Ltd.</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xNTRhZmMwYTZhMGE0NzY5YTQ4OGYyNzNkZGE0NDYifQ=="/>
  </w:docVars>
  <w:rsids>
    <w:rsidRoot w:val="00000000"/>
    <w:rsid w:val="1828036A"/>
    <w:rsid w:val="1AB7199C"/>
    <w:rsid w:val="20A1609D"/>
    <w:rsid w:val="27E27E53"/>
    <w:rsid w:val="3C2205BA"/>
    <w:rsid w:val="3D2D44EF"/>
    <w:rsid w:val="4AAB5D49"/>
    <w:rsid w:val="62733E0F"/>
    <w:rsid w:val="7D49645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iPriority="99"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qFormat="1" w:unhideWhenUsed="0" w:uiPriority="0" w:semiHidden="0" w:name="Body Text First Indent"/>
    <w:lsdException w:qFormat="1" w:uiPriority="99"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4">
    <w:name w:val="Body Text Indent"/>
    <w:basedOn w:val="1"/>
    <w:link w:val="21"/>
    <w:semiHidden/>
    <w:unhideWhenUsed/>
    <w:qFormat/>
    <w:uiPriority w:val="99"/>
    <w:pPr>
      <w:spacing w:after="120"/>
      <w:ind w:left="420" w:leftChars="200"/>
    </w:p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4"/>
    <w:link w:val="22"/>
    <w:semiHidden/>
    <w:unhideWhenUsed/>
    <w:qFormat/>
    <w:uiPriority w:val="99"/>
    <w:pPr>
      <w:ind w:firstLine="420" w:firstLineChars="200"/>
    </w:pPr>
  </w:style>
  <w:style w:type="paragraph" w:customStyle="1" w:styleId="11">
    <w:name w:val="表格文字"/>
    <w:basedOn w:val="1"/>
    <w:qFormat/>
    <w:uiPriority w:val="0"/>
    <w:pPr>
      <w:spacing w:before="25" w:after="25"/>
    </w:pPr>
    <w:rPr>
      <w:bCs/>
      <w:spacing w:val="10"/>
    </w:rPr>
  </w:style>
  <w:style w:type="paragraph" w:customStyle="1" w:styleId="12">
    <w:name w:val="列出段落1"/>
    <w:basedOn w:val="1"/>
    <w:qFormat/>
    <w:uiPriority w:val="34"/>
    <w:pPr>
      <w:ind w:firstLine="420" w:firstLineChars="200"/>
    </w:pPr>
    <w:rPr>
      <w:rFonts w:ascii="Calibri" w:hAnsi="Calibri" w:eastAsia="宋体"/>
      <w:szCs w:val="22"/>
    </w:rPr>
  </w:style>
  <w:style w:type="paragraph" w:customStyle="1" w:styleId="13">
    <w:name w:val="List Paragraph"/>
    <w:basedOn w:val="1"/>
    <w:qFormat/>
    <w:uiPriority w:val="99"/>
    <w:pPr>
      <w:ind w:firstLine="420" w:firstLineChars="200"/>
    </w:pPr>
  </w:style>
  <w:style w:type="paragraph" w:customStyle="1" w:styleId="14">
    <w:name w:val=" Char Char Char Char"/>
    <w:basedOn w:val="1"/>
    <w:qFormat/>
    <w:uiPriority w:val="0"/>
    <w:rPr>
      <w:rFonts w:ascii="Tahoma" w:hAnsi="Tahoma"/>
      <w:sz w:val="24"/>
    </w:rPr>
  </w:style>
  <w:style w:type="character" w:customStyle="1" w:styleId="15">
    <w:name w:val="页眉 Char"/>
    <w:basedOn w:val="10"/>
    <w:link w:val="7"/>
    <w:qFormat/>
    <w:uiPriority w:val="99"/>
    <w:rPr>
      <w:rFonts w:ascii="Times New Roman" w:hAnsi="Times New Roman" w:eastAsia="宋体" w:cs="Times New Roman"/>
      <w:sz w:val="18"/>
      <w:szCs w:val="18"/>
    </w:rPr>
  </w:style>
  <w:style w:type="character" w:customStyle="1" w:styleId="16">
    <w:name w:val="页脚 Char"/>
    <w:basedOn w:val="10"/>
    <w:link w:val="6"/>
    <w:qFormat/>
    <w:uiPriority w:val="99"/>
    <w:rPr>
      <w:rFonts w:ascii="Times New Roman" w:hAnsi="Times New Roman" w:eastAsia="宋体" w:cs="Times New Roman"/>
      <w:sz w:val="18"/>
      <w:szCs w:val="18"/>
    </w:rPr>
  </w:style>
  <w:style w:type="character" w:customStyle="1" w:styleId="17">
    <w:name w:val="批注框文本 Char"/>
    <w:basedOn w:val="10"/>
    <w:link w:val="5"/>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character" w:customStyle="1" w:styleId="19">
    <w:name w:val="info-content-text"/>
    <w:basedOn w:val="10"/>
    <w:qFormat/>
    <w:uiPriority w:val="0"/>
  </w:style>
  <w:style w:type="character" w:customStyle="1" w:styleId="20">
    <w:name w:val="info-expand-btn"/>
    <w:basedOn w:val="10"/>
    <w:qFormat/>
    <w:uiPriority w:val="0"/>
  </w:style>
  <w:style w:type="character" w:customStyle="1" w:styleId="21">
    <w:name w:val="正文文本缩进 Char"/>
    <w:basedOn w:val="10"/>
    <w:link w:val="4"/>
    <w:semiHidden/>
    <w:qFormat/>
    <w:uiPriority w:val="99"/>
    <w:rPr>
      <w:kern w:val="2"/>
      <w:sz w:val="21"/>
    </w:rPr>
  </w:style>
  <w:style w:type="character" w:customStyle="1" w:styleId="22">
    <w:name w:val="正文首行缩进 2 Char"/>
    <w:basedOn w:val="21"/>
    <w:link w:val="8"/>
    <w:semiHidden/>
    <w:qFormat/>
    <w:uiPriority w:val="99"/>
    <w:rPr>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8259</Words>
  <Characters>8512</Characters>
  <Lines>57</Lines>
  <Paragraphs>16</Paragraphs>
  <TotalTime>5</TotalTime>
  <ScaleCrop>false</ScaleCrop>
  <LinksUpToDate>false</LinksUpToDate>
  <CharactersWithSpaces>8591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xb21cn</dc:creator>
  <cp:lastModifiedBy>春华秋实</cp:lastModifiedBy>
  <dcterms:modified xsi:type="dcterms:W3CDTF">2022-07-05T00:30:24Z</dcterms:modified>
  <dc:title>管理体系审核记录表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815831B8BC23437FB3EE2EF4A4391C95</vt:lpwstr>
  </property>
</Properties>
</file>