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rPr>
                <w:sz w:val="24"/>
                <w:szCs w:val="24"/>
              </w:rP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rPr>
                <w:sz w:val="24"/>
                <w:szCs w:val="24"/>
              </w:rPr>
            </w:pPr>
            <w:r>
              <w:rPr>
                <w:rFonts w:hint="eastAsia"/>
                <w:sz w:val="24"/>
                <w:szCs w:val="24"/>
              </w:rPr>
              <w:t>条款</w:t>
            </w:r>
          </w:p>
        </w:tc>
        <w:tc>
          <w:tcPr>
            <w:tcW w:w="10004" w:type="dxa"/>
            <w:vAlign w:val="center"/>
          </w:tcPr>
          <w:p>
            <w:pPr>
              <w:spacing w:line="240" w:lineRule="auto"/>
              <w:rPr>
                <w:b w:val="0"/>
                <w:bCs w:val="0"/>
                <w:sz w:val="24"/>
                <w:szCs w:val="24"/>
              </w:rPr>
            </w:pPr>
            <w:r>
              <w:rPr>
                <w:rFonts w:hint="eastAsia"/>
                <w:b w:val="0"/>
                <w:bCs w:val="0"/>
                <w:sz w:val="24"/>
                <w:szCs w:val="24"/>
              </w:rPr>
              <w:t>受审核部门：</w:t>
            </w:r>
            <w:r>
              <w:rPr>
                <w:rFonts w:hint="eastAsia"/>
                <w:b w:val="0"/>
                <w:bCs w:val="0"/>
                <w:sz w:val="24"/>
                <w:szCs w:val="24"/>
                <w:lang w:val="en-US" w:eastAsia="zh-CN"/>
              </w:rPr>
              <w:t>生产技术部</w:t>
            </w:r>
            <w:r>
              <w:rPr>
                <w:b w:val="0"/>
                <w:bCs w:val="0"/>
                <w:sz w:val="24"/>
                <w:szCs w:val="24"/>
              </w:rPr>
              <w:t xml:space="preserve">          </w:t>
            </w:r>
            <w:r>
              <w:rPr>
                <w:rFonts w:hint="eastAsia"/>
                <w:b w:val="0"/>
                <w:bCs w:val="0"/>
                <w:sz w:val="24"/>
                <w:szCs w:val="24"/>
              </w:rPr>
              <w:t>主管领导：</w:t>
            </w:r>
            <w:r>
              <w:rPr>
                <w:rFonts w:hint="eastAsia"/>
                <w:b w:val="0"/>
                <w:bCs w:val="0"/>
                <w:sz w:val="24"/>
                <w:szCs w:val="24"/>
                <w:lang w:eastAsia="zh-CN"/>
              </w:rPr>
              <w:t>孙金鹏</w:t>
            </w:r>
            <w:r>
              <w:rPr>
                <w:b w:val="0"/>
                <w:bCs w:val="0"/>
                <w:sz w:val="24"/>
                <w:szCs w:val="24"/>
              </w:rPr>
              <w:t xml:space="preserve">  </w:t>
            </w:r>
            <w:r>
              <w:rPr>
                <w:rFonts w:hint="eastAsia" w:ascii="Times New Roman" w:hAnsi="Times New Roman" w:eastAsia="宋体" w:cs="Times New Roman"/>
                <w:b w:val="0"/>
                <w:bCs w:val="0"/>
                <w:sz w:val="24"/>
                <w:szCs w:val="24"/>
              </w:rPr>
              <w:t>（远程微信沟通）</w:t>
            </w:r>
          </w:p>
        </w:tc>
        <w:tc>
          <w:tcPr>
            <w:tcW w:w="1585" w:type="dxa"/>
            <w:vMerge w:val="restart"/>
            <w:vAlign w:val="center"/>
          </w:tcPr>
          <w:p>
            <w:pPr>
              <w:spacing w:line="360" w:lineRule="auto"/>
              <w:jc w:val="center"/>
              <w:rPr>
                <w:sz w:val="24"/>
                <w:szCs w:val="24"/>
              </w:rPr>
            </w:pPr>
            <w:r>
              <w:rPr>
                <w:rFonts w:hint="eastAsia"/>
                <w:b/>
                <w:bCs/>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004" w:type="dxa"/>
            <w:vAlign w:val="center"/>
          </w:tcPr>
          <w:p>
            <w:pPr>
              <w:spacing w:before="120" w:line="240" w:lineRule="auto"/>
              <w:rPr>
                <w:b w:val="0"/>
                <w:bCs w:val="0"/>
                <w:sz w:val="24"/>
                <w:szCs w:val="24"/>
              </w:rPr>
            </w:pPr>
            <w:r>
              <w:rPr>
                <w:rFonts w:hint="eastAsia" w:ascii="Times New Roman" w:hAnsi="Times New Roman" w:eastAsia="宋体" w:cs="Times New Roman"/>
                <w:b w:val="0"/>
                <w:bCs w:val="0"/>
                <w:sz w:val="24"/>
                <w:szCs w:val="24"/>
              </w:rPr>
              <w:t>审核员：温红玲    审核时间：2022年</w:t>
            </w:r>
            <w:r>
              <w:rPr>
                <w:rFonts w:hint="eastAsia" w:ascii="Times New Roman" w:hAnsi="Times New Roman" w:eastAsia="宋体" w:cs="Times New Roman"/>
                <w:b w:val="0"/>
                <w:bCs w:val="0"/>
                <w:sz w:val="24"/>
                <w:szCs w:val="24"/>
                <w:lang w:val="en-US" w:eastAsia="zh-CN"/>
              </w:rPr>
              <w:t>6</w:t>
            </w:r>
            <w:r>
              <w:rPr>
                <w:rFonts w:hint="eastAsia" w:ascii="Times New Roman" w:hAnsi="Times New Roman" w:eastAsia="宋体" w:cs="Times New Roman"/>
                <w:b w:val="0"/>
                <w:bCs w:val="0"/>
                <w:sz w:val="24"/>
                <w:szCs w:val="24"/>
              </w:rPr>
              <w:t>月</w:t>
            </w:r>
            <w:r>
              <w:rPr>
                <w:rFonts w:hint="eastAsia" w:ascii="Times New Roman" w:hAnsi="Times New Roman" w:eastAsia="宋体" w:cs="Times New Roman"/>
                <w:b w:val="0"/>
                <w:bCs w:val="0"/>
                <w:sz w:val="24"/>
                <w:szCs w:val="24"/>
                <w:lang w:val="en-US" w:eastAsia="zh-CN"/>
              </w:rPr>
              <w:t>14</w:t>
            </w:r>
            <w:r>
              <w:rPr>
                <w:rFonts w:hint="eastAsia" w:ascii="Times New Roman" w:hAnsi="Times New Roman" w:eastAsia="宋体" w:cs="Times New Roman"/>
                <w:b w:val="0"/>
                <w:bCs w:val="0"/>
                <w:sz w:val="24"/>
                <w:szCs w:val="24"/>
              </w:rPr>
              <w:t>日</w:t>
            </w:r>
          </w:p>
        </w:tc>
        <w:tc>
          <w:tcPr>
            <w:tcW w:w="158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004" w:type="dxa"/>
            <w:vAlign w:val="center"/>
          </w:tcPr>
          <w:p>
            <w:pPr>
              <w:spacing w:line="240" w:lineRule="auto"/>
              <w:rPr>
                <w:rFonts w:hint="eastAsia" w:ascii="宋体" w:hAnsi="宋体" w:eastAsia="宋体" w:cs="新宋体"/>
                <w:b w:val="0"/>
                <w:bCs w:val="0"/>
                <w:sz w:val="24"/>
                <w:szCs w:val="24"/>
                <w:lang w:val="en-US" w:eastAsia="zh-CN"/>
              </w:rPr>
            </w:pPr>
            <w:r>
              <w:rPr>
                <w:rFonts w:hint="eastAsia"/>
                <w:b w:val="0"/>
                <w:bCs w:val="0"/>
                <w:sz w:val="24"/>
                <w:szCs w:val="24"/>
              </w:rPr>
              <w:t>审核条款：</w:t>
            </w:r>
          </w:p>
          <w:p>
            <w:pPr>
              <w:spacing w:line="240" w:lineRule="auto"/>
              <w:rPr>
                <w:b w:val="0"/>
                <w:bCs w:val="0"/>
                <w:sz w:val="24"/>
                <w:szCs w:val="24"/>
              </w:rPr>
            </w:pPr>
            <w:r>
              <w:rPr>
                <w:rFonts w:hint="eastAsia" w:ascii="宋体" w:hAnsi="宋体" w:eastAsia="宋体" w:cs="新宋体"/>
                <w:b w:val="0"/>
                <w:bCs w:val="0"/>
                <w:sz w:val="24"/>
                <w:szCs w:val="24"/>
                <w:lang w:val="en-US" w:eastAsia="zh-CN"/>
              </w:rPr>
              <w:t>5.3岗位/职责/权限；6.2质量目标及其实现的策划；8.1运行的策划和控制；8.3产品和服务的设计和开发；8.5.6更改控制</w:t>
            </w:r>
          </w:p>
        </w:tc>
        <w:tc>
          <w:tcPr>
            <w:tcW w:w="158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hint="eastAsia"/>
                <w:sz w:val="24"/>
                <w:szCs w:val="24"/>
                <w:lang w:val="en-US" w:eastAsia="zh-CN"/>
              </w:rPr>
            </w:pPr>
            <w:r>
              <w:rPr>
                <w:rFonts w:hint="eastAsia" w:ascii="宋体" w:hAnsi="宋体" w:eastAsia="宋体" w:cs="新宋体"/>
                <w:b w:val="0"/>
                <w:bCs w:val="0"/>
                <w:sz w:val="24"/>
                <w:szCs w:val="24"/>
                <w:lang w:val="en-US" w:eastAsia="zh-CN"/>
              </w:rPr>
              <w:t>岗位/职责/权限</w:t>
            </w:r>
          </w:p>
        </w:tc>
        <w:tc>
          <w:tcPr>
            <w:tcW w:w="960" w:type="dxa"/>
          </w:tcPr>
          <w:p>
            <w:pPr>
              <w:spacing w:line="360" w:lineRule="auto"/>
              <w:rPr>
                <w:rFonts w:hint="eastAsia"/>
                <w:sz w:val="24"/>
                <w:szCs w:val="24"/>
                <w:lang w:val="en-US" w:eastAsia="zh-CN"/>
              </w:rPr>
            </w:pPr>
            <w:r>
              <w:rPr>
                <w:rFonts w:hint="eastAsia"/>
                <w:sz w:val="24"/>
                <w:szCs w:val="24"/>
                <w:lang w:val="en-US" w:eastAsia="zh-CN"/>
              </w:rPr>
              <w:t>Q5.3</w:t>
            </w:r>
          </w:p>
        </w:tc>
        <w:tc>
          <w:tcPr>
            <w:tcW w:w="10004" w:type="dxa"/>
          </w:tcPr>
          <w:p>
            <w:pPr>
              <w:pStyle w:val="14"/>
              <w:spacing w:line="240" w:lineRule="auto"/>
              <w:rPr>
                <w:rFonts w:hint="eastAsia"/>
                <w:sz w:val="24"/>
                <w:szCs w:val="24"/>
                <w:lang w:val="en-US" w:eastAsia="zh-CN"/>
              </w:rPr>
            </w:pPr>
            <w:r>
              <w:rPr>
                <w:rFonts w:hint="eastAsia"/>
                <w:sz w:val="24"/>
                <w:szCs w:val="24"/>
                <w:lang w:val="en-US" w:eastAsia="zh-CN"/>
              </w:rPr>
              <w:t>与部门负责人孙金鹏沟通，本部门主要负责以下工作：</w:t>
            </w:r>
          </w:p>
          <w:p>
            <w:pPr>
              <w:pStyle w:val="14"/>
              <w:spacing w:line="240" w:lineRule="auto"/>
              <w:rPr>
                <w:rFonts w:hint="eastAsia"/>
                <w:sz w:val="24"/>
                <w:szCs w:val="24"/>
                <w:lang w:val="en-US" w:eastAsia="zh-CN"/>
              </w:rPr>
            </w:pPr>
            <w:r>
              <w:rPr>
                <w:rFonts w:hint="eastAsia"/>
                <w:sz w:val="24"/>
                <w:szCs w:val="24"/>
                <w:lang w:val="en-US" w:eastAsia="zh-CN"/>
              </w:rPr>
              <w:t>在总经理领导下，履行以下职责：</w:t>
            </w:r>
          </w:p>
          <w:p>
            <w:pPr>
              <w:pStyle w:val="14"/>
              <w:spacing w:line="240" w:lineRule="auto"/>
              <w:rPr>
                <w:rFonts w:hint="eastAsia"/>
                <w:sz w:val="24"/>
                <w:szCs w:val="24"/>
                <w:lang w:val="en-US" w:eastAsia="zh-CN"/>
              </w:rPr>
            </w:pPr>
            <w:r>
              <w:rPr>
                <w:rFonts w:hint="eastAsia"/>
                <w:sz w:val="24"/>
                <w:szCs w:val="24"/>
                <w:lang w:val="en-US" w:eastAsia="zh-CN"/>
              </w:rPr>
              <w:t>1、负责组织制定或修改本公司技术管理标准，并监督有关部门贯彻执行。</w:t>
            </w:r>
          </w:p>
          <w:p>
            <w:pPr>
              <w:pStyle w:val="14"/>
              <w:spacing w:line="240" w:lineRule="auto"/>
              <w:rPr>
                <w:rFonts w:hint="eastAsia"/>
                <w:sz w:val="24"/>
                <w:szCs w:val="24"/>
                <w:lang w:val="en-US" w:eastAsia="zh-CN"/>
              </w:rPr>
            </w:pPr>
            <w:r>
              <w:rPr>
                <w:rFonts w:hint="eastAsia"/>
                <w:sz w:val="24"/>
                <w:szCs w:val="24"/>
                <w:lang w:val="en-US" w:eastAsia="zh-CN"/>
              </w:rPr>
              <w:t>2、负责处理生产中出现的技术问题做好技术服务工作并密切与生产、质检、采供、车间等部门的联系，加强与各部门的协作配合；</w:t>
            </w:r>
          </w:p>
          <w:p>
            <w:pPr>
              <w:pStyle w:val="14"/>
              <w:spacing w:line="240" w:lineRule="auto"/>
              <w:rPr>
                <w:rFonts w:hint="eastAsia"/>
                <w:sz w:val="24"/>
                <w:szCs w:val="24"/>
                <w:lang w:val="en-US" w:eastAsia="zh-CN"/>
              </w:rPr>
            </w:pPr>
            <w:r>
              <w:rPr>
                <w:rFonts w:hint="eastAsia"/>
                <w:sz w:val="24"/>
                <w:szCs w:val="24"/>
                <w:lang w:val="en-US" w:eastAsia="zh-CN"/>
              </w:rPr>
              <w:t>3、负责组织制定公司技术管理制度和技术工艺标准，组织编制工艺文件；</w:t>
            </w:r>
          </w:p>
          <w:p>
            <w:pPr>
              <w:pStyle w:val="14"/>
              <w:spacing w:line="240" w:lineRule="auto"/>
              <w:rPr>
                <w:rFonts w:hint="eastAsia"/>
                <w:sz w:val="24"/>
                <w:szCs w:val="24"/>
                <w:lang w:val="en-US" w:eastAsia="zh-CN"/>
              </w:rPr>
            </w:pPr>
            <w:r>
              <w:rPr>
                <w:rFonts w:hint="eastAsia"/>
                <w:sz w:val="24"/>
                <w:szCs w:val="24"/>
                <w:lang w:val="en-US" w:eastAsia="zh-CN"/>
              </w:rPr>
              <w:t>4、负责公司产品设计工作的计划实施，及时上报公司领导及相关部门；</w:t>
            </w:r>
          </w:p>
          <w:p>
            <w:pPr>
              <w:pStyle w:val="14"/>
              <w:spacing w:line="240" w:lineRule="auto"/>
              <w:rPr>
                <w:rFonts w:hint="eastAsia"/>
                <w:sz w:val="24"/>
                <w:szCs w:val="24"/>
                <w:lang w:val="en-US" w:eastAsia="zh-CN"/>
              </w:rPr>
            </w:pPr>
            <w:r>
              <w:rPr>
                <w:rFonts w:hint="eastAsia"/>
                <w:sz w:val="24"/>
                <w:szCs w:val="24"/>
                <w:lang w:val="en-US" w:eastAsia="zh-CN"/>
              </w:rPr>
              <w:t>5、负责及时指导、处理、协调和解决生产过程中出现的技术问题，保证生产正常进行，确保公司的生产计划按时完成；</w:t>
            </w:r>
          </w:p>
          <w:p>
            <w:pPr>
              <w:pStyle w:val="14"/>
              <w:spacing w:line="240" w:lineRule="auto"/>
              <w:rPr>
                <w:rFonts w:hint="eastAsia"/>
                <w:sz w:val="24"/>
                <w:szCs w:val="24"/>
                <w:lang w:val="en-US" w:eastAsia="zh-CN"/>
              </w:rPr>
            </w:pPr>
            <w:r>
              <w:rPr>
                <w:rFonts w:hint="eastAsia"/>
                <w:sz w:val="24"/>
                <w:szCs w:val="24"/>
                <w:lang w:val="en-US" w:eastAsia="zh-CN"/>
              </w:rPr>
              <w:t>6、负责做好技术图纸、资料的归档管理工作，抓好技术管理队伍建设工作；</w:t>
            </w:r>
          </w:p>
          <w:p>
            <w:pPr>
              <w:pStyle w:val="14"/>
              <w:spacing w:line="240" w:lineRule="auto"/>
              <w:rPr>
                <w:rFonts w:hint="eastAsia"/>
                <w:sz w:val="24"/>
                <w:szCs w:val="24"/>
                <w:lang w:val="en-US" w:eastAsia="zh-CN"/>
              </w:rPr>
            </w:pPr>
            <w:r>
              <w:rPr>
                <w:rFonts w:hint="eastAsia"/>
                <w:sz w:val="24"/>
                <w:szCs w:val="24"/>
                <w:lang w:val="en-US" w:eastAsia="zh-CN"/>
              </w:rPr>
              <w:t>7、做好技术文件发放的记录和保密工作，不得随意泄露；</w:t>
            </w:r>
          </w:p>
          <w:p>
            <w:pPr>
              <w:pStyle w:val="14"/>
              <w:spacing w:line="240" w:lineRule="auto"/>
              <w:rPr>
                <w:rFonts w:hint="eastAsia"/>
                <w:sz w:val="24"/>
                <w:szCs w:val="24"/>
                <w:lang w:val="en-US" w:eastAsia="zh-CN"/>
              </w:rPr>
            </w:pPr>
            <w:r>
              <w:rPr>
                <w:rFonts w:hint="eastAsia"/>
                <w:sz w:val="24"/>
                <w:szCs w:val="24"/>
                <w:lang w:val="en-US" w:eastAsia="zh-CN"/>
              </w:rPr>
              <w:t>8、负责公司ISO/TS16949或IATF16949质量管理体系与技术相关体系的建立、实施和完善；</w:t>
            </w:r>
          </w:p>
          <w:p>
            <w:pPr>
              <w:pStyle w:val="14"/>
              <w:spacing w:line="240" w:lineRule="auto"/>
              <w:rPr>
                <w:rFonts w:hint="eastAsia"/>
                <w:sz w:val="24"/>
                <w:szCs w:val="24"/>
                <w:lang w:val="en-US" w:eastAsia="zh-CN"/>
              </w:rPr>
            </w:pPr>
            <w:r>
              <w:rPr>
                <w:rFonts w:hint="eastAsia"/>
                <w:sz w:val="24"/>
                <w:szCs w:val="24"/>
                <w:lang w:val="en-US" w:eastAsia="zh-CN"/>
              </w:rPr>
              <w:t>9、组织实施公司产品技术和质量的持续改进工作；</w:t>
            </w:r>
          </w:p>
          <w:p>
            <w:pPr>
              <w:pStyle w:val="14"/>
              <w:spacing w:line="240" w:lineRule="auto"/>
              <w:rPr>
                <w:rFonts w:hint="eastAsia"/>
                <w:sz w:val="24"/>
                <w:szCs w:val="24"/>
                <w:lang w:val="en-US" w:eastAsia="zh-CN"/>
              </w:rPr>
            </w:pPr>
            <w:r>
              <w:rPr>
                <w:rFonts w:hint="eastAsia"/>
                <w:sz w:val="24"/>
                <w:szCs w:val="24"/>
                <w:lang w:val="en-US" w:eastAsia="zh-CN"/>
              </w:rPr>
              <w:t>10、完成公司交代的其他任务。</w:t>
            </w:r>
          </w:p>
          <w:p>
            <w:pPr>
              <w:pStyle w:val="14"/>
              <w:spacing w:line="240" w:lineRule="auto"/>
              <w:rPr>
                <w:rFonts w:hint="eastAsia"/>
                <w:sz w:val="24"/>
                <w:szCs w:val="24"/>
                <w:lang w:val="en-US" w:eastAsia="zh-CN"/>
              </w:rPr>
            </w:pPr>
            <w:r>
              <w:rPr>
                <w:rFonts w:hint="eastAsia"/>
                <w:sz w:val="24"/>
                <w:szCs w:val="24"/>
                <w:lang w:val="en-US" w:eastAsia="zh-CN"/>
              </w:rPr>
              <w:t>职责明确，负责人熟悉本部门职责。</w:t>
            </w:r>
          </w:p>
        </w:tc>
        <w:tc>
          <w:tcPr>
            <w:tcW w:w="1585" w:type="dxa"/>
          </w:tcPr>
          <w:p>
            <w:pPr>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160" w:type="dxa"/>
          </w:tcPr>
          <w:p>
            <w:pPr>
              <w:spacing w:line="360" w:lineRule="auto"/>
              <w:rPr>
                <w:sz w:val="24"/>
                <w:szCs w:val="24"/>
              </w:rPr>
            </w:pPr>
            <w:r>
              <w:rPr>
                <w:rFonts w:hint="eastAsia"/>
                <w:sz w:val="24"/>
                <w:szCs w:val="24"/>
                <w:lang w:val="en-US" w:eastAsia="zh-CN"/>
              </w:rPr>
              <w:t>目标管理</w:t>
            </w:r>
          </w:p>
        </w:tc>
        <w:tc>
          <w:tcPr>
            <w:tcW w:w="960" w:type="dxa"/>
          </w:tcPr>
          <w:p>
            <w:pPr>
              <w:spacing w:line="360" w:lineRule="auto"/>
              <w:rPr>
                <w:sz w:val="24"/>
                <w:szCs w:val="24"/>
              </w:rPr>
            </w:pPr>
            <w:r>
              <w:rPr>
                <w:rFonts w:hint="eastAsia"/>
                <w:sz w:val="24"/>
                <w:szCs w:val="24"/>
                <w:lang w:val="en-US" w:eastAsia="zh-CN"/>
              </w:rPr>
              <w:t>Q6.2</w:t>
            </w:r>
          </w:p>
        </w:tc>
        <w:tc>
          <w:tcPr>
            <w:tcW w:w="10004" w:type="dxa"/>
            <w:vAlign w:val="top"/>
          </w:tcPr>
          <w:p>
            <w:pPr>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部</w:t>
            </w:r>
            <w:r>
              <w:rPr>
                <w:rFonts w:hint="eastAsia" w:ascii="Times New Roman" w:hAnsi="Times New Roman" w:eastAsia="宋体" w:cs="Times New Roman"/>
                <w:sz w:val="24"/>
                <w:szCs w:val="24"/>
                <w:lang w:val="en-US" w:eastAsia="zh-CN"/>
              </w:rPr>
              <w:t>门质量目标               测量方法            考核频次    完成情况（2021.1-2022.5）</w:t>
            </w:r>
          </w:p>
          <w:p>
            <w:pPr>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生产指令下达准确率100% </w:t>
            </w:r>
            <w:r>
              <w:rPr>
                <w:rFonts w:hint="eastAsia"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生产指令下达准确数/生产指令下达总数量*100%  </w:t>
            </w:r>
            <w:r>
              <w:rPr>
                <w:rFonts w:hint="eastAsia" w:cs="Times New Roman"/>
                <w:sz w:val="21"/>
                <w:szCs w:val="21"/>
                <w:lang w:val="en-US" w:eastAsia="zh-CN"/>
              </w:rPr>
              <w:t xml:space="preserve"> </w:t>
            </w:r>
            <w:r>
              <w:rPr>
                <w:rFonts w:hint="eastAsia" w:ascii="Times New Roman" w:hAnsi="Times New Roman" w:eastAsia="宋体" w:cs="Times New Roman"/>
                <w:sz w:val="21"/>
                <w:szCs w:val="21"/>
                <w:lang w:val="en-US" w:eastAsia="zh-CN"/>
              </w:rPr>
              <w:t>每月考核一次   100%</w:t>
            </w:r>
          </w:p>
          <w:p>
            <w:pPr>
              <w:spacing w:line="240" w:lineRule="auto"/>
              <w:rPr>
                <w:rFonts w:hint="default"/>
                <w:sz w:val="24"/>
                <w:szCs w:val="24"/>
                <w:lang w:val="en-US" w:eastAsia="zh-CN"/>
              </w:rPr>
            </w:pPr>
            <w:r>
              <w:rPr>
                <w:rFonts w:hint="eastAsia" w:ascii="Times New Roman" w:hAnsi="Times New Roman" w:eastAsia="宋体" w:cs="Times New Roman"/>
                <w:sz w:val="24"/>
                <w:szCs w:val="24"/>
                <w:lang w:val="en-US" w:eastAsia="zh-CN"/>
              </w:rPr>
              <w:t>查《目标指标分解考核表》，已完成，编制刘培丰，批准徐政，时间2022.5.30。</w:t>
            </w:r>
          </w:p>
        </w:tc>
        <w:tc>
          <w:tcPr>
            <w:tcW w:w="1585" w:type="dxa"/>
            <w:vAlign w:val="top"/>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运行策划和控制</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 xml:space="preserve">Q8.1 </w:t>
            </w:r>
          </w:p>
        </w:tc>
        <w:tc>
          <w:tcPr>
            <w:tcW w:w="10004" w:type="dxa"/>
            <w:vAlign w:val="center"/>
          </w:tcPr>
          <w:p>
            <w:pPr>
              <w:spacing w:before="93" w:beforeLines="30" w:after="93" w:afterLines="30"/>
              <w:ind w:firstLine="420" w:firstLineChars="200"/>
              <w:jc w:val="left"/>
            </w:pPr>
            <w:r>
              <w:rPr>
                <w:rFonts w:hint="eastAsia"/>
              </w:rPr>
              <w:t>组织对金属机械零件的铸造和机加工进行了策划。</w:t>
            </w:r>
          </w:p>
          <w:p>
            <w:pPr>
              <w:spacing w:before="93" w:beforeLines="30" w:after="93" w:afterLines="30"/>
              <w:ind w:firstLine="420" w:firstLineChars="200"/>
              <w:jc w:val="left"/>
            </w:pPr>
            <w:r>
              <w:rPr>
                <w:rFonts w:hint="eastAsia"/>
              </w:rPr>
              <w:t>产品执行：GB/T1348-2009《球墨铸铁件》、GB/T718-2005《铸造用球铁》、GB/T2272-2009《硅铁》、GB/T3795-2006《锰铁》、GB4223-2004废钢铁、GB/T3420-2008灰铁铸铁管件；GB/T1804-2014 一般公差、未注公差的线性和角度尺寸的公差、GBT11351-1989 铸件重量公差、GBT9441-2009 球墨铸铁金相；等标准及顾客要求等，并作为产品的质量目标和要求。</w:t>
            </w:r>
          </w:p>
          <w:p>
            <w:pPr>
              <w:spacing w:before="93" w:beforeLines="30" w:after="93" w:afterLines="30"/>
              <w:ind w:firstLine="420" w:firstLineChars="200"/>
              <w:jc w:val="left"/>
            </w:pPr>
            <w:r>
              <w:rPr>
                <w:rFonts w:hint="eastAsia"/>
              </w:rPr>
              <w:t>制定</w:t>
            </w:r>
            <w:r>
              <w:rPr>
                <w:rFonts w:hint="eastAsia"/>
                <w:lang w:val="en-US" w:eastAsia="zh-CN"/>
              </w:rPr>
              <w:t>了</w:t>
            </w:r>
            <w:r>
              <w:rPr>
                <w:rFonts w:hint="eastAsia" w:ascii="宋体" w:hAnsi="宋体" w:eastAsia="宋体" w:cs="宋体"/>
                <w:kern w:val="2"/>
                <w:sz w:val="21"/>
                <w:szCs w:val="21"/>
                <w:lang w:val="en-US" w:eastAsia="zh-CN" w:bidi="ar"/>
              </w:rPr>
              <w:t>金属机械零件的铸造和机加工</w:t>
            </w:r>
            <w:r>
              <w:rPr>
                <w:rFonts w:hint="eastAsia"/>
              </w:rPr>
              <w:t>流程图清晰地描述了产品生产服务的过程。</w:t>
            </w:r>
          </w:p>
          <w:p>
            <w:pPr>
              <w:spacing w:before="93" w:beforeLines="30" w:after="93" w:afterLines="30"/>
              <w:ind w:firstLine="420" w:firstLineChars="200"/>
              <w:jc w:val="left"/>
            </w:pPr>
            <w:r>
              <w:rPr>
                <w:rFonts w:hint="eastAsia"/>
              </w:rPr>
              <w:t>产品实现流程：</w:t>
            </w:r>
          </w:p>
          <w:p>
            <w:pPr>
              <w:tabs>
                <w:tab w:val="left" w:pos="840"/>
              </w:tabs>
              <w:spacing w:before="93" w:beforeLines="30" w:after="93" w:afterLines="30"/>
              <w:ind w:firstLine="420" w:firstLineChars="200"/>
              <w:rPr>
                <w:rFonts w:hint="eastAsia"/>
              </w:rPr>
            </w:pPr>
            <w:r>
              <w:rPr>
                <w:rFonts w:hint="eastAsia"/>
              </w:rPr>
              <w:t>金属机械零件的铸造生产流程：</w:t>
            </w:r>
          </w:p>
          <w:p>
            <w:pPr>
              <w:tabs>
                <w:tab w:val="left" w:pos="840"/>
              </w:tabs>
              <w:spacing w:before="93" w:beforeLines="30" w:after="93" w:afterLines="30"/>
              <w:ind w:firstLine="420" w:firstLineChars="200"/>
              <w:rPr>
                <w:rFonts w:hint="eastAsia"/>
              </w:rPr>
            </w:pPr>
            <w:r>
              <w:rPr>
                <w:rFonts w:hint="eastAsia"/>
              </w:rPr>
              <w:t>造型——制芯——合箱——熔炼——</w:t>
            </w:r>
            <w:r>
              <w:rPr>
                <w:rFonts w:hint="eastAsia" w:ascii="仿宋" w:hAnsi="仿宋" w:eastAsia="仿宋" w:cs="仿宋"/>
              </w:rPr>
              <w:t>★</w:t>
            </w:r>
            <w:r>
              <w:rPr>
                <w:rFonts w:hint="eastAsia"/>
              </w:rPr>
              <w:t>浇注——保温——开箱——掏砂——打磨——检验——</w:t>
            </w:r>
            <w:r>
              <w:rPr>
                <w:rFonts w:hint="eastAsia" w:ascii="仿宋" w:hAnsi="仿宋" w:eastAsia="仿宋" w:cs="仿宋"/>
              </w:rPr>
              <w:t>★</w:t>
            </w:r>
            <w:r>
              <w:rPr>
                <w:rFonts w:hint="eastAsia"/>
              </w:rPr>
              <w:t xml:space="preserve">喷漆——入库  </w:t>
            </w:r>
          </w:p>
          <w:p>
            <w:pPr>
              <w:tabs>
                <w:tab w:val="left" w:pos="840"/>
              </w:tabs>
              <w:spacing w:before="93" w:beforeLines="30" w:after="93" w:afterLines="30"/>
              <w:ind w:firstLine="420" w:firstLineChars="200"/>
              <w:rPr>
                <w:rFonts w:hint="eastAsia"/>
              </w:rPr>
            </w:pPr>
            <w:r>
              <w:rPr>
                <w:rFonts w:hint="eastAsia"/>
              </w:rPr>
              <w:t>机加工生产流程：</w:t>
            </w:r>
            <w:r>
              <w:rPr>
                <w:rFonts w:hint="eastAsia"/>
              </w:rPr>
              <w:tab/>
            </w:r>
          </w:p>
          <w:p>
            <w:pPr>
              <w:tabs>
                <w:tab w:val="left" w:pos="840"/>
              </w:tabs>
              <w:spacing w:before="93" w:beforeLines="30" w:after="93" w:afterLines="30"/>
              <w:ind w:firstLine="420" w:firstLineChars="200"/>
              <w:rPr>
                <w:rFonts w:hint="eastAsia"/>
              </w:rPr>
            </w:pPr>
            <w:r>
              <w:rPr>
                <w:rFonts w:hint="eastAsia"/>
              </w:rPr>
              <w:t>铸造完成——下发工作计划——按图纸机加工（镗、铣、钻、磨）——检验——出厂</w:t>
            </w:r>
          </w:p>
          <w:p>
            <w:pPr>
              <w:tabs>
                <w:tab w:val="left" w:pos="840"/>
              </w:tabs>
              <w:spacing w:before="93" w:beforeLines="30" w:after="93" w:afterLines="30"/>
              <w:ind w:firstLine="420" w:firstLineChars="200"/>
            </w:pPr>
            <w:r>
              <w:rPr>
                <w:rFonts w:hint="eastAsia"/>
              </w:rPr>
              <w:t>明确了质量目标和相关的产品特性要求，根据客户技术要求进行生产和服务的提供。</w:t>
            </w:r>
            <w:bookmarkStart w:id="0" w:name="_GoBack"/>
            <w:bookmarkEnd w:id="0"/>
          </w:p>
          <w:p>
            <w:pPr>
              <w:spacing w:before="93" w:beforeLines="30" w:after="93" w:afterLines="30"/>
              <w:ind w:firstLine="420" w:firstLineChars="200"/>
            </w:pPr>
            <w:r>
              <w:rPr>
                <w:rFonts w:hint="eastAsia"/>
              </w:rPr>
              <w:t>需确认过程：浇注和喷漆；相关控制参数：浇注温度和浇注速度；漆膜厚度、环境温度</w:t>
            </w:r>
            <w:r>
              <w:rPr>
                <w:rFonts w:hint="eastAsia"/>
                <w:lang w:eastAsia="zh-CN"/>
              </w:rPr>
              <w:t>，</w:t>
            </w:r>
            <w:r>
              <w:rPr>
                <w:rFonts w:hint="eastAsia"/>
              </w:rPr>
              <w:t>提供特殊过程的《特殊过程确认单》，对过程进行了过程确认。</w:t>
            </w:r>
          </w:p>
          <w:p>
            <w:pPr>
              <w:spacing w:before="93" w:beforeLines="30" w:after="93" w:afterLines="30"/>
              <w:ind w:firstLine="420" w:firstLineChars="200"/>
            </w:pPr>
            <w:r>
              <w:rPr>
                <w:rFonts w:hint="eastAsia"/>
              </w:rPr>
              <w:t>经识别，无外包过程。</w:t>
            </w:r>
          </w:p>
          <w:p>
            <w:pPr>
              <w:spacing w:before="93" w:beforeLines="30" w:after="93" w:afterLines="30"/>
              <w:ind w:firstLine="420" w:firstLineChars="200"/>
              <w:jc w:val="left"/>
              <w:rPr>
                <w:rFonts w:hint="eastAsia"/>
              </w:rPr>
            </w:pPr>
            <w:r>
              <w:rPr>
                <w:rFonts w:hint="eastAsia"/>
              </w:rPr>
              <w:t>组织确定了操作规程汇编：（制芯、造型、合箱、刷涂、流涂、熔炼消失模、清理等）熔炼作业安全指导书、中频电炉熔炼作业指导书、铸件油漆工艺规程等，工艺参数齐全完整，操作性较强，能够指导实际操作；浇注安全操作规程、行车安全操作规程、落砂系统操作规程、树脂砂生产线操作规程、再生系统操作规程、抛丸机安全操作规程、中频炉安全操作规程、GMC2560数控龙门镗床安全操作规程、机床安全操作规程等；铸造工艺设计标准作业指导书、车间工艺流程图等；安全操作规程等；</w:t>
            </w:r>
          </w:p>
          <w:p>
            <w:pPr>
              <w:spacing w:before="93" w:beforeLines="30" w:after="93" w:afterLines="30"/>
              <w:ind w:firstLine="420" w:firstLineChars="200"/>
              <w:jc w:val="left"/>
              <w:rPr>
                <w:rFonts w:hint="eastAsia"/>
              </w:rPr>
            </w:pPr>
            <w:r>
              <w:rPr>
                <w:rFonts w:hint="eastAsia"/>
              </w:rPr>
              <w:t>检验规程汇编：原材料入厂检测标准、铸件检验规程、中间检查作业指导书等</w:t>
            </w:r>
            <w:r>
              <w:rPr>
                <w:rFonts w:hint="eastAsia"/>
                <w:lang w:eastAsia="zh-CN"/>
              </w:rPr>
              <w:t>，</w:t>
            </w:r>
            <w:r>
              <w:rPr>
                <w:rFonts w:hint="eastAsia"/>
              </w:rPr>
              <w:t>描述了产品实现的方法和接收准则；</w:t>
            </w:r>
          </w:p>
          <w:p>
            <w:pPr>
              <w:spacing w:before="93" w:beforeLines="30" w:after="93" w:afterLines="30"/>
              <w:ind w:firstLine="420" w:firstLineChars="200"/>
              <w:jc w:val="left"/>
            </w:pPr>
            <w:r>
              <w:rPr>
                <w:rFonts w:hint="eastAsia"/>
              </w:rPr>
              <w:t>管理制度汇编：考勤管理制度</w:t>
            </w:r>
            <w:r>
              <w:rPr>
                <w:rFonts w:hint="eastAsia"/>
                <w:lang w:eastAsia="zh-CN"/>
              </w:rPr>
              <w:t>、</w:t>
            </w:r>
            <w:r>
              <w:rPr>
                <w:rFonts w:hint="eastAsia"/>
              </w:rPr>
              <w:t>生产管理制度和岗位职责等文件；</w:t>
            </w:r>
          </w:p>
          <w:p>
            <w:pPr>
              <w:spacing w:before="93" w:beforeLines="30" w:after="93" w:afterLines="30"/>
              <w:ind w:firstLine="420" w:firstLineChars="200"/>
              <w:jc w:val="left"/>
            </w:pPr>
            <w:r>
              <w:rPr>
                <w:rFonts w:hint="eastAsia"/>
              </w:rPr>
              <w:t>公司为产品实现提供了充足的资源，如：设备、人员、工厂车间、物料等。</w:t>
            </w:r>
          </w:p>
          <w:p>
            <w:pPr>
              <w:spacing w:before="93" w:beforeLines="30" w:after="93" w:afterLines="30"/>
              <w:ind w:firstLine="420" w:firstLineChars="200"/>
              <w:jc w:val="left"/>
            </w:pPr>
            <w:r>
              <w:rPr>
                <w:rFonts w:hint="eastAsia"/>
              </w:rPr>
              <w:t>为提供证据公司确定了有关产品实现的记录，如《入库单》、《设备保养记录》、《成品检验记录》等。</w:t>
            </w:r>
          </w:p>
          <w:p>
            <w:pPr>
              <w:spacing w:before="93" w:beforeLines="30" w:after="93" w:afterLines="30"/>
              <w:ind w:firstLine="420" w:firstLineChars="200"/>
              <w:jc w:val="left"/>
            </w:pPr>
            <w:r>
              <w:rPr>
                <w:rFonts w:hint="eastAsia"/>
              </w:rPr>
              <w:t>与部门负责人沟通，在产品实现过程中，当生产工艺、条件、环境或人员等因素发生变化，对产品质量有影响或不满足顾客要求时，</w:t>
            </w:r>
            <w:r>
              <w:rPr>
                <w:rFonts w:hint="eastAsia"/>
                <w:lang w:eastAsia="zh-CN"/>
              </w:rPr>
              <w:t>生产技术部</w:t>
            </w:r>
            <w:r>
              <w:rPr>
                <w:rFonts w:hint="eastAsia"/>
              </w:rPr>
              <w:t>根据实际情况组织技术人员、</w:t>
            </w:r>
            <w:r>
              <w:rPr>
                <w:rFonts w:hint="eastAsia"/>
                <w:lang w:val="en-US" w:eastAsia="zh-CN"/>
              </w:rPr>
              <w:t>经营</w:t>
            </w:r>
            <w:r>
              <w:rPr>
                <w:rFonts w:hint="eastAsia"/>
                <w:lang w:eastAsia="zh-CN"/>
              </w:rPr>
              <w:t>部</w:t>
            </w:r>
            <w:r>
              <w:rPr>
                <w:rFonts w:hint="eastAsia"/>
              </w:rPr>
              <w:t>、</w:t>
            </w:r>
            <w:r>
              <w:rPr>
                <w:rFonts w:hint="eastAsia"/>
                <w:lang w:val="en-US" w:eastAsia="zh-CN"/>
              </w:rPr>
              <w:t>品质</w:t>
            </w:r>
            <w:r>
              <w:rPr>
                <w:rFonts w:hint="eastAsia"/>
              </w:rPr>
              <w:t>部负责人员商议生产更改事项，将结果及时通报相关部门。</w:t>
            </w:r>
          </w:p>
          <w:p>
            <w:pPr>
              <w:spacing w:before="93" w:beforeLines="30" w:after="93" w:afterLines="30"/>
              <w:ind w:firstLine="420" w:firstLineChars="200"/>
              <w:jc w:val="left"/>
            </w:pPr>
            <w:r>
              <w:rPr>
                <w:rFonts w:hint="eastAsia"/>
              </w:rPr>
              <w:t>目前暂无更改情况。</w:t>
            </w:r>
          </w:p>
          <w:p>
            <w:pPr>
              <w:spacing w:before="93" w:beforeLines="30" w:after="93" w:afterLines="30"/>
              <w:ind w:firstLine="420" w:firstLineChars="200"/>
              <w:rPr>
                <w:rFonts w:hint="default"/>
                <w:lang w:val="en-US" w:eastAsia="zh-CN"/>
              </w:rPr>
            </w:pPr>
            <w:r>
              <w:rPr>
                <w:rFonts w:hint="eastAsia"/>
              </w:rPr>
              <w:t>组织对产品实现的策划管理符合标准的要求。</w:t>
            </w:r>
          </w:p>
        </w:tc>
        <w:tc>
          <w:tcPr>
            <w:tcW w:w="1585" w:type="dxa"/>
          </w:tcPr>
          <w:p>
            <w:pPr>
              <w:pStyle w:val="9"/>
              <w:spacing w:line="360" w:lineRule="auto"/>
              <w:rPr>
                <w:rFonts w:hint="eastAsia"/>
                <w:color w:val="FF0000"/>
                <w:sz w:val="24"/>
                <w:szCs w:val="24"/>
                <w:lang w:val="en-US" w:eastAsia="zh-CN"/>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cs="宋体"/>
                <w:szCs w:val="21"/>
              </w:rPr>
            </w:pPr>
            <w:r>
              <w:rPr>
                <w:rFonts w:hint="eastAsia" w:ascii="宋体" w:hAnsi="宋体" w:cs="宋体"/>
                <w:szCs w:val="21"/>
                <w:lang w:val="en-US" w:eastAsia="zh-CN"/>
              </w:rPr>
              <w:t>产品和服务的设计和开发</w:t>
            </w:r>
          </w:p>
        </w:tc>
        <w:tc>
          <w:tcPr>
            <w:tcW w:w="960" w:type="dxa"/>
            <w:vAlign w:val="center"/>
          </w:tcPr>
          <w:p>
            <w:pPr>
              <w:rPr>
                <w:rFonts w:hint="eastAsia" w:ascii="宋体" w:hAnsi="宋体" w:cs="宋体"/>
                <w:szCs w:val="21"/>
              </w:rPr>
            </w:pPr>
            <w:r>
              <w:rPr>
                <w:rFonts w:hint="eastAsia" w:ascii="宋体" w:hAnsi="宋体" w:cs="宋体"/>
                <w:szCs w:val="21"/>
                <w:lang w:val="en-US" w:eastAsia="zh-CN"/>
              </w:rPr>
              <w:t>Q8.3</w:t>
            </w:r>
          </w:p>
        </w:tc>
        <w:tc>
          <w:tcPr>
            <w:tcW w:w="10004" w:type="dxa"/>
            <w:vAlign w:val="center"/>
          </w:tcPr>
          <w:p>
            <w:pPr>
              <w:spacing w:before="93" w:beforeLines="30" w:after="93" w:afterLines="30"/>
              <w:ind w:firstLine="420" w:firstLineChars="200"/>
              <w:rPr>
                <w:rFonts w:hint="default" w:ascii="宋体" w:hAnsi="宋体" w:eastAsia="宋体" w:cs="宋体"/>
                <w:bCs/>
                <w:szCs w:val="21"/>
                <w:lang w:val="en-US" w:eastAsia="zh-CN"/>
              </w:rPr>
            </w:pPr>
            <w:r>
              <w:rPr>
                <w:rFonts w:hint="eastAsia" w:ascii="宋体" w:hAnsi="宋体" w:cs="宋体"/>
                <w:bCs/>
                <w:color w:val="auto"/>
                <w:szCs w:val="21"/>
              </w:rPr>
              <w:t>与负责人沟通确认，生产技术部负责产品的设计和开发</w:t>
            </w:r>
            <w:r>
              <w:rPr>
                <w:rFonts w:hint="eastAsia" w:ascii="宋体" w:hAnsi="宋体" w:cs="宋体"/>
                <w:bCs/>
                <w:color w:val="auto"/>
                <w:szCs w:val="21"/>
                <w:lang w:eastAsia="zh-CN"/>
              </w:rPr>
              <w:t>，</w:t>
            </w:r>
            <w:r>
              <w:rPr>
                <w:rFonts w:hint="eastAsia" w:ascii="宋体" w:hAnsi="宋体" w:cs="宋体"/>
                <w:bCs/>
                <w:color w:val="auto"/>
                <w:szCs w:val="21"/>
                <w:lang w:val="en-US" w:eastAsia="zh-CN"/>
              </w:rPr>
              <w:t>负责生产指令下达</w:t>
            </w:r>
            <w:r>
              <w:rPr>
                <w:rFonts w:hint="eastAsia" w:ascii="宋体" w:hAnsi="宋体" w:cs="宋体"/>
                <w:bCs/>
                <w:color w:val="auto"/>
                <w:szCs w:val="21"/>
              </w:rPr>
              <w:t>。公司现有</w:t>
            </w:r>
            <w:r>
              <w:rPr>
                <w:rFonts w:hint="eastAsia" w:ascii="宋体" w:hAnsi="宋体" w:cs="宋体"/>
                <w:bCs/>
                <w:color w:val="auto"/>
                <w:szCs w:val="21"/>
                <w:lang w:val="en-US" w:eastAsia="zh-CN"/>
              </w:rPr>
              <w:t>技术</w:t>
            </w:r>
            <w:r>
              <w:rPr>
                <w:rFonts w:hint="eastAsia" w:ascii="宋体" w:hAnsi="宋体" w:cs="宋体"/>
                <w:bCs/>
                <w:color w:val="auto"/>
                <w:szCs w:val="21"/>
              </w:rPr>
              <w:t>员</w:t>
            </w:r>
            <w:r>
              <w:rPr>
                <w:rFonts w:hint="eastAsia" w:ascii="宋体" w:hAnsi="宋体" w:cs="宋体"/>
                <w:bCs/>
                <w:color w:val="auto"/>
                <w:szCs w:val="21"/>
                <w:lang w:val="en-US" w:eastAsia="zh-CN"/>
              </w:rPr>
              <w:t>3</w:t>
            </w:r>
            <w:r>
              <w:rPr>
                <w:rFonts w:hint="eastAsia" w:ascii="宋体" w:hAnsi="宋体" w:cs="宋体"/>
                <w:bCs/>
                <w:color w:val="auto"/>
                <w:szCs w:val="21"/>
              </w:rPr>
              <w:t>人，分别是闫立新</w:t>
            </w:r>
            <w:r>
              <w:rPr>
                <w:rFonts w:hint="eastAsia" w:ascii="宋体" w:hAnsi="宋体" w:cs="宋体"/>
                <w:bCs/>
                <w:color w:val="auto"/>
                <w:szCs w:val="21"/>
                <w:lang w:eastAsia="zh-CN"/>
              </w:rPr>
              <w:t>、</w:t>
            </w:r>
            <w:r>
              <w:rPr>
                <w:rFonts w:hint="eastAsia" w:ascii="宋体" w:hAnsi="宋体" w:cs="宋体"/>
                <w:bCs/>
                <w:color w:val="auto"/>
                <w:szCs w:val="21"/>
              </w:rPr>
              <w:t>肖小永</w:t>
            </w:r>
            <w:r>
              <w:rPr>
                <w:rFonts w:hint="eastAsia" w:ascii="宋体" w:hAnsi="宋体" w:cs="宋体"/>
                <w:bCs/>
                <w:color w:val="auto"/>
                <w:szCs w:val="21"/>
                <w:lang w:eastAsia="zh-CN"/>
              </w:rPr>
              <w:t>、</w:t>
            </w:r>
            <w:r>
              <w:rPr>
                <w:rFonts w:hint="eastAsia" w:ascii="宋体" w:hAnsi="宋体" w:cs="宋体"/>
                <w:bCs/>
                <w:color w:val="auto"/>
                <w:szCs w:val="21"/>
              </w:rPr>
              <w:t>李宁，查其均持有本科学历证书，查其过往经历，均在铸造行业从事设计和开发的工作，其能力满足公司设计和开发的需要。该公司成立于2017年12月27日，专业从事金属机械零件的铸造，均依据客户要求和GB/T1348-2009《球墨铸铁件》、GB/T718-2005《铸造用球铁》、GB/T2272-2009《硅铁》、GB/T3795-2006《锰铁》、GB4223-2004废钢铁、GB/T3420-2008灰铁铸铁管件；GB/T1804-2014 一般公差、未注公差的线性和角度尺寸的公差、GBT11351-1989 铸件重量公差、GBT9441-2009 球墨铸铁金相检验等制定检验规范进行检验，制定有《过程设计作业指导书》，近几年内，公司没有新产品研发活动，常规产品的服务工艺早已定型，技术指标均按照标准要求实施控制和检验，使用的原材料均为长期成熟供方，不对工艺、图纸、材料进行更改，公司产品的生产按客户的图纸和技术要求（具体要求，包括型号规格等）、国家行业相关标准进行生产，各产品各工艺稳定成熟，生产过程中无产品的设计开发，不承担设计开发责任，删减8.3 条款后不影响企业提供满足顾客和法律法规要求的产品的能力和责任，基本合理充分，各产品加工工艺为行业内通用，比较透明。</w:t>
            </w:r>
          </w:p>
        </w:tc>
        <w:tc>
          <w:tcPr>
            <w:tcW w:w="1585" w:type="dxa"/>
          </w:tcPr>
          <w:p>
            <w:pPr>
              <w:pStyle w:val="9"/>
              <w:spacing w:line="360" w:lineRule="auto"/>
              <w:rPr>
                <w:rFonts w:hint="eastAsia"/>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更改控制</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Q</w:t>
            </w:r>
            <w:r>
              <w:rPr>
                <w:rFonts w:hint="eastAsia" w:ascii="宋体" w:hAnsi="宋体" w:cs="宋体"/>
                <w:szCs w:val="21"/>
                <w:lang w:val="en-US" w:eastAsia="zh-CN"/>
              </w:rPr>
              <w:t xml:space="preserve"> </w:t>
            </w:r>
            <w:r>
              <w:rPr>
                <w:rFonts w:hint="eastAsia" w:ascii="宋体" w:hAnsi="宋体" w:cs="宋体"/>
                <w:szCs w:val="21"/>
              </w:rPr>
              <w:t>8.5.6</w:t>
            </w:r>
          </w:p>
        </w:tc>
        <w:tc>
          <w:tcPr>
            <w:tcW w:w="10004" w:type="dxa"/>
            <w:vAlign w:val="center"/>
          </w:tcPr>
          <w:p>
            <w:pPr>
              <w:spacing w:before="93" w:beforeLines="30" w:after="93" w:afterLines="30"/>
              <w:ind w:firstLine="420" w:firstLineChars="200"/>
              <w:rPr>
                <w:rFonts w:hint="eastAsia" w:eastAsia="宋体"/>
                <w:lang w:eastAsia="zh-CN"/>
              </w:rPr>
            </w:pPr>
            <w:r>
              <w:rPr>
                <w:rFonts w:hint="eastAsia"/>
                <w:lang w:eastAsia="zh-CN"/>
              </w:rPr>
              <w:t>生产技术部</w:t>
            </w:r>
            <w:r>
              <w:rPr>
                <w:rFonts w:hint="eastAsia"/>
              </w:rPr>
              <w:t>负责人介绍，当内外外部环境，如客户要求、产品技术和质量要求、生产工艺、适用的法律法规和产品技术标准等有更改时，相关部门提出更改计划并进行更改，更改由原制定人负责具体实施</w:t>
            </w:r>
            <w:r>
              <w:rPr>
                <w:rFonts w:hint="eastAsia"/>
                <w:lang w:eastAsia="zh-CN"/>
              </w:rPr>
              <w:t>，填写“更改通知单”，说明变更的原因、变更前和变更后的内容、变更采取的措施及负责人和时间节点等。</w:t>
            </w:r>
          </w:p>
          <w:p>
            <w:pPr>
              <w:spacing w:before="93" w:beforeLines="30" w:after="93" w:afterLines="30"/>
              <w:ind w:firstLine="420" w:firstLineChars="200"/>
              <w:rPr>
                <w:rFonts w:hint="default"/>
                <w:lang w:val="en-US" w:eastAsia="zh-CN"/>
              </w:rPr>
            </w:pPr>
            <w:r>
              <w:rPr>
                <w:rFonts w:hint="eastAsia"/>
              </w:rPr>
              <w:t>自体系建立以来，未发生生产和服务控制有关信息的变更。</w:t>
            </w:r>
          </w:p>
        </w:tc>
        <w:tc>
          <w:tcPr>
            <w:tcW w:w="1585" w:type="dxa"/>
          </w:tcPr>
          <w:p>
            <w:pPr>
              <w:pStyle w:val="9"/>
              <w:spacing w:line="360" w:lineRule="auto"/>
              <w:rPr>
                <w:rFonts w:hint="eastAsia"/>
                <w:color w:val="FF0000"/>
                <w:sz w:val="24"/>
                <w:szCs w:val="24"/>
                <w:lang w:val="en-US" w:eastAsia="zh-CN"/>
              </w:rPr>
            </w:pPr>
            <w:r>
              <w:rPr>
                <w:rFonts w:hint="eastAsia"/>
                <w:color w:val="000000" w:themeColor="text1"/>
                <w:sz w:val="24"/>
                <w:szCs w:val="24"/>
                <w:lang w:val="en-US" w:eastAsia="zh-CN"/>
                <w14:textFill>
                  <w14:solidFill>
                    <w14:schemeClr w14:val="tx1"/>
                  </w14:solidFill>
                </w14:textFill>
              </w:rPr>
              <w:t>符合</w:t>
            </w:r>
          </w:p>
        </w:tc>
      </w:tr>
    </w:tbl>
    <w:p>
      <w:r>
        <w:ptab w:relativeTo="margin" w:alignment="center" w:leader="none"/>
      </w:r>
    </w:p>
    <w:p>
      <w:pPr>
        <w:pStyle w:val="5"/>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after="0" w:line="320" w:lineRule="exact"/>
      <w:ind w:left="-86" w:leftChars="-41" w:firstLine="945" w:firstLineChars="450"/>
      <w:jc w:val="left"/>
      <w:rPr>
        <w:rStyle w:val="13"/>
        <w:rFonts w:hint="default" w:ascii="宋体" w:eastAsia="宋体" w:cs="Times New Roman"/>
      </w:rPr>
    </w:pPr>
    <w:r>
      <w:rPr>
        <w:rStyle w:val="13"/>
        <w:rFonts w:hint="default" w:ascii="宋体" w:eastAsia="宋体" w:cs="Times New Roman"/>
        <w:lang w:val="en-US" w:eastAsia="zh-CN"/>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6"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pic:cNvPicPr>
                    <a:picLocks noChangeAspect="1"/>
                  </pic:cNvPicPr>
                </pic:nvPicPr>
                <pic:blipFill>
                  <a:blip r:embed="rId1">
                    <a:lum/>
                  </a:blip>
                  <a:stretch>
                    <a:fillRect/>
                  </a:stretch>
                </pic:blipFill>
                <pic:spPr>
                  <a:xfrm>
                    <a:off x="0" y="0"/>
                    <a:ext cx="485775" cy="485775"/>
                  </a:xfrm>
                  <a:prstGeom prst="rect">
                    <a:avLst/>
                  </a:prstGeom>
                  <a:noFill/>
                  <a:ln>
                    <a:noFill/>
                  </a:ln>
                </pic:spPr>
              </pic:pic>
            </a:graphicData>
          </a:graphic>
        </wp:anchor>
      </w:drawing>
    </w:r>
    <w:r>
      <w:rPr>
        <w:rStyle w:val="13"/>
        <w:rFonts w:hint="default" w:ascii="宋体" w:eastAsia="宋体" w:cs="Times New Roman"/>
        <w:lang w:val="en-US" w:eastAsia="zh-CN"/>
      </w:rP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矩形 2"/>
              <wp:cNvGraphicFramePr/>
              <a:graphic xmlns:a="http://schemas.openxmlformats.org/drawingml/2006/main">
                <a:graphicData uri="http://schemas.microsoft.com/office/word/2010/wordprocessingShape">
                  <wps:wsp>
                    <wps:cNvSpPr/>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rect id="_x0000_s1026" o:spid="_x0000_s1026" o:spt="1" style="position:absolute;left:0pt;margin-left:620.4pt;margin-top:12.55pt;height:20.2pt;width:102.7pt;z-index:251659264;mso-width-relative:page;mso-height-relative:page;" fillcolor="#FFFFFF" filled="t" stroked="f" coordsize="21600,21600" o:gfxdata="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xuyW7XAAAACwEAAA8AAAAAAAAAAQAgAAAAIgAAAGRycy9kb3ducmV2LnhtbFBLAQIUABQA&#10;AAAIAIdO4kAjdNIKuAEAAGoDAAAOAAAAAAAAAAEAIAAAACYBAABkcnMvZTJvRG9jLnhtbFBLBQYA&#10;AAAABgAGAFkBAABQBQAAAAA=&#10;">
              <v:fill on="t" focussize="0,0"/>
              <v:stroke on="f"/>
              <v:imagedata o:title=""/>
              <o:lock v:ext="edit" aspectratio="f"/>
              <v:textbox>
                <w:txbxContent>
                  <w:p>
                    <w:pPr>
                      <w:rPr>
                        <w:sz w:val="18"/>
                        <w:szCs w:val="18"/>
                      </w:rPr>
                    </w:pPr>
                    <w:r>
                      <w:rPr>
                        <w:rFonts w:hint="eastAsia"/>
                        <w:sz w:val="18"/>
                        <w:szCs w:val="18"/>
                      </w:rPr>
                      <w:t>ISC-B-II-12(05版）</w:t>
                    </w:r>
                  </w:p>
                </w:txbxContent>
              </v:textbox>
            </v:rect>
          </w:pict>
        </mc:Fallback>
      </mc:AlternateContent>
    </w:r>
    <w:r>
      <w:rPr>
        <w:rStyle w:val="13"/>
        <w:rFonts w:hint="default" w:ascii="宋体" w:eastAsia="宋体" w:cs="Times New Roman"/>
      </w:rPr>
      <w:t>北京国标联合认证有限公司</w:t>
    </w:r>
    <w:r>
      <w:rPr>
        <w:rStyle w:val="13"/>
        <w:rFonts w:hint="default" w:ascii="宋体" w:eastAsia="宋体" w:cs="Times New Roman"/>
      </w:rPr>
      <w:tab/>
    </w:r>
    <w:r>
      <w:rPr>
        <w:rStyle w:val="13"/>
        <w:rFonts w:hint="default" w:ascii="宋体" w:eastAsia="宋体" w:cs="Times New Roman"/>
      </w:rPr>
      <w:tab/>
    </w:r>
    <w:r>
      <w:rPr>
        <w:rStyle w:val="13"/>
        <w:rFonts w:hint="default" w:ascii="宋体" w:eastAsia="宋体" w:cs="Times New Roman"/>
      </w:rPr>
      <w:tab/>
    </w:r>
  </w:p>
  <w:p>
    <w:pPr>
      <w:pStyle w:val="2"/>
      <w:pBdr>
        <w:bottom w:val="none" w:color="auto" w:sz="0" w:space="0"/>
      </w:pBdr>
      <w:tabs>
        <w:tab w:val="left" w:pos="8910"/>
        <w:tab w:val="left" w:pos="9142"/>
        <w:tab w:val="clear" w:pos="4153"/>
      </w:tabs>
      <w:spacing w:after="0" w:line="320" w:lineRule="exact"/>
      <w:ind w:left="-86" w:leftChars="-41" w:firstLine="945" w:firstLineChars="450"/>
      <w:jc w:val="left"/>
      <w:rPr>
        <w:rStyle w:val="13"/>
        <w:rFonts w:hint="default" w:ascii="宋体" w:eastAsia="宋体" w:cs="Times New Roman"/>
      </w:rPr>
    </w:pPr>
    <w:r>
      <w:rPr>
        <w:rStyle w:val="13"/>
        <w:rFonts w:hint="default" w:ascii="宋体" w:eastAsia="宋体" w:cs="Times New Roman"/>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00BE0B43"/>
    <w:rsid w:val="013B4AB9"/>
    <w:rsid w:val="02054D10"/>
    <w:rsid w:val="023C4E17"/>
    <w:rsid w:val="02671768"/>
    <w:rsid w:val="02816CCE"/>
    <w:rsid w:val="031713E0"/>
    <w:rsid w:val="03C83A32"/>
    <w:rsid w:val="04000F96"/>
    <w:rsid w:val="04DE68C5"/>
    <w:rsid w:val="05C857E7"/>
    <w:rsid w:val="07A64AE1"/>
    <w:rsid w:val="086E43E4"/>
    <w:rsid w:val="08843A30"/>
    <w:rsid w:val="08FD204C"/>
    <w:rsid w:val="098A290C"/>
    <w:rsid w:val="0A334D52"/>
    <w:rsid w:val="0A926D1A"/>
    <w:rsid w:val="0AC41E4E"/>
    <w:rsid w:val="0B410E26"/>
    <w:rsid w:val="0B5F724D"/>
    <w:rsid w:val="0C5F4138"/>
    <w:rsid w:val="0C811679"/>
    <w:rsid w:val="0CD10852"/>
    <w:rsid w:val="0CE2550E"/>
    <w:rsid w:val="0D2A1D10"/>
    <w:rsid w:val="0D575BF9"/>
    <w:rsid w:val="0DAA1F1B"/>
    <w:rsid w:val="0DE1042A"/>
    <w:rsid w:val="0E5518DF"/>
    <w:rsid w:val="0EB210F3"/>
    <w:rsid w:val="0F015B30"/>
    <w:rsid w:val="10E675D1"/>
    <w:rsid w:val="111A50F3"/>
    <w:rsid w:val="11EB14BB"/>
    <w:rsid w:val="142B15D9"/>
    <w:rsid w:val="150262CF"/>
    <w:rsid w:val="151237B6"/>
    <w:rsid w:val="154A0E09"/>
    <w:rsid w:val="15AF7257"/>
    <w:rsid w:val="15B56A1B"/>
    <w:rsid w:val="16005D04"/>
    <w:rsid w:val="16070817"/>
    <w:rsid w:val="17200D7B"/>
    <w:rsid w:val="17247453"/>
    <w:rsid w:val="17BA0860"/>
    <w:rsid w:val="17D8553D"/>
    <w:rsid w:val="19936AE1"/>
    <w:rsid w:val="19A440D2"/>
    <w:rsid w:val="1A034103"/>
    <w:rsid w:val="1A165B15"/>
    <w:rsid w:val="1A8353BC"/>
    <w:rsid w:val="1A8922E1"/>
    <w:rsid w:val="1ABA0B77"/>
    <w:rsid w:val="1AC04A77"/>
    <w:rsid w:val="1B047839"/>
    <w:rsid w:val="1B213278"/>
    <w:rsid w:val="1BA075DC"/>
    <w:rsid w:val="1BF2165F"/>
    <w:rsid w:val="1CD6156D"/>
    <w:rsid w:val="1D7A53F5"/>
    <w:rsid w:val="1DDE2DCF"/>
    <w:rsid w:val="1EA2204E"/>
    <w:rsid w:val="1F457294"/>
    <w:rsid w:val="1FF83FCA"/>
    <w:rsid w:val="20931C4F"/>
    <w:rsid w:val="20D34084"/>
    <w:rsid w:val="20F546B7"/>
    <w:rsid w:val="216B2BCB"/>
    <w:rsid w:val="21A41121"/>
    <w:rsid w:val="222608A0"/>
    <w:rsid w:val="229B20FD"/>
    <w:rsid w:val="231E0CB8"/>
    <w:rsid w:val="245442D7"/>
    <w:rsid w:val="253F65B0"/>
    <w:rsid w:val="25987D07"/>
    <w:rsid w:val="26633D34"/>
    <w:rsid w:val="26773DC1"/>
    <w:rsid w:val="2690770A"/>
    <w:rsid w:val="26E710EC"/>
    <w:rsid w:val="27BB0827"/>
    <w:rsid w:val="27D339C2"/>
    <w:rsid w:val="286E377B"/>
    <w:rsid w:val="28D70D73"/>
    <w:rsid w:val="29056860"/>
    <w:rsid w:val="292D2375"/>
    <w:rsid w:val="29CA0A99"/>
    <w:rsid w:val="2A30050E"/>
    <w:rsid w:val="2A506A52"/>
    <w:rsid w:val="2B004385"/>
    <w:rsid w:val="2BA94A1C"/>
    <w:rsid w:val="2CB05AD1"/>
    <w:rsid w:val="2CD05FD9"/>
    <w:rsid w:val="2CE50D9D"/>
    <w:rsid w:val="2D9E1C33"/>
    <w:rsid w:val="2DEC60C8"/>
    <w:rsid w:val="2E286075"/>
    <w:rsid w:val="2E444588"/>
    <w:rsid w:val="31181CFC"/>
    <w:rsid w:val="31327262"/>
    <w:rsid w:val="318A687C"/>
    <w:rsid w:val="31AA3822"/>
    <w:rsid w:val="31AE58AD"/>
    <w:rsid w:val="31E15BBF"/>
    <w:rsid w:val="31E22A36"/>
    <w:rsid w:val="322271CC"/>
    <w:rsid w:val="32472899"/>
    <w:rsid w:val="330535CA"/>
    <w:rsid w:val="3330157F"/>
    <w:rsid w:val="334B12FE"/>
    <w:rsid w:val="337E11C7"/>
    <w:rsid w:val="33AB32FB"/>
    <w:rsid w:val="34347CAF"/>
    <w:rsid w:val="34F85328"/>
    <w:rsid w:val="35B54C2A"/>
    <w:rsid w:val="35C35B87"/>
    <w:rsid w:val="360C62D3"/>
    <w:rsid w:val="36EF34FF"/>
    <w:rsid w:val="374B5FD7"/>
    <w:rsid w:val="376D0FF4"/>
    <w:rsid w:val="37737C8C"/>
    <w:rsid w:val="388C36FB"/>
    <w:rsid w:val="389B05DB"/>
    <w:rsid w:val="38A84119"/>
    <w:rsid w:val="3A0C6AED"/>
    <w:rsid w:val="3A306308"/>
    <w:rsid w:val="3A62594E"/>
    <w:rsid w:val="3A753E45"/>
    <w:rsid w:val="3ACA33BE"/>
    <w:rsid w:val="3B294E0A"/>
    <w:rsid w:val="3B7D45DC"/>
    <w:rsid w:val="3BC1546A"/>
    <w:rsid w:val="3C8116B2"/>
    <w:rsid w:val="3D412847"/>
    <w:rsid w:val="3D483B66"/>
    <w:rsid w:val="3E010AE2"/>
    <w:rsid w:val="3E2B571C"/>
    <w:rsid w:val="3E927592"/>
    <w:rsid w:val="3F0A537A"/>
    <w:rsid w:val="3F5C1E50"/>
    <w:rsid w:val="40A4730E"/>
    <w:rsid w:val="40D23C76"/>
    <w:rsid w:val="417859F3"/>
    <w:rsid w:val="41BF6404"/>
    <w:rsid w:val="42441683"/>
    <w:rsid w:val="42572FB8"/>
    <w:rsid w:val="42FB0BBE"/>
    <w:rsid w:val="43151C39"/>
    <w:rsid w:val="4378103C"/>
    <w:rsid w:val="45763769"/>
    <w:rsid w:val="45F1232C"/>
    <w:rsid w:val="46674E60"/>
    <w:rsid w:val="4832149E"/>
    <w:rsid w:val="486C31CA"/>
    <w:rsid w:val="48AF11AF"/>
    <w:rsid w:val="48FE3A03"/>
    <w:rsid w:val="49156DF5"/>
    <w:rsid w:val="49A86706"/>
    <w:rsid w:val="4A161077"/>
    <w:rsid w:val="4A404346"/>
    <w:rsid w:val="4ADE0B1A"/>
    <w:rsid w:val="4B6E313A"/>
    <w:rsid w:val="4C303F46"/>
    <w:rsid w:val="4C8D79B7"/>
    <w:rsid w:val="4CC82297"/>
    <w:rsid w:val="4D113D78"/>
    <w:rsid w:val="4D221AE1"/>
    <w:rsid w:val="4DBC2D9A"/>
    <w:rsid w:val="4E105347"/>
    <w:rsid w:val="4E413604"/>
    <w:rsid w:val="509136AC"/>
    <w:rsid w:val="50FC442C"/>
    <w:rsid w:val="510A4C65"/>
    <w:rsid w:val="51365648"/>
    <w:rsid w:val="52452C22"/>
    <w:rsid w:val="52FC4950"/>
    <w:rsid w:val="53556C3D"/>
    <w:rsid w:val="545C6992"/>
    <w:rsid w:val="549F7EBB"/>
    <w:rsid w:val="55103BD6"/>
    <w:rsid w:val="55633994"/>
    <w:rsid w:val="55853555"/>
    <w:rsid w:val="568D0D68"/>
    <w:rsid w:val="56F40C0B"/>
    <w:rsid w:val="56F71D71"/>
    <w:rsid w:val="574F1405"/>
    <w:rsid w:val="574F24BA"/>
    <w:rsid w:val="57706D28"/>
    <w:rsid w:val="57914287"/>
    <w:rsid w:val="587154F4"/>
    <w:rsid w:val="58C3061C"/>
    <w:rsid w:val="59EE791A"/>
    <w:rsid w:val="5B0B1948"/>
    <w:rsid w:val="5B471B69"/>
    <w:rsid w:val="5B480C66"/>
    <w:rsid w:val="5C507406"/>
    <w:rsid w:val="5CF27722"/>
    <w:rsid w:val="5D443CF5"/>
    <w:rsid w:val="5D792CAD"/>
    <w:rsid w:val="5E5678E6"/>
    <w:rsid w:val="5E9F11E3"/>
    <w:rsid w:val="5F2B3E04"/>
    <w:rsid w:val="5F7206A6"/>
    <w:rsid w:val="5F7F59BE"/>
    <w:rsid w:val="5FA01F9D"/>
    <w:rsid w:val="60EF5D26"/>
    <w:rsid w:val="60FB46CB"/>
    <w:rsid w:val="62542E90"/>
    <w:rsid w:val="629244FC"/>
    <w:rsid w:val="629B0309"/>
    <w:rsid w:val="62E56A7A"/>
    <w:rsid w:val="63154332"/>
    <w:rsid w:val="63D31259"/>
    <w:rsid w:val="64322AF9"/>
    <w:rsid w:val="64882719"/>
    <w:rsid w:val="658B3C23"/>
    <w:rsid w:val="65D06126"/>
    <w:rsid w:val="66714D01"/>
    <w:rsid w:val="66F81DD8"/>
    <w:rsid w:val="67FA4005"/>
    <w:rsid w:val="68161D0A"/>
    <w:rsid w:val="68681035"/>
    <w:rsid w:val="687C4343"/>
    <w:rsid w:val="688A2BF6"/>
    <w:rsid w:val="694109F5"/>
    <w:rsid w:val="69461BA4"/>
    <w:rsid w:val="695F0FE8"/>
    <w:rsid w:val="69BA081D"/>
    <w:rsid w:val="69F30635"/>
    <w:rsid w:val="6B7B6B34"/>
    <w:rsid w:val="6B7E30D5"/>
    <w:rsid w:val="6BAD1D08"/>
    <w:rsid w:val="6BF3491C"/>
    <w:rsid w:val="6C133511"/>
    <w:rsid w:val="6C6B4BE4"/>
    <w:rsid w:val="6C6B4DFB"/>
    <w:rsid w:val="6CA12791"/>
    <w:rsid w:val="6D152FDC"/>
    <w:rsid w:val="6D254FA9"/>
    <w:rsid w:val="6D313463"/>
    <w:rsid w:val="6D457136"/>
    <w:rsid w:val="6DB14F04"/>
    <w:rsid w:val="6EE651B7"/>
    <w:rsid w:val="6F03756C"/>
    <w:rsid w:val="712D7127"/>
    <w:rsid w:val="715A7FD2"/>
    <w:rsid w:val="733B5947"/>
    <w:rsid w:val="73505172"/>
    <w:rsid w:val="735A34D3"/>
    <w:rsid w:val="74153A04"/>
    <w:rsid w:val="74566A04"/>
    <w:rsid w:val="75573E03"/>
    <w:rsid w:val="76831731"/>
    <w:rsid w:val="770901F9"/>
    <w:rsid w:val="77316C41"/>
    <w:rsid w:val="77350BE4"/>
    <w:rsid w:val="77732DB5"/>
    <w:rsid w:val="783B1F15"/>
    <w:rsid w:val="788E0D37"/>
    <w:rsid w:val="78A70F68"/>
    <w:rsid w:val="79733FB9"/>
    <w:rsid w:val="7A3E79E7"/>
    <w:rsid w:val="7AEE1407"/>
    <w:rsid w:val="7B3D59F8"/>
    <w:rsid w:val="7B4231CA"/>
    <w:rsid w:val="7CA0289E"/>
    <w:rsid w:val="7CBC3536"/>
    <w:rsid w:val="7D421EA3"/>
    <w:rsid w:val="7DDE6E9C"/>
    <w:rsid w:val="7E1437E9"/>
    <w:rsid w:val="7E3D5ECB"/>
    <w:rsid w:val="7EC34622"/>
    <w:rsid w:val="7F624D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表格文字"/>
    <w:basedOn w:val="1"/>
    <w:qFormat/>
    <w:uiPriority w:val="0"/>
    <w:pPr>
      <w:spacing w:before="25" w:after="25"/>
    </w:pPr>
    <w:rPr>
      <w:bCs/>
      <w:spacing w:val="10"/>
    </w:rPr>
  </w:style>
  <w:style w:type="character" w:customStyle="1" w:styleId="10">
    <w:name w:val="页眉 字符"/>
    <w:basedOn w:val="8"/>
    <w:link w:val="2"/>
    <w:qFormat/>
    <w:uiPriority w:val="99"/>
    <w:rPr>
      <w:rFonts w:ascii="Times New Roman" w:hAnsi="Times New Roman" w:eastAsia="宋体" w:cs="Times New Roman"/>
      <w:sz w:val="18"/>
      <w:szCs w:val="18"/>
    </w:rPr>
  </w:style>
  <w:style w:type="character" w:customStyle="1" w:styleId="11">
    <w:name w:val="页脚 字符"/>
    <w:basedOn w:val="8"/>
    <w:link w:val="5"/>
    <w:qFormat/>
    <w:uiPriority w:val="99"/>
    <w:rPr>
      <w:rFonts w:ascii="Times New Roman" w:hAnsi="Times New Roman" w:eastAsia="宋体" w:cs="Times New Roman"/>
      <w:sz w:val="18"/>
      <w:szCs w:val="18"/>
    </w:rPr>
  </w:style>
  <w:style w:type="character" w:customStyle="1" w:styleId="12">
    <w:name w:val="批注框文本 字符"/>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2213</Words>
  <Characters>2515</Characters>
  <Lines>1</Lines>
  <Paragraphs>1</Paragraphs>
  <TotalTime>106</TotalTime>
  <ScaleCrop>false</ScaleCrop>
  <LinksUpToDate>false</LinksUpToDate>
  <CharactersWithSpaces>2636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2022-07-04T06:28:27Z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0487A8378BC34E71916B0C82CE55C313</vt:lpwstr>
  </property>
  <property fmtid="{D5CDD505-2E9C-101B-9397-08002B2CF9AE}" pid="3" name="KSOProductBuildVer">
    <vt:lpwstr>2052-11.1.0.11830</vt:lpwstr>
  </property>
</Properties>
</file>