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heme="minorEastAsia" w:hAnsiTheme="minorEastAsia" w:eastAsiaTheme="minorEastAsia"/>
          <w:b/>
          <w:bCs/>
          <w:color w:val="000000"/>
          <w:sz w:val="36"/>
          <w:szCs w:val="36"/>
        </w:rPr>
      </w:pPr>
      <w:r>
        <w:rPr>
          <w:rFonts w:hint="eastAsia" w:asciiTheme="minorEastAsia" w:hAnsiTheme="minorEastAsia" w:eastAsiaTheme="minorEastAsia"/>
          <w:b/>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过程与活动、</w:t>
            </w:r>
          </w:p>
          <w:p>
            <w:pPr>
              <w:spacing w:line="32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抽样计划</w:t>
            </w:r>
          </w:p>
        </w:tc>
        <w:tc>
          <w:tcPr>
            <w:tcW w:w="1019" w:type="dxa"/>
            <w:vMerge w:val="restart"/>
            <w:vAlign w:val="center"/>
          </w:tcPr>
          <w:p>
            <w:pPr>
              <w:spacing w:line="3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涉及</w:t>
            </w:r>
          </w:p>
          <w:p>
            <w:pPr>
              <w:spacing w:line="32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条款</w:t>
            </w:r>
          </w:p>
        </w:tc>
        <w:tc>
          <w:tcPr>
            <w:tcW w:w="11223" w:type="dxa"/>
            <w:vAlign w:val="center"/>
          </w:tcPr>
          <w:p>
            <w:pPr>
              <w:spacing w:line="320" w:lineRule="exac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受审核部门：</w:t>
            </w:r>
            <w:r>
              <w:rPr>
                <w:rFonts w:hint="eastAsia" w:cs="宋体" w:asciiTheme="minorEastAsia" w:hAnsiTheme="minorEastAsia" w:eastAsiaTheme="minorEastAsia"/>
                <w:bCs/>
                <w:sz w:val="24"/>
                <w:szCs w:val="24"/>
              </w:rPr>
              <w:t>管理层</w:t>
            </w:r>
            <w:r>
              <w:rPr>
                <w:rFonts w:hint="eastAsia" w:cs="宋体" w:asciiTheme="minorEastAsia" w:hAnsiTheme="minorEastAsia" w:eastAsiaTheme="minorEastAsia"/>
                <w:sz w:val="24"/>
                <w:szCs w:val="24"/>
              </w:rPr>
              <w:t xml:space="preserve">   主管领导：</w:t>
            </w:r>
            <w:r>
              <w:rPr>
                <w:rFonts w:hint="eastAsia" w:cs="宋体" w:asciiTheme="minorEastAsia" w:hAnsiTheme="minorEastAsia" w:eastAsiaTheme="minorEastAsia"/>
                <w:sz w:val="24"/>
                <w:szCs w:val="24"/>
                <w:lang w:val="en-US" w:eastAsia="zh-CN"/>
              </w:rPr>
              <w:t>李正尚</w:t>
            </w:r>
            <w:r>
              <w:rPr>
                <w:rFonts w:hint="eastAsia" w:cs="宋体" w:asciiTheme="minorEastAsia" w:hAnsiTheme="minorEastAsia" w:eastAsiaTheme="minorEastAsia"/>
                <w:sz w:val="24"/>
                <w:szCs w:val="24"/>
              </w:rPr>
              <w:t xml:space="preserve">  </w:t>
            </w:r>
            <w:r>
              <w:rPr>
                <w:rFonts w:hint="eastAsia" w:cs="宋体" w:asciiTheme="minorEastAsia" w:hAnsiTheme="minorEastAsia" w:eastAsiaTheme="minorEastAsia"/>
                <w:sz w:val="24"/>
                <w:szCs w:val="24"/>
                <w:lang w:val="en-US" w:eastAsia="zh-CN"/>
              </w:rPr>
              <w:t xml:space="preserve"> </w:t>
            </w:r>
            <w:r>
              <w:rPr>
                <w:rFonts w:hint="eastAsia" w:cs="宋体" w:asciiTheme="minorEastAsia" w:hAnsiTheme="minorEastAsia" w:eastAsiaTheme="minorEastAsia"/>
                <w:sz w:val="24"/>
                <w:szCs w:val="24"/>
              </w:rPr>
              <w:t xml:space="preserve">   陪同人员：</w:t>
            </w:r>
            <w:r>
              <w:rPr>
                <w:rFonts w:hint="eastAsia" w:eastAsiaTheme="minorEastAsia"/>
                <w:sz w:val="24"/>
                <w:szCs w:val="24"/>
                <w:lang w:val="en-US" w:eastAsia="zh-CN"/>
              </w:rPr>
              <w:t>李建军</w:t>
            </w:r>
          </w:p>
        </w:tc>
        <w:tc>
          <w:tcPr>
            <w:tcW w:w="760" w:type="dxa"/>
            <w:vMerge w:val="restart"/>
            <w:vAlign w:val="center"/>
          </w:tcPr>
          <w:p>
            <w:pPr>
              <w:spacing w:line="32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cs="宋体" w:asciiTheme="minorEastAsia" w:hAnsiTheme="minorEastAsia" w:eastAsiaTheme="minorEastAsia"/>
                <w:sz w:val="24"/>
                <w:szCs w:val="24"/>
              </w:rPr>
            </w:pPr>
          </w:p>
        </w:tc>
        <w:tc>
          <w:tcPr>
            <w:tcW w:w="1019" w:type="dxa"/>
            <w:vMerge w:val="continue"/>
            <w:vAlign w:val="center"/>
          </w:tcPr>
          <w:p>
            <w:pPr>
              <w:spacing w:line="320" w:lineRule="exact"/>
              <w:rPr>
                <w:rFonts w:cs="宋体" w:asciiTheme="minorEastAsia" w:hAnsiTheme="minorEastAsia" w:eastAsiaTheme="minorEastAsia"/>
                <w:sz w:val="24"/>
                <w:szCs w:val="24"/>
              </w:rPr>
            </w:pPr>
          </w:p>
        </w:tc>
        <w:tc>
          <w:tcPr>
            <w:tcW w:w="11223" w:type="dxa"/>
            <w:vAlign w:val="center"/>
          </w:tcPr>
          <w:p>
            <w:pPr>
              <w:spacing w:line="320" w:lineRule="exact"/>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rPr>
              <w:t>审核员：</w:t>
            </w:r>
            <w:r>
              <w:rPr>
                <w:rFonts w:hint="eastAsia" w:cs="宋体" w:asciiTheme="minorEastAsia" w:hAnsiTheme="minorEastAsia" w:eastAsiaTheme="minorEastAsia"/>
                <w:sz w:val="24"/>
                <w:szCs w:val="24"/>
                <w:lang w:val="en-US" w:eastAsia="zh-CN"/>
              </w:rPr>
              <w:t>喻荣秋</w:t>
            </w:r>
            <w:r>
              <w:rPr>
                <w:rFonts w:hint="eastAsia" w:cs="宋体" w:asciiTheme="minorEastAsia" w:hAnsiTheme="minorEastAsia" w:eastAsiaTheme="minorEastAsia"/>
                <w:sz w:val="24"/>
                <w:szCs w:val="24"/>
              </w:rPr>
              <w:t xml:space="preserve"> </w:t>
            </w:r>
            <w:r>
              <w:rPr>
                <w:rFonts w:hint="eastAsia" w:ascii="楷体" w:hAnsi="楷体" w:eastAsia="楷体"/>
                <w:sz w:val="24"/>
                <w:szCs w:val="24"/>
                <w:lang w:eastAsia="zh-CN"/>
              </w:rPr>
              <w:t>（</w:t>
            </w:r>
            <w:r>
              <w:rPr>
                <w:rFonts w:hint="eastAsia" w:ascii="楷体" w:hAnsi="楷体" w:eastAsia="楷体"/>
                <w:sz w:val="24"/>
                <w:szCs w:val="24"/>
                <w:lang w:val="en-US" w:eastAsia="zh-CN"/>
              </w:rPr>
              <w:t>微信远程</w:t>
            </w:r>
            <w:r>
              <w:rPr>
                <w:rFonts w:hint="eastAsia" w:ascii="楷体" w:hAnsi="楷体" w:eastAsia="楷体"/>
                <w:sz w:val="24"/>
                <w:szCs w:val="24"/>
                <w:lang w:eastAsia="zh-CN"/>
              </w:rPr>
              <w:t>）</w:t>
            </w:r>
            <w:r>
              <w:rPr>
                <w:rFonts w:hint="eastAsia" w:ascii="楷体" w:hAnsi="楷体" w:eastAsia="楷体"/>
                <w:sz w:val="24"/>
                <w:szCs w:val="24"/>
              </w:rPr>
              <w:t xml:space="preserve">  </w:t>
            </w:r>
            <w:bookmarkStart w:id="2" w:name="_GoBack"/>
            <w:bookmarkEnd w:id="2"/>
            <w:r>
              <w:rPr>
                <w:rFonts w:hint="eastAsia" w:cs="宋体" w:asciiTheme="minorEastAsia" w:hAnsiTheme="minorEastAsia" w:eastAsiaTheme="minorEastAsia"/>
                <w:sz w:val="24"/>
                <w:szCs w:val="24"/>
              </w:rPr>
              <w:t xml:space="preserve">                审核时间：2022.</w:t>
            </w:r>
            <w:r>
              <w:rPr>
                <w:rFonts w:hint="eastAsia" w:cs="宋体" w:asciiTheme="minorEastAsia" w:hAnsiTheme="minorEastAsia" w:eastAsiaTheme="minorEastAsia"/>
                <w:sz w:val="24"/>
                <w:szCs w:val="24"/>
                <w:lang w:val="en-US" w:eastAsia="zh-CN"/>
              </w:rPr>
              <w:t>6.10上午</w:t>
            </w:r>
          </w:p>
        </w:tc>
        <w:tc>
          <w:tcPr>
            <w:tcW w:w="760" w:type="dxa"/>
            <w:vMerge w:val="continue"/>
          </w:tcPr>
          <w:p>
            <w:pPr>
              <w:spacing w:line="320" w:lineRule="exact"/>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cs="宋体" w:asciiTheme="minorEastAsia" w:hAnsiTheme="minorEastAsia" w:eastAsiaTheme="minorEastAsia"/>
                <w:sz w:val="24"/>
                <w:szCs w:val="24"/>
              </w:rPr>
            </w:pPr>
          </w:p>
        </w:tc>
        <w:tc>
          <w:tcPr>
            <w:tcW w:w="1019" w:type="dxa"/>
            <w:vMerge w:val="continue"/>
            <w:vAlign w:val="center"/>
          </w:tcPr>
          <w:p>
            <w:pPr>
              <w:spacing w:line="320" w:lineRule="exact"/>
              <w:rPr>
                <w:rFonts w:cs="宋体" w:asciiTheme="minorEastAsia" w:hAnsiTheme="minorEastAsia" w:eastAsiaTheme="minorEastAsia"/>
                <w:sz w:val="24"/>
                <w:szCs w:val="24"/>
              </w:rPr>
            </w:pPr>
          </w:p>
        </w:tc>
        <w:tc>
          <w:tcPr>
            <w:tcW w:w="11223" w:type="dxa"/>
            <w:vAlign w:val="center"/>
          </w:tcPr>
          <w:p>
            <w:pPr>
              <w:adjustRightInd w:val="0"/>
              <w:snapToGrid w:val="0"/>
              <w:ind w:right="105" w:rightChars="50"/>
              <w:textAlignment w:val="baseline"/>
              <w:rPr>
                <w:rFonts w:ascii="宋体" w:hAnsi="宋体" w:cs="Arial"/>
                <w:spacing w:val="-6"/>
                <w:sz w:val="21"/>
                <w:szCs w:val="21"/>
              </w:rPr>
            </w:pPr>
            <w:r>
              <w:rPr>
                <w:rFonts w:hint="eastAsia" w:asciiTheme="minorEastAsia" w:hAnsiTheme="minorEastAsia" w:eastAsiaTheme="minorEastAsia"/>
                <w:color w:val="000000"/>
                <w:szCs w:val="21"/>
              </w:rPr>
              <w:t>涉及标准条款</w:t>
            </w:r>
            <w:r>
              <w:rPr>
                <w:rFonts w:hint="eastAsia" w:asciiTheme="minorEastAsia" w:hAnsiTheme="minorEastAsia" w:eastAsiaTheme="minorEastAsia"/>
                <w:color w:val="000000"/>
                <w:szCs w:val="21"/>
                <w:lang w:val="en-US" w:eastAsia="zh-CN"/>
              </w:rPr>
              <w:t>QMS:</w:t>
            </w:r>
            <w:r>
              <w:rPr>
                <w:rFonts w:hint="eastAsia" w:ascii="宋体" w:hAnsi="宋体" w:cs="Arial"/>
                <w:spacing w:val="-6"/>
                <w:sz w:val="21"/>
                <w:szCs w:val="21"/>
              </w:rPr>
              <w:t>4.1理解组织及其环境、4.2理解相关方的需求和期望、4.3 确定管理体系的范围、4.4</w:t>
            </w:r>
            <w:r>
              <w:rPr>
                <w:rFonts w:hint="eastAsia" w:ascii="宋体" w:hAnsi="宋体" w:cs="Arial"/>
                <w:spacing w:val="-6"/>
                <w:sz w:val="21"/>
                <w:szCs w:val="21"/>
                <w:lang w:eastAsia="zh-CN"/>
              </w:rPr>
              <w:t>质量</w:t>
            </w:r>
            <w:r>
              <w:rPr>
                <w:rFonts w:hint="eastAsia" w:ascii="宋体" w:hAnsi="宋体" w:cs="Arial"/>
                <w:spacing w:val="-6"/>
                <w:sz w:val="21"/>
                <w:szCs w:val="21"/>
              </w:rPr>
              <w:t>管理体系及其过程、5.1领导作用和承诺、5.2</w:t>
            </w:r>
            <w:r>
              <w:rPr>
                <w:rFonts w:hint="eastAsia" w:ascii="宋体" w:hAnsi="宋体" w:cs="Arial"/>
                <w:spacing w:val="-6"/>
                <w:sz w:val="21"/>
                <w:szCs w:val="21"/>
                <w:lang w:eastAsia="zh-CN"/>
              </w:rPr>
              <w:t>质量</w:t>
            </w:r>
            <w:r>
              <w:rPr>
                <w:rFonts w:hint="eastAsia" w:ascii="宋体" w:hAnsi="宋体" w:cs="Arial"/>
                <w:spacing w:val="-6"/>
                <w:sz w:val="21"/>
                <w:szCs w:val="21"/>
              </w:rPr>
              <w:t>方针、5.3组织的岗位、职责和权限、6.1应对风险和机遇的措施、6.2</w:t>
            </w:r>
            <w:r>
              <w:rPr>
                <w:rFonts w:hint="eastAsia" w:ascii="宋体" w:hAnsi="宋体" w:cs="Arial"/>
                <w:spacing w:val="-6"/>
                <w:sz w:val="21"/>
                <w:szCs w:val="21"/>
                <w:lang w:eastAsia="zh-CN"/>
              </w:rPr>
              <w:t>质量</w:t>
            </w:r>
            <w:r>
              <w:rPr>
                <w:rFonts w:hint="eastAsia" w:ascii="宋体" w:hAnsi="宋体" w:cs="Arial"/>
                <w:spacing w:val="-6"/>
                <w:sz w:val="21"/>
                <w:szCs w:val="21"/>
              </w:rPr>
              <w:t>目标及其实现的策划、6.3变更的策划、7.1.1资源总则、7.4沟通、9.3管理评审、10.1改进、10.3持续改进</w:t>
            </w:r>
          </w:p>
          <w:p>
            <w:pPr>
              <w:ind w:firstLine="396" w:firstLineChars="200"/>
              <w:jc w:val="left"/>
              <w:rPr>
                <w:rFonts w:cs="宋体" w:asciiTheme="minorEastAsia" w:hAnsiTheme="minorEastAsia" w:eastAsiaTheme="minorEastAsia"/>
                <w:sz w:val="24"/>
                <w:szCs w:val="24"/>
              </w:rPr>
            </w:pPr>
            <w:r>
              <w:rPr>
                <w:rFonts w:hint="eastAsia" w:ascii="宋体" w:hAnsi="宋体" w:cs="Arial"/>
                <w:spacing w:val="-6"/>
                <w:sz w:val="21"/>
                <w:szCs w:val="21"/>
              </w:rPr>
              <w:t>国家/地方监督抽查情况；顾客满意、相关方投诉及处理情况；上次审核不符合验证，变更，验证企业相关资质证明的有效性；</w:t>
            </w:r>
          </w:p>
        </w:tc>
        <w:tc>
          <w:tcPr>
            <w:tcW w:w="760" w:type="dxa"/>
            <w:vMerge w:val="continue"/>
          </w:tcPr>
          <w:p>
            <w:pPr>
              <w:spacing w:line="320" w:lineRule="exact"/>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理解组织及其环境</w:t>
            </w:r>
          </w:p>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4.1</w:t>
            </w:r>
          </w:p>
          <w:p>
            <w:pPr>
              <w:spacing w:line="280" w:lineRule="exact"/>
              <w:rPr>
                <w:rFonts w:cs="宋体" w:asciiTheme="minorEastAsia" w:hAnsiTheme="minorEastAsia" w:eastAsiaTheme="minorEastAsia"/>
                <w:sz w:val="24"/>
                <w:szCs w:val="24"/>
              </w:rPr>
            </w:pPr>
          </w:p>
        </w:tc>
        <w:tc>
          <w:tcPr>
            <w:tcW w:w="11223" w:type="dxa"/>
            <w:vAlign w:val="center"/>
          </w:tcPr>
          <w:p>
            <w:pPr>
              <w:spacing w:line="280" w:lineRule="exact"/>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公司高层领导，总经理：</w:t>
            </w:r>
            <w:r>
              <w:rPr>
                <w:rFonts w:hint="eastAsia" w:cs="宋体" w:asciiTheme="minorEastAsia" w:hAnsiTheme="minorEastAsia" w:eastAsiaTheme="minorEastAsia"/>
                <w:szCs w:val="21"/>
                <w:lang w:val="en-US" w:eastAsia="zh-CN"/>
              </w:rPr>
              <w:t>李正尚</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p>
          <w:p>
            <w:pPr>
              <w:spacing w:line="28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color w:val="000000"/>
                <w:szCs w:val="21"/>
              </w:rPr>
              <w:t>营业执照代码编号</w:t>
            </w:r>
            <w:r>
              <w:rPr>
                <w:rFonts w:hint="eastAsia"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lang w:val="en-US" w:eastAsia="zh-CN"/>
              </w:rPr>
              <w:t>91190400</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u w:val="single"/>
                <w:lang w:val="en-US" w:eastAsia="zh-CN"/>
              </w:rPr>
              <w:t>MA0GC99Q1L</w:t>
            </w:r>
            <w:r>
              <w:rPr>
                <w:rFonts w:asciiTheme="minorEastAsia" w:hAnsiTheme="minorEastAsia" w:eastAsiaTheme="minorEastAsia"/>
                <w:color w:val="000000"/>
                <w:szCs w:val="21"/>
                <w:u w:val="single"/>
              </w:rPr>
              <w:t xml:space="preserve">   </w:t>
            </w:r>
            <w:r>
              <w:rPr>
                <w:rFonts w:hint="eastAsia" w:asciiTheme="minorEastAsia" w:hAnsiTheme="minorEastAsia" w:eastAsiaTheme="minorEastAsia"/>
                <w:color w:val="000000"/>
                <w:szCs w:val="21"/>
              </w:rPr>
              <w:t>； 法人代表，</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lang w:val="en-US" w:eastAsia="zh-CN"/>
              </w:rPr>
              <w:t xml:space="preserve">王翠翠 </w:t>
            </w:r>
            <w:r>
              <w:rPr>
                <w:rFonts w:hint="eastAsia" w:asciiTheme="minorEastAsia" w:hAnsiTheme="minorEastAsia" w:eastAsiaTheme="minorEastAsia"/>
                <w:color w:val="000000"/>
                <w:szCs w:val="21"/>
              </w:rPr>
              <w:t>：</w:t>
            </w:r>
            <w:r>
              <w:rPr>
                <w:rFonts w:hint="eastAsia" w:cs="宋体" w:asciiTheme="minorEastAsia" w:hAnsiTheme="minorEastAsia" w:eastAsiaTheme="minorEastAsia"/>
                <w:szCs w:val="21"/>
                <w:u w:val="single"/>
              </w:rPr>
              <w:t>20</w:t>
            </w:r>
            <w:r>
              <w:rPr>
                <w:rFonts w:hint="eastAsia" w:cs="宋体" w:asciiTheme="minorEastAsia" w:hAnsiTheme="minorEastAsia" w:eastAsiaTheme="minorEastAsia"/>
                <w:szCs w:val="21"/>
                <w:u w:val="single"/>
                <w:lang w:val="en-US" w:eastAsia="zh-CN"/>
              </w:rPr>
              <w:t>21</w:t>
            </w:r>
            <w:r>
              <w:rPr>
                <w:rFonts w:hint="eastAsia" w:cs="宋体" w:asciiTheme="minorEastAsia" w:hAnsiTheme="minorEastAsia" w:eastAsiaTheme="minorEastAsia"/>
                <w:szCs w:val="21"/>
                <w:u w:val="single"/>
              </w:rPr>
              <w:t>年</w:t>
            </w:r>
            <w:r>
              <w:rPr>
                <w:rFonts w:hint="eastAsia" w:cs="宋体" w:asciiTheme="minorEastAsia" w:hAnsiTheme="minorEastAsia" w:eastAsiaTheme="minorEastAsia"/>
                <w:szCs w:val="21"/>
                <w:u w:val="single"/>
                <w:lang w:val="en-US" w:eastAsia="zh-CN"/>
              </w:rPr>
              <w:t>5</w:t>
            </w:r>
            <w:r>
              <w:rPr>
                <w:rFonts w:hint="eastAsia" w:cs="宋体" w:asciiTheme="minorEastAsia" w:hAnsiTheme="minorEastAsia" w:eastAsiaTheme="minorEastAsia"/>
                <w:szCs w:val="21"/>
                <w:u w:val="single"/>
              </w:rPr>
              <w:t>月</w:t>
            </w:r>
            <w:r>
              <w:rPr>
                <w:rFonts w:hint="eastAsia" w:cs="宋体" w:asciiTheme="minorEastAsia" w:hAnsiTheme="minorEastAsia" w:eastAsiaTheme="minorEastAsia"/>
                <w:szCs w:val="21"/>
                <w:u w:val="single"/>
                <w:lang w:val="en-US" w:eastAsia="zh-CN"/>
              </w:rPr>
              <w:t>18</w:t>
            </w:r>
            <w:r>
              <w:rPr>
                <w:rFonts w:hint="eastAsia" w:cs="宋体" w:asciiTheme="minorEastAsia" w:hAnsiTheme="minorEastAsia" w:eastAsiaTheme="minorEastAsia"/>
                <w:szCs w:val="21"/>
                <w:u w:val="single"/>
              </w:rPr>
              <w:t xml:space="preserve">日至 </w:t>
            </w:r>
            <w:r>
              <w:rPr>
                <w:rFonts w:hint="eastAsia" w:cs="宋体" w:asciiTheme="minorEastAsia" w:hAnsiTheme="minorEastAsia" w:eastAsiaTheme="minorEastAsia"/>
                <w:szCs w:val="21"/>
                <w:u w:val="single"/>
                <w:lang w:val="en-US" w:eastAsia="zh-CN"/>
              </w:rPr>
              <w:t>2041年5月17鈤</w:t>
            </w:r>
            <w:r>
              <w:rPr>
                <w:rFonts w:asciiTheme="minorEastAsia" w:hAnsiTheme="minorEastAsia" w:eastAsiaTheme="minorEastAsia"/>
                <w:color w:val="000000"/>
                <w:szCs w:val="21"/>
                <w:u w:val="single"/>
              </w:rPr>
              <w:t xml:space="preserve"> </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注册地址：</w:t>
            </w:r>
            <w:bookmarkStart w:id="0" w:name="注册地址"/>
            <w:r>
              <w:rPr>
                <w:rFonts w:asciiTheme="minorEastAsia" w:hAnsiTheme="minorEastAsia" w:eastAsiaTheme="minorEastAsia"/>
                <w:sz w:val="20"/>
              </w:rPr>
              <w:t>河北省邯郸市魏县经济开发区高科技孵化园4号厂房</w:t>
            </w:r>
            <w:bookmarkEnd w:id="0"/>
            <w:r>
              <w:rPr>
                <w:rFonts w:hint="eastAsia" w:cs="宋体" w:asciiTheme="minorEastAsia" w:hAnsiTheme="minorEastAsia" w:eastAsiaTheme="minorEastAsia"/>
                <w:szCs w:val="21"/>
              </w:rPr>
              <w:t>；经营地址：</w:t>
            </w:r>
            <w:r>
              <w:rPr>
                <w:rFonts w:asciiTheme="minorEastAsia" w:hAnsiTheme="minorEastAsia" w:eastAsiaTheme="minorEastAsia"/>
                <w:sz w:val="20"/>
              </w:rPr>
              <w:t>河北省邯郸市魏县经济开发区高科技孵化园4号厂房</w:t>
            </w:r>
            <w:r>
              <w:rPr>
                <w:rFonts w:hint="eastAsia" w:cs="宋体" w:asciiTheme="minorEastAsia" w:hAnsiTheme="minorEastAsia" w:eastAsiaTheme="minorEastAsia"/>
                <w:szCs w:val="21"/>
              </w:rPr>
              <w:t>与上报地址一致。</w:t>
            </w:r>
          </w:p>
          <w:p>
            <w:pPr>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营业执照经营范围：</w:t>
            </w:r>
            <w:r>
              <w:rPr>
                <w:rFonts w:hint="eastAsia" w:asciiTheme="minorEastAsia" w:hAnsiTheme="minorEastAsia" w:eastAsiaTheme="minorEastAsia"/>
                <w:color w:val="000000"/>
                <w:szCs w:val="21"/>
                <w:u w:val="none"/>
                <w:lang w:val="en-US" w:eastAsia="zh-CN"/>
              </w:rPr>
              <w:t>食品、保健品</w:t>
            </w:r>
            <w:r>
              <w:rPr>
                <w:rFonts w:hint="eastAsia" w:cs="宋体" w:asciiTheme="minorEastAsia" w:hAnsiTheme="minorEastAsia" w:eastAsiaTheme="minorEastAsia"/>
                <w:szCs w:val="21"/>
                <w:u w:val="none"/>
                <w:lang w:val="en-US" w:eastAsia="zh-CN"/>
              </w:rPr>
              <w:t>、</w:t>
            </w:r>
            <w:r>
              <w:rPr>
                <w:sz w:val="20"/>
              </w:rPr>
              <w:t>固体饮料、</w:t>
            </w:r>
            <w:r>
              <w:rPr>
                <w:rFonts w:hint="eastAsia"/>
                <w:sz w:val="20"/>
                <w:lang w:val="en-US" w:eastAsia="zh-CN"/>
              </w:rPr>
              <w:t>乳制品、食品添加剂、</w:t>
            </w:r>
            <w:r>
              <w:rPr>
                <w:sz w:val="20"/>
              </w:rPr>
              <w:t>糖果、代用茶、蜂产品、即食谷物粉、乳酸菌菌粉的生</w:t>
            </w:r>
            <w:r>
              <w:rPr>
                <w:rFonts w:hint="eastAsia"/>
                <w:sz w:val="20"/>
                <w:lang w:val="en-US" w:eastAsia="zh-CN"/>
              </w:rPr>
              <w:t>产</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u w:val="single"/>
                <w:lang w:eastAsia="zh-CN"/>
              </w:rPr>
              <w:t>（</w:t>
            </w:r>
            <w:r>
              <w:rPr>
                <w:rFonts w:hint="eastAsia" w:cs="宋体" w:asciiTheme="minorEastAsia" w:hAnsiTheme="minorEastAsia" w:eastAsiaTheme="minorEastAsia"/>
                <w:szCs w:val="21"/>
                <w:u w:val="single"/>
                <w:lang w:val="en-US" w:eastAsia="zh-CN"/>
              </w:rPr>
              <w:t>依法需经批准的项目，经相关部门批准后方可开展经营活动</w:t>
            </w:r>
            <w:r>
              <w:rPr>
                <w:rFonts w:hint="eastAsia" w:cs="宋体" w:asciiTheme="minorEastAsia" w:hAnsiTheme="minorEastAsia" w:eastAsiaTheme="minorEastAsia"/>
                <w:szCs w:val="21"/>
                <w:u w:val="single"/>
                <w:lang w:eastAsia="zh-CN"/>
              </w:rPr>
              <w:t>）</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认证范围确定为：</w:t>
            </w:r>
          </w:p>
          <w:p>
            <w:pPr>
              <w:spacing w:line="280" w:lineRule="exact"/>
              <w:ind w:firstLine="420" w:firstLineChars="200"/>
              <w:rPr>
                <w:sz w:val="20"/>
              </w:rPr>
            </w:pPr>
            <w:bookmarkStart w:id="1" w:name="审核范围"/>
            <w:r>
              <w:rPr>
                <w:rFonts w:cs="宋体" w:asciiTheme="minorEastAsia" w:hAnsiTheme="minorEastAsia" w:eastAsiaTheme="minorEastAsia"/>
                <w:szCs w:val="21"/>
              </w:rPr>
              <w:t>Q：</w:t>
            </w:r>
            <w:bookmarkEnd w:id="1"/>
            <w:r>
              <w:rPr>
                <w:sz w:val="20"/>
              </w:rPr>
              <w:t>固体饮料、糖果、代用茶、蜂产品、即食谷物粉、乳酸菌菌粉的生</w:t>
            </w:r>
          </w:p>
          <w:p>
            <w:pPr>
              <w:spacing w:line="280" w:lineRule="exact"/>
              <w:ind w:firstLine="400" w:firstLineChars="200"/>
              <w:rPr>
                <w:sz w:val="20"/>
              </w:rPr>
            </w:pP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认证范围在许可的营业执照经营范围内。</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公司有管理层、办公室 、生产科、供销科、质检科</w:t>
            </w:r>
            <w:r>
              <w:rPr>
                <w:rFonts w:hint="eastAsia" w:cs="宋体" w:asciiTheme="minorEastAsia" w:hAnsiTheme="minorEastAsia" w:eastAsiaTheme="minorEastAsia"/>
                <w:szCs w:val="21"/>
              </w:rPr>
              <w:t>。各部门职责已确定并在手册中明确、发布、实施。</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认证主管部门：</w:t>
            </w:r>
            <w:r>
              <w:rPr>
                <w:rFonts w:hint="eastAsia" w:cs="宋体" w:asciiTheme="minorEastAsia" w:hAnsiTheme="minorEastAsia" w:eastAsiaTheme="minorEastAsia"/>
                <w:szCs w:val="21"/>
                <w:lang w:val="en-US" w:eastAsia="zh-CN"/>
              </w:rPr>
              <w:t>办公室</w:t>
            </w:r>
          </w:p>
          <w:p>
            <w:pPr>
              <w:spacing w:line="280" w:lineRule="exact"/>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 xml:space="preserve"> 2021.11.1</w:t>
            </w:r>
            <w:r>
              <w:rPr>
                <w:rFonts w:hint="eastAsia" w:cs="宋体" w:asciiTheme="minorEastAsia" w:hAnsiTheme="minorEastAsia" w:eastAsiaTheme="minorEastAsia"/>
                <w:szCs w:val="21"/>
              </w:rPr>
              <w:t>总经理确定与公司管理目标和战略方向相关并影响实现管理体系预期结果的各种内部因素</w:t>
            </w:r>
            <w:r>
              <w:rPr>
                <w:rFonts w:hint="eastAsia" w:cs="宋体" w:asciiTheme="minorEastAsia" w:hAnsiTheme="minorEastAsia" w:eastAsiaTheme="minorEastAsia"/>
                <w:szCs w:val="21"/>
                <w:lang w:eastAsia="zh-CN"/>
              </w:rPr>
              <w:t>：</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战略环境</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责任环境</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协调环境</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人才环境</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内控环境</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激励环境等</w:t>
            </w:r>
          </w:p>
          <w:p>
            <w:pPr>
              <w:spacing w:line="280" w:lineRule="exact"/>
              <w:ind w:firstLine="420" w:firstLineChars="200"/>
              <w:rPr>
                <w:rFonts w:cs="宋体" w:asciiTheme="minorEastAsia" w:hAnsiTheme="minorEastAsia" w:eastAsiaTheme="minorEastAsia"/>
                <w:sz w:val="24"/>
                <w:szCs w:val="24"/>
              </w:rPr>
            </w:pPr>
            <w:r>
              <w:rPr>
                <w:rFonts w:hint="eastAsia" w:cs="宋体" w:asciiTheme="minorEastAsia" w:hAnsiTheme="minorEastAsia" w:eastAsiaTheme="minorEastAsia"/>
                <w:szCs w:val="21"/>
              </w:rPr>
              <w:t>外部因素（经营环境分析</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能力环境分析</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行业壁垒分析</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竞争对手分析</w:t>
            </w:r>
            <w:r>
              <w:rPr>
                <w:rFonts w:hint="eastAsia" w:cs="宋体" w:asciiTheme="minorEastAsia" w:hAnsiTheme="minorEastAsia" w:eastAsiaTheme="minorEastAsia"/>
                <w:szCs w:val="21"/>
                <w:lang w:eastAsia="zh-CN"/>
              </w:rPr>
              <w:t>等</w:t>
            </w:r>
            <w:r>
              <w:rPr>
                <w:rFonts w:hint="eastAsia" w:cs="宋体" w:asciiTheme="minorEastAsia" w:hAnsiTheme="minorEastAsia" w:eastAsiaTheme="minorEastAsia"/>
                <w:szCs w:val="21"/>
              </w:rPr>
              <w:t>）。这些因素包括了需要考虑的正面和负面因素或条件。公司业务部根据公司销售等外出人员从市场、客户、网络等搜集到的信息并结合公司自身业务运作情况进行分析，通过分析对这些内部和外部因素的相关信息进行监视和评审以确保其充分和适宜。</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理解相关方的需求和期望</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4.2</w:t>
            </w:r>
          </w:p>
          <w:p>
            <w:pPr>
              <w:spacing w:line="280" w:lineRule="exact"/>
              <w:rPr>
                <w:rFonts w:cs="宋体" w:asciiTheme="minorEastAsia" w:hAnsiTheme="minorEastAsia" w:eastAsiaTheme="minorEastAsia"/>
                <w:sz w:val="24"/>
                <w:szCs w:val="24"/>
              </w:rPr>
            </w:pPr>
          </w:p>
        </w:tc>
        <w:tc>
          <w:tcPr>
            <w:tcW w:w="11223" w:type="dxa"/>
            <w:vAlign w:val="center"/>
          </w:tcPr>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为此确定了：与管理体系有关的相关方，公司特别是关注外部供方和顾客；这些相关方的要求；这些要求和期望中哪些会成为合规义务，公司对这些相关方及其要求的相关信息进行监视和评审，以便于理解和持续满足相关方的需求和期望。</w:t>
            </w:r>
          </w:p>
          <w:p>
            <w:pPr>
              <w:spacing w:line="280" w:lineRule="exact"/>
              <w:ind w:firstLine="420" w:firstLineChars="200"/>
              <w:rPr>
                <w:rFonts w:cs="宋体" w:asciiTheme="minorEastAsia" w:hAnsiTheme="minorEastAsia" w:eastAsiaTheme="minorEastAsia"/>
                <w:sz w:val="24"/>
                <w:szCs w:val="24"/>
              </w:rPr>
            </w:pPr>
            <w:r>
              <w:rPr>
                <w:rFonts w:hint="eastAsia" w:cs="宋体" w:asciiTheme="minorEastAsia" w:hAnsiTheme="minorEastAsia" w:eastAsiaTheme="minorEastAsia"/>
                <w:szCs w:val="21"/>
              </w:rPr>
              <w:t>公司理解相关方的需求和期望，建立了管理方针和目标并分解落实，以满足相关方的要求并争取做到更高的期望值。</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确定管理体系的范围</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4.3</w:t>
            </w:r>
          </w:p>
          <w:p>
            <w:pPr>
              <w:spacing w:line="280" w:lineRule="exact"/>
              <w:rPr>
                <w:rFonts w:cs="宋体" w:asciiTheme="minorEastAsia" w:hAnsiTheme="minorEastAsia" w:eastAsiaTheme="minorEastAsia"/>
                <w:sz w:val="24"/>
                <w:szCs w:val="24"/>
              </w:rPr>
            </w:pPr>
          </w:p>
        </w:tc>
        <w:tc>
          <w:tcPr>
            <w:tcW w:w="11223" w:type="dxa"/>
            <w:vAlign w:val="center"/>
          </w:tcPr>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确定管理体系范围时考虑内容：各种内部和外部因素；相关方的要求，包括相关合规义务；组织的活动、产品和产品；其组织单元、职能和物理边界。</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公司管理体系范围确定为：</w:t>
            </w:r>
          </w:p>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eastAsiaTheme="minorEastAsia"/>
                <w:u w:val="none"/>
                <w:lang w:val="en-US" w:eastAsia="zh-CN"/>
              </w:rPr>
              <w:t xml:space="preserve"> </w:t>
            </w:r>
            <w:r>
              <w:rPr>
                <w:rFonts w:hint="eastAsia" w:cs="宋体" w:asciiTheme="minorEastAsia" w:hAnsiTheme="minorEastAsia" w:eastAsiaTheme="minorEastAsia"/>
                <w:szCs w:val="21"/>
              </w:rPr>
              <w:t>其</w:t>
            </w:r>
            <w:r>
              <w:rPr>
                <w:sz w:val="20"/>
              </w:rPr>
              <w:t>固体饮料、糖果、代用茶、蜂产品、即食谷物粉、乳酸菌菌粉的生产</w:t>
            </w:r>
            <w:r>
              <w:rPr>
                <w:rFonts w:hint="eastAsia" w:cs="宋体" w:asciiTheme="minorEastAsia" w:hAnsiTheme="minorEastAsia" w:eastAsiaTheme="minorEastAsia"/>
                <w:szCs w:val="21"/>
              </w:rPr>
              <w:t>中</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Q8.3条款不适用，</w:t>
            </w:r>
            <w:r>
              <w:rPr>
                <w:rFonts w:cs="宋体" w:asciiTheme="minorEastAsia" w:hAnsiTheme="minorEastAsia" w:eastAsiaTheme="minorEastAsia"/>
                <w:szCs w:val="21"/>
              </w:rPr>
              <w:t>按照标准生产不需再进行设计开发</w:t>
            </w:r>
            <w:r>
              <w:rPr>
                <w:rFonts w:hint="eastAsia" w:cs="宋体" w:asciiTheme="minorEastAsia" w:hAnsiTheme="minorEastAsia" w:eastAsiaTheme="minorEastAsia"/>
                <w:szCs w:val="21"/>
              </w:rPr>
              <w:t>。</w:t>
            </w:r>
          </w:p>
          <w:p>
            <w:pPr>
              <w:spacing w:line="280" w:lineRule="exact"/>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公司外包过程为产品运输。</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管理体系及其过程</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4.4</w:t>
            </w:r>
          </w:p>
          <w:p>
            <w:pPr>
              <w:spacing w:line="280" w:lineRule="exact"/>
              <w:rPr>
                <w:rFonts w:cs="宋体" w:asciiTheme="minorEastAsia" w:hAnsiTheme="minorEastAsia" w:eastAsiaTheme="minorEastAsia"/>
                <w:sz w:val="24"/>
                <w:szCs w:val="24"/>
              </w:rPr>
            </w:pPr>
          </w:p>
        </w:tc>
        <w:tc>
          <w:tcPr>
            <w:tcW w:w="11223" w:type="dxa"/>
            <w:vAlign w:val="center"/>
          </w:tcPr>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公司确定管理体系及其过程；公司确保按照质量管理体系标准要求建立、实施、保持和持续改进质量管理体系，包括所需过程及其相互作用。</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公司确定质量管理体系所需的过程及其在整个组织中的应用。</w:t>
            </w:r>
          </w:p>
          <w:p>
            <w:pPr>
              <w:spacing w:line="280" w:lineRule="exact"/>
              <w:ind w:firstLine="420" w:firstLineChars="200"/>
              <w:rPr>
                <w:rFonts w:cs="宋体" w:asciiTheme="minorEastAsia" w:hAnsiTheme="minorEastAsia" w:eastAsiaTheme="minorEastAsia"/>
                <w:sz w:val="24"/>
                <w:szCs w:val="24"/>
              </w:rPr>
            </w:pPr>
            <w:r>
              <w:rPr>
                <w:rFonts w:hint="eastAsia" w:cs="宋体" w:asciiTheme="minorEastAsia" w:hAnsiTheme="minorEastAsia" w:eastAsiaTheme="minorEastAsia"/>
                <w:szCs w:val="21"/>
              </w:rPr>
              <w:t>公司按照标准建立了文件化的管理体系，编制了管理手册，程序文件、管理制度，形成了相关文件化信息，为过程运行提供了支持，以证实过程按照策划执行。</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5.1</w:t>
            </w:r>
          </w:p>
          <w:p>
            <w:pPr>
              <w:spacing w:line="280" w:lineRule="exact"/>
              <w:rPr>
                <w:rFonts w:cs="宋体" w:asciiTheme="minorEastAsia" w:hAnsiTheme="minorEastAsia" w:eastAsiaTheme="minorEastAsia"/>
                <w:sz w:val="24"/>
                <w:szCs w:val="24"/>
              </w:rPr>
            </w:pPr>
          </w:p>
        </w:tc>
        <w:tc>
          <w:tcPr>
            <w:tcW w:w="11223" w:type="dxa"/>
            <w:vAlign w:val="center"/>
          </w:tcPr>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公司领导主要承诺有：</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a)对质量管理体系的有效性承担责任；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b)确保制定质量管理体系的质量方针和质量目标，并与组织环境和战略方向相一致；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c)确保质量管理体系要求融入与组织的业务过程；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d)促进使用过程方法和基于风险的思维；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e)确保获得质量管理体系所需的资源；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f)沟通有效的质量管理和符合质量管理体系要求的重要性；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g)确保实现质量管理体系的预期结果；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h)促使、指导和支持员工努力提高质量管理体系的有效性</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i)推动改进；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j)支持其他管理者履行其相关领域的职责。</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公司对全体员工进行了产品质量以及顾客关注焦点的宣传和培训，制定了管理文件和管理目标并按规定进行了管理评审，该公司的管理体系基本得到了落实。管理层通过制定方针和目标并通过会议、文件、培训等形式，要求员工理解企业的方针目标，以及遵守法律法规的重要性及顾客满意的重要性，并形成制度化，强调企业实施管理体系的重要性。资源提供充分并通过定期进行管理评审发现过程中存在的问题并加以改进，承诺基本有效。定期检查落实的情况，</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承诺基本实现，没有违反的情况发生。</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公司管理体系通过内审、管评及实施不符合纠正、改进措施等方法来完善和持续发展公司的管理体系。</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方针</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5.2</w:t>
            </w:r>
          </w:p>
          <w:p>
            <w:pPr>
              <w:snapToGrid w:val="0"/>
              <w:spacing w:line="280" w:lineRule="exact"/>
              <w:rPr>
                <w:rFonts w:asciiTheme="minorEastAsia" w:hAnsiTheme="minorEastAsia" w:eastAsiaTheme="minorEastAsia"/>
                <w:szCs w:val="21"/>
              </w:rPr>
            </w:pPr>
          </w:p>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 w:val="24"/>
                <w:szCs w:val="24"/>
              </w:rPr>
            </w:pPr>
          </w:p>
        </w:tc>
        <w:tc>
          <w:tcPr>
            <w:tcW w:w="11223" w:type="dxa"/>
            <w:vAlign w:val="center"/>
          </w:tcPr>
          <w:p>
            <w:pPr>
              <w:snapToGrid w:val="0"/>
              <w:jc w:val="both"/>
              <w:rPr>
                <w:rFonts w:hint="eastAsia" w:ascii="宋体" w:hAnsi="宋体" w:eastAsia="宋体" w:cs="宋体"/>
                <w:b/>
                <w:kern w:val="0"/>
                <w:sz w:val="24"/>
                <w:szCs w:val="24"/>
              </w:rPr>
            </w:pPr>
            <w:r>
              <w:rPr>
                <w:rFonts w:hint="eastAsia" w:cs="宋体" w:asciiTheme="minorEastAsia" w:hAnsiTheme="minorEastAsia" w:eastAsiaTheme="minorEastAsia"/>
                <w:szCs w:val="21"/>
              </w:rPr>
              <w:t>公司</w:t>
            </w:r>
            <w:r>
              <w:rPr>
                <w:rFonts w:cs="宋体" w:asciiTheme="minorEastAsia" w:hAnsiTheme="minorEastAsia" w:eastAsiaTheme="minorEastAsia"/>
                <w:szCs w:val="21"/>
              </w:rPr>
              <w:t>方针</w:t>
            </w:r>
            <w:r>
              <w:rPr>
                <w:rFonts w:hint="eastAsia" w:cs="宋体" w:asciiTheme="minorEastAsia" w:hAnsiTheme="minorEastAsia" w:eastAsiaTheme="minorEastAsia"/>
                <w:szCs w:val="21"/>
              </w:rPr>
              <w:t>：</w:t>
            </w:r>
          </w:p>
          <w:p>
            <w:pPr>
              <w:snapToGrid w:val="0"/>
              <w:jc w:val="both"/>
              <w:rPr>
                <w:rFonts w:hint="eastAsia" w:cs="宋体" w:asciiTheme="minorEastAsia" w:hAnsiTheme="minorEastAsia" w:eastAsiaTheme="minorEastAsia"/>
                <w:szCs w:val="21"/>
              </w:rPr>
            </w:pP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科技为先</w:t>
            </w:r>
            <w:r>
              <w:rPr>
                <w:rFonts w:hint="eastAsia" w:ascii="宋体" w:hAnsi="宋体" w:eastAsia="宋体" w:cs="宋体"/>
                <w:b/>
                <w:spacing w:val="10"/>
                <w:sz w:val="24"/>
                <w:szCs w:val="24"/>
              </w:rPr>
              <w:t xml:space="preserve">     </w:t>
            </w:r>
            <w:r>
              <w:rPr>
                <w:rFonts w:hint="eastAsia" w:ascii="宋体" w:hAnsi="宋体" w:eastAsia="宋体" w:cs="宋体"/>
                <w:b/>
                <w:spacing w:val="10"/>
                <w:sz w:val="24"/>
                <w:szCs w:val="24"/>
                <w:lang w:val="en-US" w:eastAsia="zh-CN"/>
              </w:rPr>
              <w:t>以质为本</w:t>
            </w:r>
            <w:r>
              <w:rPr>
                <w:rFonts w:hint="eastAsia" w:ascii="宋体" w:hAnsi="宋体" w:eastAsia="宋体" w:cs="宋体"/>
                <w:b/>
                <w:spacing w:val="10"/>
                <w:sz w:val="24"/>
                <w:szCs w:val="24"/>
              </w:rPr>
              <w:t xml:space="preserve">    持续改进</w:t>
            </w:r>
            <w:r>
              <w:rPr>
                <w:rFonts w:hint="eastAsia" w:ascii="宋体" w:hAnsi="宋体" w:eastAsia="宋体" w:cs="宋体"/>
                <w:b/>
                <w:kern w:val="0"/>
                <w:sz w:val="24"/>
                <w:szCs w:val="24"/>
              </w:rPr>
              <w:t>”</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总经理对方针内涵的理解；方针能为制定目标提供框架，方针基本符合标准的要求。</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总经理用会议、文件、宣传栏或资料等方法确保管理方针传达给所有为公司工作或代表公司的人员或相关方，并理解得到贯彻。</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每年结合管理评审对方针的持续适宜性进行了评审继续保持。</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3"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组织的岗位、职责和权限</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5.3</w:t>
            </w:r>
          </w:p>
          <w:p>
            <w:pPr>
              <w:spacing w:line="280" w:lineRule="exact"/>
              <w:rPr>
                <w:rFonts w:cs="宋体" w:asciiTheme="minorEastAsia" w:hAnsiTheme="minorEastAsia" w:eastAsiaTheme="minorEastAsia"/>
                <w:sz w:val="24"/>
                <w:szCs w:val="24"/>
              </w:rPr>
            </w:pPr>
          </w:p>
        </w:tc>
        <w:tc>
          <w:tcPr>
            <w:tcW w:w="11223" w:type="dxa"/>
            <w:vAlign w:val="center"/>
          </w:tcPr>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公司组织结构设置了管理层</w:t>
            </w:r>
            <w:r>
              <w:rPr>
                <w:rFonts w:hint="eastAsia" w:cs="宋体" w:asciiTheme="minorEastAsia" w:hAnsiTheme="minorEastAsia" w:eastAsiaTheme="minorEastAsia"/>
                <w:szCs w:val="21"/>
                <w:lang w:eastAsia="zh-CN"/>
              </w:rPr>
              <w:t>办公室、生产科、供销科、质检科</w:t>
            </w:r>
            <w:r>
              <w:rPr>
                <w:rFonts w:hint="eastAsia" w:cs="宋体" w:asciiTheme="minorEastAsia" w:hAnsiTheme="minorEastAsia" w:eastAsiaTheme="minorEastAsia"/>
                <w:szCs w:val="21"/>
              </w:rPr>
              <w:t>各部门职责、权限和相互关系文件化，通过会议、培训、文件确保各相关部门及人员明确。</w:t>
            </w:r>
          </w:p>
          <w:p>
            <w:pPr>
              <w:spacing w:line="360" w:lineRule="auto"/>
              <w:ind w:firstLine="420" w:firstLineChars="2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公司建立、实施和保持公司管理体系所需过程，</w:t>
            </w:r>
            <w:r>
              <w:rPr>
                <w:rFonts w:hint="eastAsia" w:cs="宋体" w:asciiTheme="minorEastAsia" w:hAnsiTheme="minorEastAsia" w:eastAsiaTheme="minorEastAsia"/>
                <w:szCs w:val="21"/>
                <w:lang w:eastAsia="zh-CN"/>
              </w:rPr>
              <w:t>总经理的职责权限为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a、制定质量方针，质量目标，主持管理评审，负责《质量手册》的审批。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b、组织实施质量管理体系策划，设立与质量管理体系相适应的组织结构，本公司的组织结构及部门职责的确定，</w:t>
            </w:r>
            <w:r>
              <w:rPr>
                <w:rFonts w:hint="eastAsia" w:ascii="宋体" w:hAnsi="宋体" w:eastAsia="宋体" w:cs="宋体"/>
                <w:sz w:val="24"/>
                <w:szCs w:val="24"/>
                <w:lang w:eastAsia="zh-CN"/>
              </w:rPr>
              <w:t>办公室</w:t>
            </w:r>
            <w:r>
              <w:rPr>
                <w:rFonts w:hint="eastAsia" w:ascii="宋体" w:hAnsi="宋体" w:eastAsia="宋体" w:cs="宋体"/>
                <w:sz w:val="24"/>
                <w:szCs w:val="24"/>
              </w:rPr>
              <w:t>主任的任命。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c、为质量管理体系的建立、实施、保持和持续改进提供必要的资源。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d、向全体员工宣传满足顾客要求和法律、法规要求的重要性，通过质量管理体系的有效实施和持续改进，增强满足顾客的要求。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e、负责贯彻国家法律法规、方针政策，领导本公司质量管理体系有效运行并持续改进，对本公司提供满足顾客和适用法律法规要求的产品全面负责。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f、负责确定管理人员的入职要求，培训计划的审批。</w:t>
            </w:r>
          </w:p>
          <w:p>
            <w:pPr>
              <w:pStyle w:val="20"/>
              <w:numPr>
                <w:ilvl w:val="0"/>
                <w:numId w:val="0"/>
              </w:numPr>
              <w:spacing w:line="280" w:lineRule="exact"/>
              <w:rPr>
                <w:rFonts w:cs="宋体" w:asciiTheme="minorEastAsia" w:hAnsiTheme="minorEastAsia" w:eastAsiaTheme="minorEastAsia"/>
                <w:sz w:val="24"/>
                <w:szCs w:val="24"/>
              </w:rPr>
            </w:pP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应对风险和机遇的措施</w:t>
            </w:r>
          </w:p>
          <w:p>
            <w:pPr>
              <w:spacing w:line="280" w:lineRule="exact"/>
              <w:rPr>
                <w:rFonts w:cs="宋体" w:asciiTheme="minorEastAsia" w:hAnsiTheme="minorEastAsia" w:eastAsiaTheme="minorEastAsia"/>
                <w:sz w:val="24"/>
                <w:szCs w:val="24"/>
              </w:rPr>
            </w:pPr>
          </w:p>
        </w:tc>
        <w:tc>
          <w:tcPr>
            <w:tcW w:w="1019"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6.1</w:t>
            </w:r>
          </w:p>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Cs w:val="21"/>
              </w:rPr>
            </w:pPr>
          </w:p>
        </w:tc>
        <w:tc>
          <w:tcPr>
            <w:tcW w:w="11223" w:type="dxa"/>
            <w:vAlign w:val="center"/>
          </w:tcPr>
          <w:p>
            <w:pPr>
              <w:spacing w:line="480" w:lineRule="auto"/>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办公室</w:t>
            </w:r>
            <w:r>
              <w:rPr>
                <w:rFonts w:hint="eastAsia" w:cs="宋体" w:asciiTheme="minorEastAsia" w:hAnsiTheme="minorEastAsia" w:eastAsiaTheme="minorEastAsia"/>
                <w:szCs w:val="21"/>
              </w:rPr>
              <w:t>负责组织公司风险和机遇识别和控制措施制定，建立并执</w:t>
            </w:r>
            <w:r>
              <w:rPr>
                <w:rFonts w:hint="eastAsia" w:cs="宋体" w:asciiTheme="minorEastAsia" w:hAnsiTheme="minorEastAsia" w:eastAsiaTheme="minorEastAsia"/>
                <w:color w:val="000000" w:themeColor="text1"/>
                <w:szCs w:val="21"/>
              </w:rPr>
              <w:t>行</w:t>
            </w:r>
            <w:r>
              <w:rPr>
                <w:rFonts w:hint="eastAsia" w:cs="宋体" w:asciiTheme="minorEastAsia" w:hAnsiTheme="minorEastAsia" w:eastAsiaTheme="minorEastAsia"/>
                <w:color w:val="000000" w:themeColor="text1"/>
                <w:szCs w:val="21"/>
                <w:lang w:eastAsia="zh-CN"/>
              </w:rPr>
              <w:t>《</w:t>
            </w:r>
            <w:r>
              <w:rPr>
                <w:rFonts w:hint="eastAsia" w:ascii="宋体" w:hAnsi="宋体" w:eastAsia="宋体" w:cs="宋体"/>
                <w:sz w:val="24"/>
                <w:szCs w:val="24"/>
              </w:rPr>
              <w:t>风险和机遇的应对控制程序</w:t>
            </w:r>
            <w:r>
              <w:rPr>
                <w:rFonts w:hint="eastAsia" w:cs="宋体" w:asciiTheme="minorEastAsia" w:hAnsiTheme="minorEastAsia" w:eastAsiaTheme="minorEastAsia"/>
                <w:color w:val="000000" w:themeColor="text1"/>
                <w:szCs w:val="21"/>
                <w:lang w:eastAsia="zh-CN"/>
              </w:rPr>
              <w:t>》</w:t>
            </w:r>
            <w:r>
              <w:rPr>
                <w:rFonts w:hint="eastAsia" w:ascii="宋体" w:hAnsi="宋体" w:eastAsia="宋体" w:cs="宋体"/>
                <w:sz w:val="24"/>
                <w:szCs w:val="24"/>
              </w:rPr>
              <w:t xml:space="preserve">   </w:t>
            </w:r>
            <w:r>
              <w:rPr>
                <w:rFonts w:hint="eastAsia" w:ascii="宋体" w:hAnsi="宋体" w:eastAsia="宋体" w:cs="宋体"/>
                <w:sz w:val="24"/>
                <w:szCs w:val="24"/>
                <w:lang w:eastAsia="zh-CN"/>
              </w:rPr>
              <w:t>ZKLJ</w:t>
            </w:r>
            <w:r>
              <w:rPr>
                <w:rFonts w:hint="eastAsia" w:ascii="宋体" w:hAnsi="宋体" w:eastAsia="宋体" w:cs="宋体"/>
                <w:sz w:val="24"/>
                <w:szCs w:val="24"/>
              </w:rPr>
              <w:t>/CX-03-</w:t>
            </w:r>
            <w:r>
              <w:rPr>
                <w:rFonts w:hint="eastAsia" w:ascii="宋体" w:hAnsi="宋体" w:eastAsia="宋体" w:cs="宋体"/>
                <w:sz w:val="24"/>
                <w:szCs w:val="24"/>
                <w:lang w:eastAsia="zh-CN"/>
              </w:rPr>
              <w:t>2021</w:t>
            </w:r>
          </w:p>
          <w:p>
            <w:pPr>
              <w:spacing w:line="440" w:lineRule="exact"/>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 w:val="18"/>
                <w:szCs w:val="18"/>
                <w:lang w:val="en-US" w:eastAsia="zh-CN"/>
              </w:rPr>
              <w:drawing>
                <wp:anchor distT="0" distB="0" distL="114300" distR="114300" simplePos="0" relativeHeight="251659264" behindDoc="0" locked="0" layoutInCell="1" allowOverlap="1">
                  <wp:simplePos x="0" y="0"/>
                  <wp:positionH relativeFrom="column">
                    <wp:posOffset>6985</wp:posOffset>
                  </wp:positionH>
                  <wp:positionV relativeFrom="paragraph">
                    <wp:posOffset>238125</wp:posOffset>
                  </wp:positionV>
                  <wp:extent cx="1828800" cy="873125"/>
                  <wp:effectExtent l="0" t="0" r="0" b="3175"/>
                  <wp:wrapNone/>
                  <wp:docPr id="1" name="图片 1" descr="1654827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4827516(1)"/>
                          <pic:cNvPicPr>
                            <a:picLocks noChangeAspect="1"/>
                          </pic:cNvPicPr>
                        </pic:nvPicPr>
                        <pic:blipFill>
                          <a:blip r:embed="rId6"/>
                          <a:stretch>
                            <a:fillRect/>
                          </a:stretch>
                        </pic:blipFill>
                        <pic:spPr>
                          <a:xfrm>
                            <a:off x="0" y="0"/>
                            <a:ext cx="1828800" cy="873125"/>
                          </a:xfrm>
                          <a:prstGeom prst="rect">
                            <a:avLst/>
                          </a:prstGeom>
                        </pic:spPr>
                      </pic:pic>
                    </a:graphicData>
                  </a:graphic>
                </wp:anchor>
              </w:drawing>
            </w:r>
            <w:r>
              <w:rPr>
                <w:rFonts w:hint="eastAsia" w:cs="宋体" w:asciiTheme="minorEastAsia" w:hAnsiTheme="minorEastAsia" w:eastAsiaTheme="minorEastAsia"/>
                <w:szCs w:val="21"/>
                <w:lang w:val="en-US" w:eastAsia="zh-CN"/>
              </w:rPr>
              <w:t>查见</w:t>
            </w:r>
            <w:r>
              <w:rPr>
                <w:rFonts w:hint="eastAsia" w:cs="宋体" w:asciiTheme="minorEastAsia" w:hAnsiTheme="minorEastAsia" w:eastAsiaTheme="minorEastAsia"/>
                <w:szCs w:val="21"/>
                <w:lang w:eastAsia="zh-CN"/>
              </w:rPr>
              <w:t>风险因素和机遇分析表，按照部门，对内容、措施、来源及机遇情况进行了分析。</w:t>
            </w:r>
          </w:p>
          <w:p>
            <w:pPr>
              <w:pStyle w:val="2"/>
              <w:rPr>
                <w:rFonts w:hint="eastAsia" w:cs="宋体" w:asciiTheme="minorEastAsia" w:hAnsiTheme="minorEastAsia" w:eastAsiaTheme="minorEastAsia"/>
                <w:szCs w:val="21"/>
                <w:lang w:eastAsia="zh-CN"/>
              </w:rPr>
            </w:pPr>
          </w:p>
          <w:p>
            <w:pPr>
              <w:rPr>
                <w:rFonts w:hint="eastAsia"/>
                <w:lang w:eastAsia="zh-CN"/>
              </w:rPr>
            </w:pPr>
          </w:p>
          <w:p>
            <w:pPr>
              <w:pStyle w:val="20"/>
              <w:numPr>
                <w:ilvl w:val="0"/>
                <w:numId w:val="0"/>
              </w:numPr>
              <w:spacing w:line="280" w:lineRule="exact"/>
              <w:ind w:left="420" w:leftChars="0"/>
              <w:jc w:val="lef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 w:val="18"/>
                <w:szCs w:val="18"/>
                <w:lang w:val="en-US" w:eastAsia="zh-CN"/>
              </w:rPr>
              <w:t xml:space="preserve">  </w:t>
            </w:r>
          </w:p>
          <w:p>
            <w:pPr>
              <w:pStyle w:val="20"/>
              <w:numPr>
                <w:ilvl w:val="0"/>
                <w:numId w:val="0"/>
              </w:numPr>
              <w:spacing w:line="280" w:lineRule="exact"/>
              <w:ind w:left="420" w:leftChars="0"/>
              <w:jc w:val="left"/>
              <w:rPr>
                <w:rFonts w:hint="eastAsia" w:cs="宋体" w:asciiTheme="minorEastAsia" w:hAnsiTheme="minorEastAsia" w:eastAsiaTheme="minorEastAsia"/>
                <w:szCs w:val="21"/>
              </w:rPr>
            </w:pPr>
          </w:p>
          <w:p>
            <w:pPr>
              <w:pStyle w:val="20"/>
              <w:numPr>
                <w:ilvl w:val="0"/>
                <w:numId w:val="0"/>
              </w:numPr>
              <w:spacing w:line="280" w:lineRule="exact"/>
              <w:ind w:left="420" w:leftChars="0"/>
              <w:jc w:val="left"/>
              <w:rPr>
                <w:rFonts w:hint="eastAsia" w:cs="宋体" w:asciiTheme="minorEastAsia" w:hAnsiTheme="minorEastAsia" w:eastAsiaTheme="minorEastAsia"/>
                <w:szCs w:val="21"/>
                <w:lang w:eastAsia="zh-CN"/>
              </w:rPr>
            </w:pPr>
          </w:p>
          <w:p>
            <w:pPr>
              <w:pStyle w:val="20"/>
              <w:numPr>
                <w:ilvl w:val="0"/>
                <w:numId w:val="0"/>
              </w:numPr>
              <w:spacing w:line="280" w:lineRule="exact"/>
              <w:ind w:firstLine="630" w:firstLineChars="300"/>
              <w:jc w:val="left"/>
              <w:rPr>
                <w:rFonts w:cs="宋体" w:asciiTheme="minorEastAsia" w:hAnsiTheme="minorEastAsia" w:eastAsiaTheme="minorEastAsia"/>
                <w:szCs w:val="21"/>
              </w:rPr>
            </w:pPr>
            <w:r>
              <w:rPr>
                <w:rFonts w:hint="eastAsia" w:cs="宋体" w:asciiTheme="minorEastAsia" w:hAnsiTheme="minorEastAsia" w:eastAsiaTheme="minorEastAsia"/>
                <w:szCs w:val="21"/>
              </w:rPr>
              <w:t>制定主要风险和机遇事件的应对措施的要求、评价这些措施有效性的方法。</w:t>
            </w:r>
          </w:p>
          <w:p>
            <w:pPr>
              <w:adjustRightInd w:val="0"/>
              <w:snapToGrid w:val="0"/>
              <w:spacing w:line="360" w:lineRule="auto"/>
              <w:rPr>
                <w:rFonts w:hint="eastAsia" w:ascii="宋体" w:hAnsi="宋体" w:eastAsia="宋体" w:cs="宋体"/>
                <w:sz w:val="24"/>
                <w:szCs w:val="24"/>
              </w:rPr>
            </w:pPr>
            <w:r>
              <w:rPr>
                <w:rFonts w:hint="eastAsia" w:cs="宋体" w:asciiTheme="minorEastAsia" w:hAnsiTheme="minorEastAsia" w:eastAsiaTheme="minorEastAsia"/>
                <w:szCs w:val="21"/>
              </w:rPr>
              <w:t>将需要应对的风险和机遇进行风险分析确定风险级别，在管理体系所确定的</w:t>
            </w:r>
            <w:r>
              <w:rPr>
                <w:rFonts w:hint="eastAsia" w:ascii="宋体" w:hAnsi="宋体" w:eastAsia="宋体" w:cs="宋体"/>
                <w:sz w:val="24"/>
                <w:szCs w:val="24"/>
              </w:rPr>
              <w:t>1、变更进行时应有计划、系统地进行，针对变更后的方向识别风险和机遇</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2、并评价变更的潜在后果。</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3、考虑变更过程中资源的可获得性和需求；</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4、有必要对变更后责任和权限进行分配和必要的补充</w:t>
            </w:r>
            <w:r>
              <w:rPr>
                <w:rFonts w:hint="eastAsia" w:ascii="宋体" w:hAnsi="宋体" w:eastAsia="宋体" w:cs="宋体"/>
                <w:sz w:val="24"/>
                <w:szCs w:val="24"/>
                <w:lang w:eastAsia="zh-CN"/>
              </w:rPr>
              <w:t>。</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过程中，整合制定针对性管理措施。</w:t>
            </w:r>
          </w:p>
        </w:tc>
        <w:tc>
          <w:tcPr>
            <w:tcW w:w="760" w:type="dxa"/>
          </w:tcPr>
          <w:p>
            <w:pPr>
              <w:spacing w:line="320" w:lineRule="exact"/>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07" w:type="dxa"/>
          </w:tcPr>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质量目标</w:t>
            </w:r>
          </w:p>
          <w:p>
            <w:pPr>
              <w:spacing w:line="280" w:lineRule="exact"/>
              <w:rPr>
                <w:rFonts w:asciiTheme="minorEastAsia" w:hAnsiTheme="minorEastAsia" w:eastAsiaTheme="minorEastAsia"/>
              </w:rPr>
            </w:pPr>
          </w:p>
        </w:tc>
        <w:tc>
          <w:tcPr>
            <w:tcW w:w="1019"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6.2</w:t>
            </w:r>
          </w:p>
          <w:p>
            <w:pPr>
              <w:spacing w:line="280" w:lineRule="exact"/>
              <w:rPr>
                <w:rFonts w:asciiTheme="minorEastAsia" w:hAnsiTheme="minorEastAsia" w:eastAsiaTheme="minorEastAsia"/>
                <w:szCs w:val="21"/>
              </w:rPr>
            </w:pPr>
          </w:p>
          <w:p>
            <w:pPr>
              <w:spacing w:line="280" w:lineRule="exact"/>
              <w:rPr>
                <w:rFonts w:asciiTheme="minorEastAsia" w:hAnsiTheme="minorEastAsia" w:eastAsiaTheme="minorEastAsia"/>
              </w:rPr>
            </w:pPr>
          </w:p>
        </w:tc>
        <w:tc>
          <w:tcPr>
            <w:tcW w:w="11223" w:type="dxa"/>
            <w:vAlign w:val="center"/>
          </w:tcPr>
          <w:p>
            <w:pPr>
              <w:spacing w:line="280" w:lineRule="exact"/>
              <w:ind w:firstLine="420" w:firstLineChars="200"/>
            </w:pPr>
            <w:r>
              <w:rPr>
                <w:rFonts w:hint="eastAsia"/>
              </w:rPr>
              <w:t>公司质量目标及质量目标部门分解，明确考核标准、</w:t>
            </w:r>
            <w:r>
              <w:rPr>
                <w:rFonts w:hint="eastAsia"/>
                <w:lang w:eastAsia="zh-CN"/>
              </w:rPr>
              <w:t>频次</w:t>
            </w:r>
            <w:r>
              <w:rPr>
                <w:rFonts w:hint="eastAsia"/>
              </w:rPr>
              <w:t>；</w:t>
            </w:r>
          </w:p>
          <w:p>
            <w:pPr>
              <w:spacing w:line="280" w:lineRule="exact"/>
              <w:ind w:firstLine="420" w:firstLineChars="200"/>
            </w:pPr>
            <w:r>
              <w:rPr>
                <w:rFonts w:hint="eastAsia"/>
              </w:rPr>
              <w:t>公司质量目标：</w:t>
            </w:r>
          </w:p>
          <w:p>
            <w:pPr>
              <w:spacing w:line="280" w:lineRule="exact"/>
              <w:ind w:firstLine="420" w:firstLineChars="200"/>
              <w:rPr>
                <w:rFonts w:hint="eastAsia"/>
              </w:rPr>
            </w:pPr>
            <w:r>
              <w:rPr>
                <w:rFonts w:hint="eastAsia"/>
              </w:rPr>
              <w:t>产品一次检验合格率≥99％</w:t>
            </w:r>
          </w:p>
          <w:p>
            <w:pPr>
              <w:spacing w:line="280" w:lineRule="exact"/>
              <w:ind w:firstLine="420" w:firstLineChars="200"/>
              <w:rPr>
                <w:rFonts w:hint="eastAsia"/>
              </w:rPr>
            </w:pPr>
            <w:r>
              <w:rPr>
                <w:rFonts w:hint="eastAsia"/>
              </w:rPr>
              <w:t>合同履行率100%</w:t>
            </w:r>
          </w:p>
          <w:p>
            <w:pPr>
              <w:spacing w:line="280" w:lineRule="exact"/>
              <w:ind w:firstLine="420" w:firstLineChars="200"/>
              <w:rPr>
                <w:rFonts w:hint="eastAsia"/>
                <w:lang w:val="en-US" w:eastAsia="zh-CN"/>
              </w:rPr>
            </w:pPr>
            <w:r>
              <w:rPr>
                <w:rFonts w:hint="eastAsia"/>
              </w:rPr>
              <w:t>顾客满意度≥90%；</w:t>
            </w:r>
            <w:r>
              <w:rPr>
                <w:rFonts w:hint="eastAsia"/>
                <w:lang w:val="en-US" w:eastAsia="zh-CN"/>
              </w:rPr>
              <w:t xml:space="preserve"> </w:t>
            </w:r>
          </w:p>
          <w:p>
            <w:pPr>
              <w:pStyle w:val="4"/>
              <w:rPr>
                <w:rFonts w:hint="eastAsia"/>
                <w:lang w:val="en-US" w:eastAsia="zh-CN"/>
              </w:rPr>
            </w:pPr>
            <w:r>
              <w:rPr>
                <w:rFonts w:hint="eastAsia"/>
                <w:lang w:val="en-US" w:eastAsia="zh-CN"/>
              </w:rPr>
              <w:t>查见2022年一季度质量目标分解考核记录</w:t>
            </w:r>
          </w:p>
          <w:p>
            <w:pPr>
              <w:ind w:firstLine="420" w:firstLineChars="200"/>
              <w:rPr>
                <w:rFonts w:hint="default"/>
                <w:lang w:val="en-US" w:eastAsia="zh-CN"/>
              </w:rPr>
            </w:pPr>
            <w:r>
              <w:rPr>
                <w:rFonts w:hint="default"/>
                <w:lang w:val="en-US" w:eastAsia="zh-CN"/>
              </w:rPr>
              <w:t>部门</w:t>
            </w:r>
            <w:r>
              <w:rPr>
                <w:rFonts w:hint="default"/>
                <w:lang w:val="en-US" w:eastAsia="zh-CN"/>
              </w:rPr>
              <w:tab/>
            </w:r>
            <w:r>
              <w:rPr>
                <w:rFonts w:hint="eastAsia"/>
                <w:lang w:val="en-US" w:eastAsia="zh-CN"/>
              </w:rPr>
              <w:t xml:space="preserve">         </w:t>
            </w:r>
            <w:r>
              <w:rPr>
                <w:rFonts w:hint="default"/>
                <w:lang w:val="en-US" w:eastAsia="zh-CN"/>
              </w:rPr>
              <w:t>频次</w:t>
            </w:r>
            <w:r>
              <w:rPr>
                <w:rFonts w:hint="default"/>
                <w:lang w:val="en-US" w:eastAsia="zh-CN"/>
              </w:rPr>
              <w:tab/>
            </w:r>
            <w:r>
              <w:rPr>
                <w:rFonts w:hint="eastAsia"/>
                <w:lang w:val="en-US" w:eastAsia="zh-CN"/>
              </w:rPr>
              <w:t xml:space="preserve">                </w:t>
            </w:r>
            <w:r>
              <w:rPr>
                <w:rFonts w:hint="default"/>
                <w:lang w:val="en-US" w:eastAsia="zh-CN"/>
              </w:rPr>
              <w:t>目标设置</w:t>
            </w:r>
            <w:r>
              <w:rPr>
                <w:rFonts w:hint="eastAsia"/>
                <w:lang w:val="en-US" w:eastAsia="zh-CN"/>
              </w:rPr>
              <w:t xml:space="preserve">            </w:t>
            </w:r>
            <w:r>
              <w:rPr>
                <w:rFonts w:hint="default"/>
                <w:lang w:val="en-US" w:eastAsia="zh-CN"/>
              </w:rPr>
              <w:tab/>
            </w:r>
            <w:r>
              <w:rPr>
                <w:rFonts w:hint="default"/>
                <w:lang w:val="en-US" w:eastAsia="zh-CN"/>
              </w:rPr>
              <w:t>考核结果</w:t>
            </w:r>
          </w:p>
          <w:p>
            <w:pPr>
              <w:pStyle w:val="2"/>
              <w:ind w:left="0" w:leftChars="0" w:firstLine="0" w:firstLineChars="0"/>
              <w:rPr>
                <w:rFonts w:hint="default"/>
                <w:lang w:val="en-US" w:eastAsia="zh-CN"/>
              </w:rPr>
            </w:pPr>
            <w:r>
              <w:rPr>
                <w:rFonts w:hint="default"/>
                <w:lang w:val="en-US" w:eastAsia="zh-CN"/>
              </w:rPr>
              <w:drawing>
                <wp:inline distT="0" distB="0" distL="114300" distR="114300">
                  <wp:extent cx="5324475" cy="571500"/>
                  <wp:effectExtent l="0" t="0" r="9525" b="0"/>
                  <wp:docPr id="2" name="图片 2" descr="1654827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4827866(1)"/>
                          <pic:cNvPicPr>
                            <a:picLocks noChangeAspect="1"/>
                          </pic:cNvPicPr>
                        </pic:nvPicPr>
                        <pic:blipFill>
                          <a:blip r:embed="rId7"/>
                          <a:stretch>
                            <a:fillRect/>
                          </a:stretch>
                        </pic:blipFill>
                        <pic:spPr>
                          <a:xfrm>
                            <a:off x="0" y="0"/>
                            <a:ext cx="5324475" cy="571500"/>
                          </a:xfrm>
                          <a:prstGeom prst="rect">
                            <a:avLst/>
                          </a:prstGeom>
                        </pic:spPr>
                      </pic:pic>
                    </a:graphicData>
                  </a:graphic>
                </wp:inline>
              </w:drawing>
            </w:r>
          </w:p>
          <w:p>
            <w:pPr>
              <w:rPr>
                <w:rFonts w:hint="default"/>
                <w:lang w:val="en-US" w:eastAsia="zh-CN"/>
              </w:rPr>
            </w:pPr>
            <w:r>
              <w:rPr>
                <w:rFonts w:hint="eastAsia"/>
                <w:lang w:val="en-US" w:eastAsia="zh-CN"/>
              </w:rPr>
              <w:t>目标军已完成。基本符合。</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变更的策划</w:t>
            </w:r>
          </w:p>
          <w:p>
            <w:pPr>
              <w:spacing w:line="280" w:lineRule="exact"/>
              <w:rPr>
                <w:rFonts w:asciiTheme="minorEastAsia" w:hAnsiTheme="minorEastAsia" w:eastAsiaTheme="minorEastAsia"/>
              </w:rPr>
            </w:pPr>
          </w:p>
        </w:tc>
        <w:tc>
          <w:tcPr>
            <w:tcW w:w="1019"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6.3</w:t>
            </w:r>
          </w:p>
          <w:p>
            <w:pPr>
              <w:spacing w:line="280" w:lineRule="exact"/>
              <w:rPr>
                <w:rFonts w:asciiTheme="minorEastAsia" w:hAnsiTheme="minorEastAsia" w:eastAsiaTheme="minorEastAsia"/>
              </w:rPr>
            </w:pPr>
          </w:p>
        </w:tc>
        <w:tc>
          <w:tcPr>
            <w:tcW w:w="11223" w:type="dxa"/>
            <w:vAlign w:val="center"/>
          </w:tcPr>
          <w:p>
            <w:pPr>
              <w:adjustRightInd w:val="0"/>
              <w:snapToGrid w:val="0"/>
              <w:spacing w:line="360" w:lineRule="auto"/>
              <w:rPr>
                <w:rFonts w:hint="eastAsia"/>
              </w:rPr>
            </w:pPr>
            <w:r>
              <w:rPr>
                <w:rFonts w:hint="eastAsia"/>
                <w:lang w:val="en-US" w:eastAsia="zh-CN"/>
              </w:rPr>
              <w:t>查见公司手册：</w:t>
            </w:r>
            <w:r>
              <w:rPr>
                <w:rFonts w:hint="eastAsia"/>
              </w:rPr>
              <w:t>1、变更进行时应有计划、系统地进行，针对变更后的方向识别风险和机遇</w:t>
            </w:r>
          </w:p>
          <w:p>
            <w:pPr>
              <w:adjustRightInd w:val="0"/>
              <w:snapToGrid w:val="0"/>
              <w:spacing w:line="360" w:lineRule="auto"/>
              <w:rPr>
                <w:rFonts w:hint="eastAsia"/>
              </w:rPr>
            </w:pPr>
            <w:r>
              <w:rPr>
                <w:rFonts w:hint="eastAsia"/>
              </w:rPr>
              <w:t>2、并评价变更的潜在后果。</w:t>
            </w:r>
          </w:p>
          <w:p>
            <w:pPr>
              <w:adjustRightInd w:val="0"/>
              <w:snapToGrid w:val="0"/>
              <w:spacing w:line="360" w:lineRule="auto"/>
              <w:rPr>
                <w:rFonts w:hint="eastAsia"/>
              </w:rPr>
            </w:pPr>
            <w:r>
              <w:rPr>
                <w:rFonts w:hint="eastAsia"/>
              </w:rPr>
              <w:t>3、考虑变更过程中资源的可获得性和需求；</w:t>
            </w:r>
          </w:p>
          <w:p>
            <w:pPr>
              <w:adjustRightInd w:val="0"/>
              <w:snapToGrid w:val="0"/>
              <w:spacing w:line="360" w:lineRule="auto"/>
              <w:rPr>
                <w:rFonts w:hint="eastAsia"/>
              </w:rPr>
            </w:pPr>
            <w:r>
              <w:rPr>
                <w:rFonts w:hint="eastAsia"/>
              </w:rPr>
              <w:t>4、有必要对变更后责任和权限进行分配和必要的补充</w:t>
            </w:r>
            <w:r>
              <w:rPr>
                <w:rFonts w:hint="eastAsia"/>
                <w:lang w:eastAsia="zh-CN"/>
              </w:rPr>
              <w:t>。</w:t>
            </w:r>
          </w:p>
          <w:p>
            <w:pPr>
              <w:spacing w:line="280" w:lineRule="exact"/>
              <w:ind w:firstLine="210" w:firstLineChars="100"/>
              <w:rPr>
                <w:rFonts w:hint="eastAsia"/>
                <w:lang w:eastAsia="zh-CN"/>
              </w:rPr>
            </w:pPr>
            <w:r>
              <w:rPr>
                <w:rFonts w:hint="eastAsia"/>
                <w:lang w:eastAsia="zh-CN"/>
              </w:rPr>
              <w:t>查见</w:t>
            </w:r>
            <w:r>
              <w:rPr>
                <w:rFonts w:hint="eastAsia"/>
                <w:lang w:val="en-US" w:eastAsia="zh-CN"/>
              </w:rPr>
              <w:t>2022.6.9公司</w:t>
            </w:r>
            <w:r>
              <w:rPr>
                <w:rFonts w:hint="eastAsia"/>
                <w:lang w:eastAsia="zh-CN"/>
              </w:rPr>
              <w:t>文件修改申请表</w:t>
            </w:r>
          </w:p>
          <w:p>
            <w:pPr>
              <w:spacing w:line="360" w:lineRule="auto"/>
              <w:rPr>
                <w:rFonts w:hint="eastAsia"/>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质量手册未识别外包过程：产品运输。更改内容</w:t>
            </w:r>
            <w:r>
              <w:rPr>
                <w:rFonts w:hint="eastAsia"/>
              </w:rPr>
              <w:t>对于本公司的外包过程也进行了充分识别，本公司外包过程</w:t>
            </w:r>
            <w:r>
              <w:rPr>
                <w:rFonts w:hint="eastAsia"/>
                <w:lang w:val="en-US" w:eastAsia="zh-CN"/>
              </w:rPr>
              <w:t>为：产品运输</w:t>
            </w:r>
            <w:r>
              <w:rPr>
                <w:rFonts w:hint="eastAsia"/>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2,识别出未列出公司级质量目标的考核结果，更改内容为增加公司级质量目标考核记录</w:t>
            </w:r>
            <w:r>
              <w:rPr>
                <w:rFonts w:hint="eastAsia" w:ascii="宋体" w:hAnsi="宋体" w:eastAsia="宋体" w:cs="宋体"/>
                <w:sz w:val="24"/>
                <w:szCs w:val="24"/>
              </w:rPr>
              <w:t>。</w:t>
            </w:r>
          </w:p>
          <w:p>
            <w:pPr>
              <w:pStyle w:val="2"/>
              <w:numPr>
                <w:ilvl w:val="0"/>
                <w:numId w:val="0"/>
              </w:numPr>
              <w:ind w:leftChars="100"/>
              <w:rPr>
                <w:rFonts w:hint="eastAsia" w:eastAsia="宋体"/>
                <w:lang w:eastAsia="zh-CN"/>
              </w:rPr>
            </w:pPr>
            <w:r>
              <w:rPr>
                <w:rFonts w:hint="eastAsia" w:eastAsia="宋体"/>
                <w:lang w:eastAsia="zh-CN"/>
              </w:rPr>
              <w:drawing>
                <wp:inline distT="0" distB="0" distL="114300" distR="114300">
                  <wp:extent cx="2622550" cy="1765935"/>
                  <wp:effectExtent l="0" t="0" r="6350" b="5715"/>
                  <wp:docPr id="7" name="图片 7" descr="1655083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55083107(1)"/>
                          <pic:cNvPicPr>
                            <a:picLocks noChangeAspect="1"/>
                          </pic:cNvPicPr>
                        </pic:nvPicPr>
                        <pic:blipFill>
                          <a:blip r:embed="rId8"/>
                          <a:stretch>
                            <a:fillRect/>
                          </a:stretch>
                        </pic:blipFill>
                        <pic:spPr>
                          <a:xfrm>
                            <a:off x="0" y="0"/>
                            <a:ext cx="2622550" cy="1765935"/>
                          </a:xfrm>
                          <a:prstGeom prst="rect">
                            <a:avLst/>
                          </a:prstGeom>
                        </pic:spPr>
                      </pic:pic>
                    </a:graphicData>
                  </a:graphic>
                </wp:inline>
              </w:drawing>
            </w:r>
          </w:p>
          <w:p>
            <w:pPr>
              <w:pStyle w:val="2"/>
              <w:numPr>
                <w:ilvl w:val="0"/>
                <w:numId w:val="0"/>
              </w:numPr>
              <w:rPr>
                <w:rFonts w:hint="eastAsia" w:eastAsia="宋体"/>
                <w:lang w:val="en-US" w:eastAsia="zh-CN"/>
              </w:rPr>
            </w:pPr>
            <w:r>
              <w:rPr>
                <w:rFonts w:hint="eastAsia"/>
                <w:lang w:val="en-US" w:eastAsia="zh-CN"/>
              </w:rPr>
              <w:t>变更基本符合。</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707" w:type="dxa"/>
          </w:tcPr>
          <w:p>
            <w:pPr>
              <w:spacing w:line="280" w:lineRule="exact"/>
              <w:rPr>
                <w:rFonts w:cs="Arial" w:asciiTheme="minorEastAsia" w:hAnsiTheme="minorEastAsia" w:eastAsiaTheme="minorEastAsia"/>
                <w:spacing w:val="-6"/>
                <w:szCs w:val="24"/>
              </w:rPr>
            </w:pPr>
            <w:r>
              <w:rPr>
                <w:rFonts w:hint="eastAsia" w:ascii="宋体" w:hAnsi="宋体" w:cs="Arial"/>
                <w:spacing w:val="-6"/>
                <w:szCs w:val="21"/>
              </w:rPr>
              <w:t>资源总则</w:t>
            </w:r>
          </w:p>
        </w:tc>
        <w:tc>
          <w:tcPr>
            <w:tcW w:w="1019" w:type="dxa"/>
          </w:tcPr>
          <w:p>
            <w:pPr>
              <w:spacing w:line="280" w:lineRule="exact"/>
              <w:rPr>
                <w:rFonts w:asciiTheme="minorEastAsia" w:hAnsiTheme="minorEastAsia" w:eastAsiaTheme="minorEastAsia"/>
                <w:szCs w:val="21"/>
              </w:rPr>
            </w:pPr>
          </w:p>
          <w:p>
            <w:pPr>
              <w:spacing w:line="280" w:lineRule="exact"/>
              <w:rPr>
                <w:rFonts w:cs="Arial" w:asciiTheme="minorEastAsia" w:hAnsiTheme="minorEastAsia" w:eastAsiaTheme="minorEastAsia"/>
                <w:spacing w:val="-6"/>
                <w:szCs w:val="24"/>
              </w:rPr>
            </w:pPr>
            <w:r>
              <w:rPr>
                <w:rFonts w:hint="eastAsia" w:asciiTheme="minorEastAsia" w:hAnsiTheme="minorEastAsia" w:eastAsiaTheme="minorEastAsia"/>
                <w:szCs w:val="21"/>
              </w:rPr>
              <w:t>7.1.1</w:t>
            </w:r>
          </w:p>
        </w:tc>
        <w:tc>
          <w:tcPr>
            <w:tcW w:w="11223" w:type="dxa"/>
            <w:vAlign w:val="center"/>
          </w:tcPr>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本公司确定并提供为建立、实施、保持和持续改进质量管理体系所需的资源，包括人力资源、基础设施、资金等。考虑本公司现有内部资源的能力和约束；需要从外部供方获得的资源，目前资源</w:t>
            </w:r>
            <w:r>
              <w:rPr>
                <w:rFonts w:hint="eastAsia" w:cs="宋体" w:asciiTheme="minorEastAsia" w:hAnsiTheme="minorEastAsia" w:eastAsiaTheme="minorEastAsia"/>
                <w:szCs w:val="21"/>
                <w:lang w:val="en-US" w:eastAsia="zh-CN"/>
              </w:rPr>
              <w:t>满足体系要求</w:t>
            </w:r>
            <w:r>
              <w:rPr>
                <w:rFonts w:hint="eastAsia" w:cs="宋体" w:asciiTheme="minorEastAsia" w:hAnsiTheme="minorEastAsia" w:eastAsiaTheme="minorEastAsia"/>
                <w:szCs w:val="21"/>
              </w:rPr>
              <w:t>。</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707" w:type="dxa"/>
          </w:tcPr>
          <w:p>
            <w:pPr>
              <w:spacing w:line="280" w:lineRule="exact"/>
              <w:rPr>
                <w:rFonts w:asciiTheme="minorEastAsia" w:hAnsiTheme="minorEastAsia" w:eastAsiaTheme="minorEastAsia"/>
              </w:rPr>
            </w:pPr>
            <w:r>
              <w:rPr>
                <w:rFonts w:hint="eastAsia" w:ascii="宋体" w:hAnsi="宋体" w:cs="Arial"/>
                <w:spacing w:val="-6"/>
                <w:szCs w:val="21"/>
              </w:rPr>
              <w:t>沟通</w:t>
            </w:r>
          </w:p>
        </w:tc>
        <w:tc>
          <w:tcPr>
            <w:tcW w:w="1019" w:type="dxa"/>
          </w:tcPr>
          <w:p>
            <w:pPr>
              <w:spacing w:line="280" w:lineRule="exact"/>
              <w:rPr>
                <w:rFonts w:asciiTheme="minorEastAsia" w:hAnsiTheme="minorEastAsia" w:eastAsiaTheme="minorEastAsia"/>
              </w:rPr>
            </w:pPr>
            <w:r>
              <w:rPr>
                <w:rFonts w:cs="Arial" w:asciiTheme="minorEastAsia" w:hAnsiTheme="minorEastAsia" w:eastAsiaTheme="minorEastAsia"/>
                <w:spacing w:val="-6"/>
                <w:szCs w:val="24"/>
              </w:rPr>
              <w:t>7.4</w:t>
            </w:r>
          </w:p>
        </w:tc>
        <w:tc>
          <w:tcPr>
            <w:tcW w:w="11223" w:type="dxa"/>
            <w:vAlign w:val="center"/>
          </w:tcPr>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公司明确了职责、工作流程，包括内部沟通和外部沟通的方法和要求。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公司确定了质量管理体系相关的内部和外部沟通，包括：沟通什么；何时沟通；与谁沟通；如何沟通；由谁负责，内外部沟通具体体现在公司内部工作会议、质量会议、员工的培训、公司宣传栏等；</w:t>
            </w:r>
          </w:p>
          <w:p>
            <w:pPr>
              <w:spacing w:line="280" w:lineRule="exact"/>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与外部的沟通具体体现在合同签订、满意度调查。与质检及顾客和供方等进行沟通。</w:t>
            </w:r>
            <w:r>
              <w:rPr>
                <w:rFonts w:hint="eastAsia" w:asciiTheme="minorEastAsia" w:hAnsiTheme="minorEastAsia" w:eastAsiaTheme="minorEastAsia"/>
                <w:szCs w:val="21"/>
                <w:lang w:val="en-US" w:eastAsia="zh-CN"/>
              </w:rPr>
              <w:t>2021.11.1与</w:t>
            </w:r>
          </w:p>
          <w:p>
            <w:pPr>
              <w:pStyle w:val="4"/>
              <w:rPr>
                <w:rFonts w:hint="eastAsia"/>
                <w:lang w:val="en-US" w:eastAsia="zh-CN"/>
              </w:rPr>
            </w:pPr>
            <w:r>
              <w:rPr>
                <w:rFonts w:hint="eastAsia"/>
                <w:lang w:val="en-US" w:eastAsia="zh-CN"/>
              </w:rPr>
              <w:t xml:space="preserve"> 德州蓝力生物技术有限公司</w:t>
            </w:r>
          </w:p>
          <w:p>
            <w:pPr>
              <w:pStyle w:val="4"/>
              <w:rPr>
                <w:rFonts w:hint="eastAsia"/>
                <w:lang w:val="en-US" w:eastAsia="zh-CN"/>
              </w:rPr>
            </w:pPr>
            <w:r>
              <w:rPr>
                <w:rFonts w:hint="eastAsia"/>
                <w:lang w:val="en-US" w:eastAsia="zh-CN"/>
              </w:rPr>
              <w:t>淄博鸿盛环保科技有限公司</w:t>
            </w:r>
          </w:p>
          <w:p>
            <w:pPr>
              <w:pStyle w:val="4"/>
              <w:rPr>
                <w:rFonts w:hint="eastAsia"/>
                <w:lang w:val="en-US" w:eastAsia="zh-CN"/>
              </w:rPr>
            </w:pPr>
            <w:r>
              <w:rPr>
                <w:rFonts w:hint="eastAsia"/>
                <w:lang w:val="en-US" w:eastAsia="zh-CN"/>
              </w:rPr>
              <w:t>内蒙古肽好生物制品有限责任公司</w:t>
            </w:r>
          </w:p>
          <w:p>
            <w:pPr>
              <w:pStyle w:val="4"/>
              <w:rPr>
                <w:rFonts w:hint="eastAsia"/>
                <w:lang w:val="en-US" w:eastAsia="zh-CN"/>
              </w:rPr>
            </w:pPr>
            <w:r>
              <w:rPr>
                <w:rFonts w:hint="eastAsia"/>
                <w:lang w:val="en-US" w:eastAsia="zh-CN"/>
              </w:rPr>
              <w:t>上海必原生物科技有限公司</w:t>
            </w:r>
          </w:p>
          <w:p>
            <w:pPr>
              <w:pStyle w:val="4"/>
              <w:rPr>
                <w:rFonts w:hint="eastAsia"/>
                <w:lang w:val="en-US" w:eastAsia="zh-CN"/>
              </w:rPr>
            </w:pPr>
            <w:r>
              <w:rPr>
                <w:rFonts w:hint="eastAsia"/>
                <w:lang w:val="en-US" w:eastAsia="zh-CN"/>
              </w:rPr>
              <w:t>张家口新素燕麦食品科技有限公司</w:t>
            </w:r>
          </w:p>
          <w:p>
            <w:pPr>
              <w:pStyle w:val="4"/>
              <w:rPr>
                <w:rFonts w:hint="eastAsia"/>
                <w:lang w:val="en-US" w:eastAsia="zh-CN"/>
              </w:rPr>
            </w:pPr>
            <w:r>
              <w:rPr>
                <w:rFonts w:hint="eastAsia"/>
                <w:lang w:val="en-US" w:eastAsia="zh-CN"/>
              </w:rPr>
              <w:t>江苏永瑞生物有限公司</w:t>
            </w:r>
          </w:p>
          <w:p>
            <w:pPr>
              <w:pStyle w:val="4"/>
              <w:rPr>
                <w:rFonts w:hint="eastAsia"/>
                <w:lang w:val="en-US" w:eastAsia="zh-CN"/>
              </w:rPr>
            </w:pPr>
            <w:r>
              <w:rPr>
                <w:rFonts w:hint="eastAsia"/>
                <w:lang w:val="en-US" w:eastAsia="zh-CN"/>
              </w:rPr>
              <w:t>山东天骄生物技术有限公司</w:t>
            </w:r>
          </w:p>
          <w:p>
            <w:pPr>
              <w:pStyle w:val="4"/>
              <w:rPr>
                <w:rFonts w:hint="eastAsia"/>
                <w:lang w:val="en-US" w:eastAsia="zh-CN"/>
              </w:rPr>
            </w:pPr>
            <w:r>
              <w:rPr>
                <w:rFonts w:hint="eastAsia"/>
                <w:lang w:val="en-US" w:eastAsia="zh-CN"/>
              </w:rPr>
              <w:t>济南鑫垚化工有限公司</w:t>
            </w:r>
          </w:p>
          <w:p>
            <w:pPr>
              <w:pStyle w:val="4"/>
              <w:rPr>
                <w:rFonts w:hint="eastAsia"/>
                <w:lang w:val="en-US" w:eastAsia="zh-CN"/>
              </w:rPr>
            </w:pPr>
            <w:r>
              <w:rPr>
                <w:rFonts w:hint="eastAsia"/>
                <w:lang w:val="en-US" w:eastAsia="zh-CN"/>
              </w:rPr>
              <w:t>晨光生物科技集团股份有限公司</w:t>
            </w:r>
          </w:p>
          <w:p>
            <w:pPr>
              <w:pStyle w:val="4"/>
              <w:rPr>
                <w:rFonts w:hint="eastAsia"/>
                <w:lang w:val="en-US" w:eastAsia="zh-CN"/>
              </w:rPr>
            </w:pPr>
            <w:r>
              <w:rPr>
                <w:rFonts w:hint="eastAsia"/>
                <w:lang w:val="en-US" w:eastAsia="zh-CN"/>
              </w:rPr>
              <w:t>西安拓丰生物科技有限公司</w:t>
            </w:r>
          </w:p>
          <w:p>
            <w:pPr>
              <w:pStyle w:val="4"/>
              <w:rPr>
                <w:rFonts w:hint="default"/>
                <w:lang w:val="en-US" w:eastAsia="zh-CN"/>
              </w:rPr>
            </w:pPr>
            <w:r>
              <w:rPr>
                <w:rFonts w:hint="eastAsia"/>
                <w:lang w:val="en-US" w:eastAsia="zh-CN"/>
              </w:rPr>
              <w:t>包头东宝生物技术股份有限公司等24家企业等进行了沟通。</w:t>
            </w:r>
          </w:p>
          <w:p>
            <w:pPr>
              <w:spacing w:line="280" w:lineRule="exact"/>
              <w:ind w:firstLine="420" w:firstLineChars="200"/>
              <w:rPr>
                <w:rFonts w:hint="eastAsia" w:asciiTheme="minorEastAsia" w:hAnsiTheme="minorEastAsia" w:eastAsiaTheme="minorEastAsia"/>
                <w:szCs w:val="21"/>
                <w:lang w:eastAsia="zh-CN"/>
              </w:rPr>
            </w:pP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管理评审</w:t>
            </w:r>
          </w:p>
          <w:p>
            <w:pPr>
              <w:spacing w:line="280" w:lineRule="exact"/>
              <w:rPr>
                <w:rFonts w:asciiTheme="minorEastAsia" w:hAnsiTheme="minorEastAsia" w:eastAsiaTheme="minorEastAsia"/>
              </w:rPr>
            </w:pPr>
          </w:p>
        </w:tc>
        <w:tc>
          <w:tcPr>
            <w:tcW w:w="1019"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9.3</w:t>
            </w:r>
          </w:p>
          <w:p>
            <w:pPr>
              <w:spacing w:line="280" w:lineRule="exact"/>
              <w:rPr>
                <w:rFonts w:asciiTheme="minorEastAsia" w:hAnsiTheme="minorEastAsia" w:eastAsiaTheme="minorEastAsia"/>
                <w:szCs w:val="21"/>
              </w:rPr>
            </w:pPr>
          </w:p>
          <w:p>
            <w:pPr>
              <w:spacing w:line="280" w:lineRule="exact"/>
              <w:rPr>
                <w:rFonts w:asciiTheme="minorEastAsia" w:hAnsiTheme="minorEastAsia" w:eastAsiaTheme="minorEastAsia"/>
              </w:rPr>
            </w:pPr>
          </w:p>
        </w:tc>
        <w:tc>
          <w:tcPr>
            <w:tcW w:w="11223" w:type="dxa"/>
            <w:vAlign w:val="center"/>
          </w:tcPr>
          <w:p>
            <w:pPr>
              <w:spacing w:line="480"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公司</w:t>
            </w:r>
            <w:r>
              <w:rPr>
                <w:rFonts w:hint="eastAsia" w:asciiTheme="minorEastAsia" w:hAnsiTheme="minorEastAsia" w:eastAsiaTheme="minorEastAsia"/>
                <w:szCs w:val="21"/>
                <w:lang w:val="en-US" w:eastAsia="zh-CN"/>
              </w:rPr>
              <w:t>有</w:t>
            </w:r>
            <w:r>
              <w:rPr>
                <w:rStyle w:val="13"/>
                <w:rFonts w:hint="eastAsia"/>
                <w:color w:val="000000" w:themeColor="text1"/>
                <w:kern w:val="0"/>
                <w:u w:val="none"/>
                <w:lang w:val="zh-CN"/>
              </w:rPr>
              <w:t>《</w:t>
            </w:r>
            <w:r>
              <w:rPr>
                <w:rFonts w:hint="eastAsia" w:ascii="宋体" w:hAnsi="宋体" w:eastAsia="宋体" w:cs="宋体"/>
                <w:sz w:val="24"/>
                <w:szCs w:val="24"/>
              </w:rPr>
              <w:t xml:space="preserve"> 管理评审控制程序</w:t>
            </w:r>
            <w:r>
              <w:rPr>
                <w:rFonts w:hint="eastAsia" w:ascii="宋体" w:hAnsi="宋体" w:eastAsia="宋体" w:cs="宋体"/>
                <w:sz w:val="24"/>
                <w:szCs w:val="24"/>
                <w:lang w:eastAsia="zh-CN"/>
              </w:rPr>
              <w:t>ZKLJ</w:t>
            </w:r>
            <w:r>
              <w:rPr>
                <w:rFonts w:hint="eastAsia" w:ascii="宋体" w:hAnsi="宋体" w:eastAsia="宋体" w:cs="宋体"/>
                <w:sz w:val="24"/>
                <w:szCs w:val="24"/>
              </w:rPr>
              <w:t>/CX-09-</w:t>
            </w:r>
            <w:r>
              <w:rPr>
                <w:rFonts w:hint="eastAsia" w:ascii="宋体" w:hAnsi="宋体" w:eastAsia="宋体" w:cs="宋体"/>
                <w:sz w:val="24"/>
                <w:szCs w:val="24"/>
                <w:lang w:eastAsia="zh-CN"/>
              </w:rPr>
              <w:t>2021</w:t>
            </w:r>
            <w:r>
              <w:rPr>
                <w:rStyle w:val="13"/>
                <w:rFonts w:hint="eastAsia"/>
                <w:color w:val="000000" w:themeColor="text1"/>
                <w:kern w:val="0"/>
                <w:u w:val="none"/>
                <w:lang w:val="zh-CN"/>
              </w:rPr>
              <w:t>》</w:t>
            </w:r>
            <w:r>
              <w:rPr>
                <w:rStyle w:val="13"/>
                <w:rFonts w:hint="eastAsia"/>
                <w:color w:val="000000" w:themeColor="text1"/>
                <w:u w:val="none"/>
                <w:lang w:val="en-US" w:eastAsia="zh-CN"/>
              </w:rPr>
              <w:t xml:space="preserve"> </w:t>
            </w:r>
            <w:r>
              <w:rPr>
                <w:rFonts w:hint="eastAsia" w:asciiTheme="minorEastAsia" w:hAnsiTheme="minorEastAsia" w:eastAsiaTheme="minorEastAsia"/>
                <w:szCs w:val="21"/>
                <w:lang w:val="en-US" w:eastAsia="zh-CN"/>
              </w:rPr>
              <w:t xml:space="preserve"> </w:t>
            </w:r>
          </w:p>
          <w:p>
            <w:pPr>
              <w:spacing w:line="28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查</w:t>
            </w:r>
            <w:r>
              <w:rPr>
                <w:rFonts w:hint="eastAsia" w:asciiTheme="minorEastAsia" w:hAnsiTheme="minorEastAsia" w:eastAsiaTheme="minorEastAsia"/>
                <w:szCs w:val="21"/>
                <w:lang w:val="en-US" w:eastAsia="zh-CN"/>
              </w:rPr>
              <w:t>见2022.3.25</w:t>
            </w:r>
            <w:r>
              <w:rPr>
                <w:rFonts w:hint="eastAsia" w:asciiTheme="minorEastAsia" w:hAnsiTheme="minorEastAsia" w:eastAsiaTheme="minorEastAsia"/>
                <w:szCs w:val="21"/>
              </w:rPr>
              <w:t>公司管理评审资料</w:t>
            </w:r>
            <w:r>
              <w:rPr>
                <w:rFonts w:hint="eastAsia" w:asciiTheme="minorEastAsia" w:hAnsiTheme="minorEastAsia" w:eastAsiaTheme="minorEastAsia"/>
                <w:szCs w:val="21"/>
                <w:lang w:val="en-US" w:eastAsia="zh-CN"/>
              </w:rPr>
              <w:t xml:space="preserve"> </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1.管理评审计划</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2.管理评审会议实施：有会议记录及参加人员、按计划的时间实施了管理评审，评审输入资料</w:t>
            </w:r>
          </w:p>
          <w:p>
            <w:pPr>
              <w:numPr>
                <w:ilvl w:val="0"/>
                <w:numId w:val="1"/>
              </w:numPr>
              <w:adjustRightInd w:val="0"/>
              <w:snapToGrid w:val="0"/>
              <w:spacing w:line="360" w:lineRule="auto"/>
              <w:rPr>
                <w:rFonts w:hint="eastAsia" w:ascii="宋体" w:hAnsi="宋体" w:eastAsia="宋体" w:cs="宋体"/>
                <w:sz w:val="24"/>
                <w:szCs w:val="24"/>
              </w:rPr>
            </w:pPr>
            <w:r>
              <w:rPr>
                <w:rFonts w:hint="eastAsia" w:asciiTheme="minorEastAsia" w:hAnsiTheme="minorEastAsia" w:eastAsiaTheme="minorEastAsia"/>
                <w:szCs w:val="21"/>
              </w:rPr>
              <w:t>管</w:t>
            </w:r>
            <w:r>
              <w:rPr>
                <w:rFonts w:hint="eastAsia" w:ascii="宋体" w:hAnsi="宋体" w:eastAsia="宋体" w:cs="宋体"/>
                <w:sz w:val="24"/>
                <w:szCs w:val="24"/>
              </w:rPr>
              <w:t>质量</w:t>
            </w:r>
            <w:r>
              <w:rPr>
                <w:rFonts w:hint="eastAsia" w:ascii="宋体" w:hAnsi="宋体" w:eastAsia="宋体" w:cs="宋体"/>
                <w:sz w:val="24"/>
                <w:szCs w:val="24"/>
                <w:lang w:eastAsia="zh-CN"/>
              </w:rPr>
              <w:t>管理</w:t>
            </w:r>
            <w:r>
              <w:rPr>
                <w:rFonts w:hint="eastAsia" w:ascii="宋体" w:hAnsi="宋体" w:eastAsia="宋体" w:cs="宋体"/>
                <w:sz w:val="24"/>
                <w:szCs w:val="24"/>
              </w:rPr>
              <w:t>方针的适宜性</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eastAsia="zh-CN"/>
              </w:rPr>
              <w:t>管理</w:t>
            </w:r>
            <w:r>
              <w:rPr>
                <w:rFonts w:hint="eastAsia" w:ascii="宋体" w:hAnsi="宋体" w:eastAsia="宋体" w:cs="宋体"/>
                <w:sz w:val="24"/>
                <w:szCs w:val="24"/>
              </w:rPr>
              <w:t>目标完成情况</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本年度</w:t>
            </w:r>
            <w:r>
              <w:rPr>
                <w:rFonts w:hint="eastAsia" w:ascii="宋体" w:hAnsi="宋体" w:eastAsia="宋体" w:cs="宋体"/>
                <w:sz w:val="24"/>
                <w:szCs w:val="24"/>
              </w:rPr>
              <w:t>内部审核情况</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如何健全自我完善机制度</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企业的内外部环境、应对的机遇等</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企业应对各项风险的措施和改进性</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资源的充分性、有效性；</w:t>
            </w:r>
          </w:p>
          <w:p>
            <w:pPr>
              <w:numPr>
                <w:ilvl w:val="0"/>
                <w:numId w:val="1"/>
              </w:num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如何进一步提高相关方和客户的满意度</w:t>
            </w:r>
            <w:r>
              <w:rPr>
                <w:rFonts w:hint="eastAsia" w:ascii="宋体" w:hAnsi="宋体" w:eastAsia="宋体" w:cs="宋体"/>
                <w:sz w:val="24"/>
                <w:szCs w:val="24"/>
                <w:lang w:eastAsia="zh-CN"/>
              </w:rPr>
              <w:t>；</w:t>
            </w:r>
          </w:p>
          <w:p>
            <w:pPr>
              <w:numPr>
                <w:ilvl w:val="0"/>
                <w:numId w:val="1"/>
              </w:numPr>
              <w:adjustRightInd w:val="0"/>
              <w:snapToGrid w:val="0"/>
              <w:spacing w:line="360" w:lineRule="auto"/>
              <w:rPr>
                <w:rFonts w:asciiTheme="minorEastAsia" w:hAnsiTheme="minorEastAsia" w:eastAsiaTheme="minorEastAsia"/>
                <w:szCs w:val="21"/>
              </w:rPr>
            </w:pPr>
            <w:r>
              <w:rPr>
                <w:rFonts w:hint="eastAsia" w:ascii="宋体" w:hAnsi="宋体" w:eastAsia="宋体" w:cs="宋体"/>
                <w:sz w:val="24"/>
                <w:szCs w:val="24"/>
              </w:rPr>
              <w:t>质量</w:t>
            </w:r>
            <w:r>
              <w:rPr>
                <w:rFonts w:hint="eastAsia" w:ascii="宋体" w:hAnsi="宋体" w:eastAsia="宋体" w:cs="宋体"/>
                <w:sz w:val="24"/>
                <w:szCs w:val="24"/>
                <w:lang w:eastAsia="zh-CN"/>
              </w:rPr>
              <w:t>管理</w:t>
            </w:r>
            <w:r>
              <w:rPr>
                <w:rFonts w:hint="eastAsia" w:ascii="宋体" w:hAnsi="宋体" w:eastAsia="宋体" w:cs="宋体"/>
                <w:sz w:val="24"/>
                <w:szCs w:val="24"/>
              </w:rPr>
              <w:t>体系的充分性、有效性、适宜性</w:t>
            </w:r>
            <w:r>
              <w:rPr>
                <w:rFonts w:hint="eastAsia" w:asciiTheme="minorEastAsia" w:hAnsiTheme="minorEastAsia" w:eastAsiaTheme="minorEastAsia"/>
                <w:szCs w:val="21"/>
              </w:rPr>
              <w:t>等；</w:t>
            </w:r>
          </w:p>
          <w:p>
            <w:pPr>
              <w:numPr>
                <w:ilvl w:val="0"/>
                <w:numId w:val="0"/>
              </w:numPr>
              <w:spacing w:line="360" w:lineRule="auto"/>
              <w:ind w:leftChars="0"/>
              <w:rPr>
                <w:rFonts w:hint="eastAsia" w:ascii="宋体" w:hAnsi="宋体" w:eastAsia="宋体" w:cs="宋体"/>
                <w:sz w:val="24"/>
                <w:szCs w:val="24"/>
              </w:rPr>
            </w:pPr>
            <w:r>
              <w:rPr>
                <w:rFonts w:hint="eastAsia" w:asciiTheme="minorEastAsia" w:hAnsiTheme="minorEastAsia" w:eastAsiaTheme="minorEastAsia"/>
                <w:szCs w:val="21"/>
              </w:rPr>
              <w:t>3.管理评审报告结论：</w:t>
            </w:r>
            <w:r>
              <w:rPr>
                <w:rFonts w:hint="eastAsia" w:ascii="宋体" w:hAnsi="宋体" w:eastAsia="宋体" w:cs="宋体"/>
                <w:sz w:val="24"/>
                <w:szCs w:val="24"/>
              </w:rPr>
              <w:t>公司的质量管理方针适宜，沿袭并得到了经常性的沟通；且得到有效贯彻。</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每季度由办公室经理进行质量目标考核，各部门设置的质量目标均能实现；</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2022年3月5日进行内审，</w:t>
            </w:r>
            <w:r>
              <w:rPr>
                <w:rFonts w:hint="eastAsia" w:ascii="宋体" w:hAnsi="宋体" w:eastAsia="宋体" w:cs="宋体"/>
                <w:sz w:val="24"/>
                <w:szCs w:val="24"/>
              </w:rPr>
              <w:t>内审工作全面有效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内审不符合已整改完成，纠正措施验证有效</w:t>
            </w:r>
            <w:r>
              <w:rPr>
                <w:rFonts w:hint="eastAsia" w:ascii="宋体" w:hAnsi="宋体" w:eastAsia="宋体" w:cs="宋体"/>
                <w:sz w:val="24"/>
                <w:szCs w:val="24"/>
              </w:rPr>
              <w:t>；</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通过提高</w:t>
            </w:r>
            <w:r>
              <w:rPr>
                <w:rFonts w:hint="eastAsia" w:ascii="宋体" w:hAnsi="宋体" w:eastAsia="宋体" w:cs="宋体"/>
                <w:sz w:val="24"/>
                <w:szCs w:val="24"/>
                <w:lang w:val="en-US" w:eastAsia="zh-CN"/>
              </w:rPr>
              <w:t>技术人员</w:t>
            </w:r>
            <w:r>
              <w:rPr>
                <w:rFonts w:hint="eastAsia" w:ascii="宋体" w:hAnsi="宋体" w:eastAsia="宋体" w:cs="宋体"/>
                <w:sz w:val="24"/>
                <w:szCs w:val="24"/>
                <w:lang w:eastAsia="zh-CN"/>
              </w:rPr>
              <w:t>的</w:t>
            </w:r>
            <w:r>
              <w:rPr>
                <w:rFonts w:hint="eastAsia" w:ascii="宋体" w:hAnsi="宋体" w:eastAsia="宋体" w:cs="宋体"/>
                <w:sz w:val="24"/>
                <w:szCs w:val="24"/>
              </w:rPr>
              <w:t>能力</w:t>
            </w:r>
            <w:r>
              <w:rPr>
                <w:rFonts w:hint="eastAsia" w:ascii="宋体" w:hAnsi="宋体" w:eastAsia="宋体" w:cs="宋体"/>
                <w:sz w:val="24"/>
                <w:szCs w:val="24"/>
                <w:lang w:eastAsia="zh-CN"/>
              </w:rPr>
              <w:t>，</w:t>
            </w:r>
            <w:r>
              <w:rPr>
                <w:rFonts w:hint="eastAsia" w:ascii="宋体" w:hAnsi="宋体" w:eastAsia="宋体" w:cs="宋体"/>
                <w:sz w:val="24"/>
                <w:szCs w:val="24"/>
              </w:rPr>
              <w:t>达到顾客的持续满意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进行了顾客满意度调查，顾客满意度为97%</w:t>
            </w:r>
            <w:r>
              <w:rPr>
                <w:rFonts w:hint="eastAsia" w:ascii="宋体" w:hAnsi="宋体" w:eastAsia="宋体" w:cs="宋体"/>
                <w:sz w:val="24"/>
                <w:szCs w:val="24"/>
              </w:rPr>
              <w:t>；</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建立的各项管理制度有效，充分；制度管理良好；员工积极性高；</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各种</w:t>
            </w:r>
            <w:r>
              <w:rPr>
                <w:rFonts w:hint="eastAsia" w:ascii="宋体" w:hAnsi="宋体" w:eastAsia="宋体" w:cs="宋体"/>
                <w:sz w:val="24"/>
                <w:szCs w:val="24"/>
                <w:lang w:eastAsia="zh-CN"/>
              </w:rPr>
              <w:t>办公、</w:t>
            </w:r>
            <w:r>
              <w:rPr>
                <w:rFonts w:hint="eastAsia" w:ascii="宋体" w:hAnsi="宋体" w:eastAsia="宋体" w:cs="宋体"/>
                <w:sz w:val="24"/>
                <w:szCs w:val="24"/>
                <w:lang w:val="en-US" w:eastAsia="zh-CN"/>
              </w:rPr>
              <w:t>生产设备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检验设备等</w:t>
            </w:r>
            <w:r>
              <w:rPr>
                <w:rFonts w:hint="eastAsia" w:ascii="宋体" w:hAnsi="宋体" w:eastAsia="宋体" w:cs="宋体"/>
                <w:sz w:val="24"/>
                <w:szCs w:val="24"/>
              </w:rPr>
              <w:t>所需资源设备满足需要。</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rPr>
              <w:t>企业各级负责人对企业目前所处的内外部环境的分析深入，有针对性的进行了风险分析和措施指定。各项措施均合理有效；</w:t>
            </w:r>
          </w:p>
          <w:p>
            <w:pPr>
              <w:numPr>
                <w:ilvl w:val="0"/>
                <w:numId w:val="2"/>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在疫情期间，各部门能识别到相关的风险并作出对应的措施，应对措施有效。</w:t>
            </w:r>
          </w:p>
          <w:p>
            <w:pPr>
              <w:spacing w:line="360" w:lineRule="auto"/>
              <w:ind w:firstLine="420"/>
              <w:rPr>
                <w:rFonts w:hint="eastAsia" w:asciiTheme="minorEastAsia" w:hAnsiTheme="minorEastAsia" w:eastAsiaTheme="minorEastAsia"/>
                <w:szCs w:val="21"/>
                <w:lang w:val="en-US" w:eastAsia="zh-CN"/>
              </w:rPr>
            </w:pPr>
            <w:r>
              <w:rPr>
                <w:rFonts w:hint="eastAsia" w:ascii="宋体" w:hAnsi="宋体" w:eastAsia="宋体" w:cs="宋体"/>
                <w:sz w:val="24"/>
                <w:szCs w:val="24"/>
                <w:lang w:eastAsia="zh-CN"/>
              </w:rPr>
              <w:t>综上所述，</w:t>
            </w:r>
            <w:r>
              <w:rPr>
                <w:rFonts w:hint="eastAsia" w:ascii="宋体" w:hAnsi="宋体" w:eastAsia="宋体" w:cs="宋体"/>
                <w:sz w:val="24"/>
                <w:szCs w:val="24"/>
              </w:rPr>
              <w:t>公司对应的质量管理体系，其持续的适宜性、有效性、充分性得到了充分的印证。</w:t>
            </w:r>
            <w:r>
              <w:rPr>
                <w:rFonts w:hint="eastAsia" w:asciiTheme="minorEastAsia" w:hAnsiTheme="minorEastAsia" w:eastAsiaTheme="minorEastAsia"/>
                <w:szCs w:val="21"/>
                <w:lang w:val="en-US" w:eastAsia="zh-CN"/>
              </w:rPr>
              <w:t xml:space="preserve"> </w:t>
            </w:r>
          </w:p>
          <w:p>
            <w:pPr>
              <w:spacing w:line="280" w:lineRule="exact"/>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基本符合。</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改进总则</w:t>
            </w:r>
          </w:p>
          <w:p>
            <w:pPr>
              <w:spacing w:line="280" w:lineRule="exact"/>
              <w:rPr>
                <w:rFonts w:asciiTheme="minorEastAsia" w:hAnsiTheme="minorEastAsia" w:eastAsiaTheme="minorEastAsia"/>
              </w:rPr>
            </w:pPr>
          </w:p>
        </w:tc>
        <w:tc>
          <w:tcPr>
            <w:tcW w:w="1019"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10.1</w:t>
            </w:r>
          </w:p>
          <w:p>
            <w:pPr>
              <w:spacing w:line="280" w:lineRule="exact"/>
              <w:rPr>
                <w:rFonts w:asciiTheme="minorEastAsia" w:hAnsiTheme="minorEastAsia" w:eastAsiaTheme="minorEastAsia"/>
              </w:rPr>
            </w:pPr>
          </w:p>
        </w:tc>
        <w:tc>
          <w:tcPr>
            <w:tcW w:w="11223" w:type="dxa"/>
            <w:vAlign w:val="center"/>
          </w:tcPr>
          <w:p>
            <w:pPr>
              <w:spacing w:line="480" w:lineRule="auto"/>
              <w:rPr>
                <w:rFonts w:hint="default"/>
                <w:lang w:val="en-US"/>
              </w:rPr>
            </w:pPr>
            <w:r>
              <w:rPr>
                <w:rFonts w:hint="eastAsia"/>
              </w:rPr>
              <w:t>公司《</w:t>
            </w:r>
            <w:r>
              <w:rPr>
                <w:rFonts w:hint="eastAsia" w:ascii="宋体" w:hAnsi="宋体" w:eastAsia="宋体" w:cs="宋体"/>
                <w:sz w:val="24"/>
                <w:szCs w:val="24"/>
              </w:rPr>
              <w:t xml:space="preserve"> 改进控制程序</w:t>
            </w:r>
            <w:r>
              <w:rPr>
                <w:rFonts w:hint="eastAsia" w:ascii="宋体" w:hAnsi="宋体" w:eastAsia="宋体" w:cs="宋体"/>
                <w:sz w:val="24"/>
                <w:szCs w:val="24"/>
                <w:lang w:eastAsia="zh-CN"/>
              </w:rPr>
              <w:t>ZKLJ</w:t>
            </w:r>
            <w:r>
              <w:rPr>
                <w:rFonts w:hint="eastAsia" w:ascii="宋体" w:hAnsi="宋体" w:eastAsia="宋体" w:cs="宋体"/>
                <w:sz w:val="24"/>
                <w:szCs w:val="24"/>
              </w:rPr>
              <w:t>/CX-10-</w:t>
            </w:r>
            <w:r>
              <w:rPr>
                <w:rFonts w:hint="eastAsia" w:ascii="宋体" w:hAnsi="宋体" w:eastAsia="宋体" w:cs="宋体"/>
                <w:sz w:val="24"/>
                <w:szCs w:val="24"/>
                <w:lang w:eastAsia="zh-CN"/>
              </w:rPr>
              <w:t>2021</w:t>
            </w:r>
            <w:r>
              <w:rPr>
                <w:rFonts w:hint="eastAsia"/>
              </w:rPr>
              <w:t>》</w:t>
            </w:r>
            <w:r>
              <w:rPr>
                <w:rFonts w:hint="eastAsia"/>
                <w:lang w:val="en-US" w:eastAsia="zh-CN"/>
              </w:rPr>
              <w:t xml:space="preserve"> </w:t>
            </w:r>
          </w:p>
          <w:p>
            <w:pPr>
              <w:spacing w:line="280" w:lineRule="exact"/>
              <w:ind w:firstLine="420" w:firstLineChars="200"/>
            </w:pPr>
            <w:r>
              <w:rPr>
                <w:rFonts w:hint="eastAsia"/>
              </w:rPr>
              <w:t>公司通过管理体系方针、目标、内部审核、管理评审、不合格和纠正措施各项要求落实，确定和选择改进机会，并采取必要措施确保相关改进活动得到有效开展，以满足顾客要求和增强顾客满意，实现环境管理体系预期结果。</w:t>
            </w:r>
          </w:p>
          <w:p>
            <w:pPr>
              <w:spacing w:line="280" w:lineRule="exact"/>
              <w:ind w:firstLine="420" w:firstLineChars="200"/>
              <w:rPr>
                <w:rFonts w:hint="eastAsia"/>
              </w:rPr>
            </w:pPr>
            <w:r>
              <w:rPr>
                <w:rFonts w:hint="eastAsia"/>
              </w:rPr>
              <w:t>包括改进产品和服务，纠正、预防或减少不利影响，改进体系绩效和有效性。</w:t>
            </w:r>
          </w:p>
          <w:p>
            <w:pPr>
              <w:pStyle w:val="4"/>
              <w:rPr>
                <w:rFonts w:hint="eastAsia"/>
                <w:lang w:val="en-US" w:eastAsia="zh-CN"/>
              </w:rPr>
            </w:pPr>
            <w:r>
              <w:rPr>
                <w:rFonts w:hint="eastAsia"/>
                <w:lang w:val="en-US" w:eastAsia="zh-CN"/>
              </w:rPr>
              <w:t>查见2022.1-5月体系运行日常检查表</w:t>
            </w:r>
          </w:p>
          <w:p>
            <w:pPr>
              <w:rPr>
                <w:rFonts w:hint="default"/>
                <w:lang w:val="en-US" w:eastAsia="zh-CN"/>
              </w:rPr>
            </w:pPr>
            <w:r>
              <w:rPr>
                <w:rFonts w:hint="default"/>
                <w:lang w:val="en-US" w:eastAsia="zh-CN"/>
              </w:rPr>
              <w:drawing>
                <wp:inline distT="0" distB="0" distL="114300" distR="114300">
                  <wp:extent cx="1551940" cy="918210"/>
                  <wp:effectExtent l="0" t="0" r="10160" b="15240"/>
                  <wp:docPr id="6" name="图片 6" descr="1654829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54829339(1)"/>
                          <pic:cNvPicPr>
                            <a:picLocks noChangeAspect="1"/>
                          </pic:cNvPicPr>
                        </pic:nvPicPr>
                        <pic:blipFill>
                          <a:blip r:embed="rId9"/>
                          <a:stretch>
                            <a:fillRect/>
                          </a:stretch>
                        </pic:blipFill>
                        <pic:spPr>
                          <a:xfrm>
                            <a:off x="0" y="0"/>
                            <a:ext cx="1551940" cy="918210"/>
                          </a:xfrm>
                          <a:prstGeom prst="rect">
                            <a:avLst/>
                          </a:prstGeom>
                        </pic:spPr>
                      </pic:pic>
                    </a:graphicData>
                  </a:graphic>
                </wp:inline>
              </w:drawing>
            </w:r>
            <w:r>
              <w:rPr>
                <w:rFonts w:hint="default"/>
                <w:lang w:val="en-US" w:eastAsia="zh-CN"/>
              </w:rPr>
              <w:drawing>
                <wp:inline distT="0" distB="0" distL="114300" distR="114300">
                  <wp:extent cx="1649095" cy="979805"/>
                  <wp:effectExtent l="0" t="0" r="8255" b="10795"/>
                  <wp:docPr id="3" name="图片 3" descr="1654829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29223(1)"/>
                          <pic:cNvPicPr>
                            <a:picLocks noChangeAspect="1"/>
                          </pic:cNvPicPr>
                        </pic:nvPicPr>
                        <pic:blipFill>
                          <a:blip r:embed="rId10"/>
                          <a:stretch>
                            <a:fillRect/>
                          </a:stretch>
                        </pic:blipFill>
                        <pic:spPr>
                          <a:xfrm>
                            <a:off x="0" y="0"/>
                            <a:ext cx="1649095" cy="979805"/>
                          </a:xfrm>
                          <a:prstGeom prst="rect">
                            <a:avLst/>
                          </a:prstGeom>
                        </pic:spPr>
                      </pic:pic>
                    </a:graphicData>
                  </a:graphic>
                </wp:inline>
              </w:drawing>
            </w:r>
            <w:r>
              <w:rPr>
                <w:rFonts w:hint="default"/>
                <w:lang w:val="en-US" w:eastAsia="zh-CN"/>
              </w:rPr>
              <w:drawing>
                <wp:inline distT="0" distB="0" distL="114300" distR="114300">
                  <wp:extent cx="1668145" cy="994410"/>
                  <wp:effectExtent l="0" t="0" r="8255" b="15240"/>
                  <wp:docPr id="5" name="图片 5" descr="1654829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4829275(1)"/>
                          <pic:cNvPicPr>
                            <a:picLocks noChangeAspect="1"/>
                          </pic:cNvPicPr>
                        </pic:nvPicPr>
                        <pic:blipFill>
                          <a:blip r:embed="rId11"/>
                          <a:stretch>
                            <a:fillRect/>
                          </a:stretch>
                        </pic:blipFill>
                        <pic:spPr>
                          <a:xfrm>
                            <a:off x="0" y="0"/>
                            <a:ext cx="1668145" cy="994410"/>
                          </a:xfrm>
                          <a:prstGeom prst="rect">
                            <a:avLst/>
                          </a:prstGeom>
                        </pic:spPr>
                      </pic:pic>
                    </a:graphicData>
                  </a:graphic>
                </wp:inline>
              </w:drawing>
            </w:r>
          </w:p>
          <w:p>
            <w:pPr>
              <w:rPr>
                <w:rFonts w:hint="default"/>
                <w:lang w:val="en-US" w:eastAsia="zh-CN"/>
              </w:rPr>
            </w:pP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07" w:type="dxa"/>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持续改进</w:t>
            </w:r>
          </w:p>
        </w:tc>
        <w:tc>
          <w:tcPr>
            <w:tcW w:w="1019"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10.3</w:t>
            </w:r>
          </w:p>
          <w:p>
            <w:pPr>
              <w:spacing w:line="280" w:lineRule="exact"/>
              <w:rPr>
                <w:rFonts w:asciiTheme="minorEastAsia" w:hAnsiTheme="minorEastAsia" w:eastAsiaTheme="minorEastAsia"/>
              </w:rPr>
            </w:pPr>
          </w:p>
        </w:tc>
        <w:tc>
          <w:tcPr>
            <w:tcW w:w="11223" w:type="dxa"/>
            <w:vAlign w:val="center"/>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公司通过开展检查和考核工作、自查自纠及外部检查等形式，不断持续改进，提高顾客满意和产品质量，持续改进管理体系的适宜性、充分性和有效性。</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资质有效性</w:t>
            </w: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提供营业执照在有效期内，包含申请产品范围</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7" w:type="dxa"/>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事故</w:t>
            </w: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公司管理体系自运行以来，未发生质量事故</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707" w:type="dxa"/>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顾客满意、相关方投诉处理</w:t>
            </w: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管理体系运行期间未发生顾客及相关方投诉情况，日常顾客反馈意见或建议已及时处理</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7" w:type="dxa"/>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国家/地方抽查情况</w:t>
            </w: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无抽查</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7" w:type="dxa"/>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遵纪守法情况</w:t>
            </w: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无处罚</w:t>
            </w:r>
          </w:p>
        </w:tc>
        <w:tc>
          <w:tcPr>
            <w:tcW w:w="760" w:type="dxa"/>
          </w:tcPr>
          <w:p>
            <w:pPr>
              <w:spacing w:line="320" w:lineRule="exact"/>
              <w:rPr>
                <w:rFonts w:hint="eastAsia" w:asciiTheme="minorEastAsia" w:hAnsiTheme="minorEastAsia" w:eastAsiaTheme="minorEastAsia"/>
                <w:lang w:eastAsia="zh-CN"/>
              </w:rPr>
            </w:pPr>
            <w:r>
              <w:rPr>
                <w:rFonts w:hint="eastAsia" w:cs="宋体"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07" w:type="dxa"/>
          </w:tcPr>
          <w:p>
            <w:pPr>
              <w:spacing w:line="280" w:lineRule="exact"/>
              <w:rPr>
                <w:rFonts w:asciiTheme="minorEastAsia" w:hAnsiTheme="minorEastAsia" w:eastAsiaTheme="minorEastAsia"/>
              </w:rPr>
            </w:pPr>
            <w:r>
              <w:rPr>
                <w:rFonts w:hint="eastAsia" w:cs="Arial" w:asciiTheme="minorEastAsia" w:hAnsiTheme="minorEastAsia" w:eastAsiaTheme="minorEastAsia"/>
                <w:spacing w:val="-6"/>
                <w:szCs w:val="24"/>
              </w:rPr>
              <w:t>一阶段审核问题的验证</w:t>
            </w: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asciiTheme="minorEastAsia" w:hAnsiTheme="minorEastAsia" w:eastAsiaTheme="minorEastAsia"/>
              </w:rPr>
            </w:pPr>
            <w:r>
              <w:rPr>
                <w:rFonts w:hint="eastAsia" w:cs="宋体" w:asciiTheme="minorEastAsia" w:hAnsiTheme="minorEastAsia" w:eastAsiaTheme="minorEastAsia"/>
                <w:szCs w:val="21"/>
              </w:rPr>
              <w:t>一阶段审核未提出的问题 。</w:t>
            </w:r>
          </w:p>
        </w:tc>
        <w:tc>
          <w:tcPr>
            <w:tcW w:w="760" w:type="dxa"/>
          </w:tcPr>
          <w:p>
            <w:pPr>
              <w:spacing w:line="320" w:lineRule="exact"/>
              <w:rPr>
                <w:rFonts w:asciiTheme="minorEastAsia" w:hAnsiTheme="minorEastAsia" w:eastAsiaTheme="minorEastAsia"/>
              </w:rPr>
            </w:pPr>
            <w:r>
              <w:rPr>
                <w:rFonts w:hint="eastAsia" w:cs="宋体" w:asciiTheme="minorEastAsia" w:hAnsiTheme="minorEastAsia" w:eastAsiaTheme="minorEastAsia"/>
                <w:szCs w:val="21"/>
                <w:lang w:val="en-US" w:eastAsia="zh-CN"/>
              </w:rPr>
              <w:t>Y</w:t>
            </w:r>
            <w:r>
              <w:rPr>
                <w:rFonts w:hint="eastAsia" w:cs="宋体" w:asciiTheme="minorEastAsia" w:hAnsiTheme="minorEastAsia" w:eastAsia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07" w:type="dxa"/>
          </w:tcPr>
          <w:p>
            <w:pPr>
              <w:spacing w:line="280" w:lineRule="exact"/>
              <w:rPr>
                <w:rFonts w:cs="Arial" w:asciiTheme="minorEastAsia" w:hAnsiTheme="minorEastAsia" w:eastAsiaTheme="minorEastAsia"/>
                <w:spacing w:val="-6"/>
                <w:szCs w:val="24"/>
              </w:rPr>
            </w:pPr>
          </w:p>
        </w:tc>
        <w:tc>
          <w:tcPr>
            <w:tcW w:w="1019" w:type="dxa"/>
          </w:tcPr>
          <w:p>
            <w:pPr>
              <w:spacing w:line="280" w:lineRule="exact"/>
              <w:rPr>
                <w:rFonts w:asciiTheme="minorEastAsia" w:hAnsiTheme="minorEastAsia" w:eastAsiaTheme="minorEastAsia"/>
              </w:rPr>
            </w:pPr>
          </w:p>
        </w:tc>
        <w:tc>
          <w:tcPr>
            <w:tcW w:w="11223" w:type="dxa"/>
            <w:vAlign w:val="center"/>
          </w:tcPr>
          <w:p>
            <w:pPr>
              <w:spacing w:line="280" w:lineRule="exact"/>
              <w:rPr>
                <w:rFonts w:cs="宋体" w:asciiTheme="minorEastAsia" w:hAnsiTheme="minorEastAsia" w:eastAsiaTheme="minorEastAsia"/>
                <w:szCs w:val="21"/>
              </w:rPr>
            </w:pPr>
          </w:p>
        </w:tc>
        <w:tc>
          <w:tcPr>
            <w:tcW w:w="760" w:type="dxa"/>
          </w:tcPr>
          <w:p>
            <w:pPr>
              <w:spacing w:line="320" w:lineRule="exact"/>
              <w:rPr>
                <w:rFonts w:asciiTheme="minorEastAsia" w:hAnsiTheme="minorEastAsia" w:eastAsiaTheme="minorEastAsia"/>
              </w:rPr>
            </w:pPr>
          </w:p>
        </w:tc>
      </w:tr>
    </w:tbl>
    <w:p>
      <w:pPr>
        <w:jc w:val="left"/>
        <w:rPr>
          <w:rFonts w:asciiTheme="minorEastAsia" w:hAnsiTheme="minorEastAsia" w:eastAsiaTheme="minorEastAsia"/>
        </w:rPr>
      </w:pPr>
      <w:r>
        <w:rPr>
          <w:rFonts w:hint="eastAsia" w:asciiTheme="minorEastAsia" w:hAnsiTheme="minorEastAsia" w:eastAsiaTheme="minorEastAsia"/>
        </w:rPr>
        <w:t>说明：不符合标注N</w:t>
      </w:r>
    </w:p>
    <w:p>
      <w:pPr>
        <w:pStyle w:val="8"/>
        <w:rPr>
          <w:rFonts w:asciiTheme="minorEastAsia" w:hAnsiTheme="minorEastAsia" w:eastAsiaTheme="minor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990" w:firstLineChars="550"/>
      <w:jc w:val="left"/>
      <w:rPr>
        <w:rStyle w:val="18"/>
        <w:rFonts w:hint="default"/>
      </w:rPr>
    </w:pPr>
    <w:r>
      <w:drawing>
        <wp:anchor distT="0" distB="0" distL="114300" distR="114300" simplePos="0" relativeHeight="251661312" behindDoc="0" locked="0" layoutInCell="1" allowOverlap="1">
          <wp:simplePos x="0" y="0"/>
          <wp:positionH relativeFrom="column">
            <wp:posOffset>31750</wp:posOffset>
          </wp:positionH>
          <wp:positionV relativeFrom="paragraph">
            <wp:posOffset>-76835</wp:posOffset>
          </wp:positionV>
          <wp:extent cx="485775" cy="485775"/>
          <wp:effectExtent l="0" t="0" r="0" b="0"/>
          <wp:wrapNone/>
          <wp:docPr id="4" name="图片 0" descr="新LOGO.png"/>
          <wp:cNvGraphicFramePr/>
          <a:graphic xmlns:a="http://schemas.openxmlformats.org/drawingml/2006/main">
            <a:graphicData uri="http://schemas.openxmlformats.org/drawingml/2006/picture">
              <pic:pic xmlns:pic="http://schemas.openxmlformats.org/drawingml/2006/picture">
                <pic:nvPicPr>
                  <pic:cNvPr id="4" name="图片 0" descr="新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tabs>
        <w:tab w:val="left" w:pos="6800"/>
        <w:tab w:val="clear" w:pos="8306"/>
      </w:tabs>
      <w:spacing w:line="320" w:lineRule="exact"/>
      <w:ind w:firstLine="900" w:firstLineChars="500"/>
      <w:jc w:val="left"/>
    </w:pPr>
    <w:r>
      <w:pict>
        <v:shape id="_x0000_s4097" o:spid="_x0000_s4097" o:spt="202" type="#_x0000_t202" style="position:absolute;left:0pt;margin-left:554.75pt;margin-top:2.2pt;height:20.2pt;width:172pt;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pPr>
                  <w:rPr>
                    <w:sz w:val="18"/>
                    <w:szCs w:val="18"/>
                  </w:rPr>
                </w:pPr>
                <w:r>
                  <w:rPr>
                    <w:rFonts w:hint="eastAsia"/>
                    <w:sz w:val="18"/>
                    <w:szCs w:val="18"/>
                  </w:rPr>
                  <w:t>ISC-B-II-12(05版）</w:t>
                </w:r>
              </w:p>
              <w:p/>
            </w:txbxContent>
          </v:textbox>
        </v:shape>
      </w:pict>
    </w:r>
    <w:r>
      <w:rPr>
        <w:rStyle w:val="18"/>
        <w:rFonts w:hint="default"/>
        <w:w w:val="90"/>
      </w:rPr>
      <w:t>Beijing International Otandard united Certification Co.,Ltd.</w:t>
    </w:r>
    <w:r>
      <w:rPr>
        <w:rStyle w:val="18"/>
        <w:rFonts w:hint="default"/>
        <w:w w:val="90"/>
      </w:rPr>
      <w:tab/>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51750"/>
    <w:multiLevelType w:val="singleLevel"/>
    <w:tmpl w:val="CA751750"/>
    <w:lvl w:ilvl="0" w:tentative="0">
      <w:start w:val="1"/>
      <w:numFmt w:val="bullet"/>
      <w:lvlText w:val=""/>
      <w:lvlJc w:val="left"/>
      <w:pPr>
        <w:ind w:left="420" w:hanging="420"/>
      </w:pPr>
      <w:rPr>
        <w:rFonts w:hint="default" w:ascii="Wingdings" w:hAnsi="Wingdings"/>
      </w:rPr>
    </w:lvl>
  </w:abstractNum>
  <w:abstractNum w:abstractNumId="1">
    <w:nsid w:val="08612A2A"/>
    <w:multiLevelType w:val="multilevel"/>
    <w:tmpl w:val="08612A2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VjOWY5MmIxZGI2NTJmOGI5Yzg2MzEwNzA4OWE1NDUifQ=="/>
  </w:docVars>
  <w:rsids>
    <w:rsidRoot w:val="009973B4"/>
    <w:rsid w:val="00006E44"/>
    <w:rsid w:val="0001048E"/>
    <w:rsid w:val="00012671"/>
    <w:rsid w:val="00014869"/>
    <w:rsid w:val="000237F6"/>
    <w:rsid w:val="000242D4"/>
    <w:rsid w:val="00024F5B"/>
    <w:rsid w:val="00027F84"/>
    <w:rsid w:val="00033336"/>
    <w:rsid w:val="000333A2"/>
    <w:rsid w:val="0003373A"/>
    <w:rsid w:val="00034D78"/>
    <w:rsid w:val="00042F51"/>
    <w:rsid w:val="00046911"/>
    <w:rsid w:val="00046C5E"/>
    <w:rsid w:val="00051DBB"/>
    <w:rsid w:val="000533B7"/>
    <w:rsid w:val="000545F3"/>
    <w:rsid w:val="000554F3"/>
    <w:rsid w:val="00061775"/>
    <w:rsid w:val="00063EB6"/>
    <w:rsid w:val="00066794"/>
    <w:rsid w:val="000678A5"/>
    <w:rsid w:val="00075039"/>
    <w:rsid w:val="000753A8"/>
    <w:rsid w:val="00075451"/>
    <w:rsid w:val="00077C91"/>
    <w:rsid w:val="00085736"/>
    <w:rsid w:val="00096AF9"/>
    <w:rsid w:val="00096B85"/>
    <w:rsid w:val="00097899"/>
    <w:rsid w:val="000A0B92"/>
    <w:rsid w:val="000A37D6"/>
    <w:rsid w:val="000B731C"/>
    <w:rsid w:val="000B7933"/>
    <w:rsid w:val="000C09F5"/>
    <w:rsid w:val="000C244C"/>
    <w:rsid w:val="000C2C4B"/>
    <w:rsid w:val="000D19F5"/>
    <w:rsid w:val="000D311D"/>
    <w:rsid w:val="000D3FA8"/>
    <w:rsid w:val="000D67A5"/>
    <w:rsid w:val="000D70FB"/>
    <w:rsid w:val="000E231C"/>
    <w:rsid w:val="000E4D68"/>
    <w:rsid w:val="000F5929"/>
    <w:rsid w:val="00100DCD"/>
    <w:rsid w:val="00103E45"/>
    <w:rsid w:val="001127A2"/>
    <w:rsid w:val="001138EB"/>
    <w:rsid w:val="00115E95"/>
    <w:rsid w:val="00120A16"/>
    <w:rsid w:val="00123856"/>
    <w:rsid w:val="001359C9"/>
    <w:rsid w:val="001368EE"/>
    <w:rsid w:val="00136D05"/>
    <w:rsid w:val="00140386"/>
    <w:rsid w:val="00142E83"/>
    <w:rsid w:val="0015029E"/>
    <w:rsid w:val="0015730C"/>
    <w:rsid w:val="00164D22"/>
    <w:rsid w:val="00166CF6"/>
    <w:rsid w:val="00170A8A"/>
    <w:rsid w:val="0017683D"/>
    <w:rsid w:val="00176D03"/>
    <w:rsid w:val="00183DC1"/>
    <w:rsid w:val="0019177B"/>
    <w:rsid w:val="001919D5"/>
    <w:rsid w:val="00192F07"/>
    <w:rsid w:val="00194234"/>
    <w:rsid w:val="00197707"/>
    <w:rsid w:val="001A2D7F"/>
    <w:rsid w:val="001A7935"/>
    <w:rsid w:val="001B15F1"/>
    <w:rsid w:val="001B5577"/>
    <w:rsid w:val="001B78C4"/>
    <w:rsid w:val="001D050C"/>
    <w:rsid w:val="001D660E"/>
    <w:rsid w:val="001E1513"/>
    <w:rsid w:val="001E4832"/>
    <w:rsid w:val="001F346F"/>
    <w:rsid w:val="001F5605"/>
    <w:rsid w:val="00203613"/>
    <w:rsid w:val="00211062"/>
    <w:rsid w:val="00223692"/>
    <w:rsid w:val="00223FF3"/>
    <w:rsid w:val="00231B66"/>
    <w:rsid w:val="00252D43"/>
    <w:rsid w:val="00262CAF"/>
    <w:rsid w:val="00264460"/>
    <w:rsid w:val="002656BD"/>
    <w:rsid w:val="002776E7"/>
    <w:rsid w:val="00285D7E"/>
    <w:rsid w:val="00287C9F"/>
    <w:rsid w:val="00292B15"/>
    <w:rsid w:val="002A665C"/>
    <w:rsid w:val="002B0B86"/>
    <w:rsid w:val="002B4347"/>
    <w:rsid w:val="002B435B"/>
    <w:rsid w:val="002B6C2A"/>
    <w:rsid w:val="002B7B83"/>
    <w:rsid w:val="002E6CA1"/>
    <w:rsid w:val="002E7040"/>
    <w:rsid w:val="002E76FB"/>
    <w:rsid w:val="002F62B1"/>
    <w:rsid w:val="002F7C6D"/>
    <w:rsid w:val="00306E61"/>
    <w:rsid w:val="00314580"/>
    <w:rsid w:val="00322EA7"/>
    <w:rsid w:val="003260BE"/>
    <w:rsid w:val="00334A10"/>
    <w:rsid w:val="00334C0C"/>
    <w:rsid w:val="0033697D"/>
    <w:rsid w:val="00337922"/>
    <w:rsid w:val="00340867"/>
    <w:rsid w:val="00346079"/>
    <w:rsid w:val="00353966"/>
    <w:rsid w:val="003736F9"/>
    <w:rsid w:val="003754C8"/>
    <w:rsid w:val="00380837"/>
    <w:rsid w:val="003817EB"/>
    <w:rsid w:val="00381C13"/>
    <w:rsid w:val="0038214C"/>
    <w:rsid w:val="00383CCB"/>
    <w:rsid w:val="00385E5E"/>
    <w:rsid w:val="00391853"/>
    <w:rsid w:val="003951F3"/>
    <w:rsid w:val="003A198A"/>
    <w:rsid w:val="003A1EE9"/>
    <w:rsid w:val="003A7FBC"/>
    <w:rsid w:val="003C0A70"/>
    <w:rsid w:val="003C6BAD"/>
    <w:rsid w:val="003D0114"/>
    <w:rsid w:val="003D2C37"/>
    <w:rsid w:val="003E4429"/>
    <w:rsid w:val="003E5231"/>
    <w:rsid w:val="003E5236"/>
    <w:rsid w:val="003E6AF2"/>
    <w:rsid w:val="003E7888"/>
    <w:rsid w:val="003F2364"/>
    <w:rsid w:val="004028A5"/>
    <w:rsid w:val="00402E14"/>
    <w:rsid w:val="00403E03"/>
    <w:rsid w:val="00404142"/>
    <w:rsid w:val="00410914"/>
    <w:rsid w:val="00414948"/>
    <w:rsid w:val="0041583C"/>
    <w:rsid w:val="004336AB"/>
    <w:rsid w:val="00435BD2"/>
    <w:rsid w:val="0043778E"/>
    <w:rsid w:val="004448A8"/>
    <w:rsid w:val="00444B80"/>
    <w:rsid w:val="004454CD"/>
    <w:rsid w:val="00445522"/>
    <w:rsid w:val="00446AF0"/>
    <w:rsid w:val="00451001"/>
    <w:rsid w:val="00456A38"/>
    <w:rsid w:val="00462098"/>
    <w:rsid w:val="004807FE"/>
    <w:rsid w:val="00487BAB"/>
    <w:rsid w:val="00491F9E"/>
    <w:rsid w:val="004937C7"/>
    <w:rsid w:val="004A23D4"/>
    <w:rsid w:val="004A2531"/>
    <w:rsid w:val="004A681B"/>
    <w:rsid w:val="004B0882"/>
    <w:rsid w:val="004B095E"/>
    <w:rsid w:val="004B10FD"/>
    <w:rsid w:val="004B11D9"/>
    <w:rsid w:val="004B20B0"/>
    <w:rsid w:val="004B6B2B"/>
    <w:rsid w:val="004C3DBA"/>
    <w:rsid w:val="004C4AEC"/>
    <w:rsid w:val="004C5CE9"/>
    <w:rsid w:val="004C5E7C"/>
    <w:rsid w:val="004C71D0"/>
    <w:rsid w:val="004D05B0"/>
    <w:rsid w:val="004D3389"/>
    <w:rsid w:val="004D3DF1"/>
    <w:rsid w:val="004D532C"/>
    <w:rsid w:val="004D6DA4"/>
    <w:rsid w:val="004E28DE"/>
    <w:rsid w:val="004E2E37"/>
    <w:rsid w:val="004F2E75"/>
    <w:rsid w:val="004F4C01"/>
    <w:rsid w:val="004F7428"/>
    <w:rsid w:val="00500C90"/>
    <w:rsid w:val="00502083"/>
    <w:rsid w:val="00506C94"/>
    <w:rsid w:val="005119B3"/>
    <w:rsid w:val="00513E0F"/>
    <w:rsid w:val="005211D0"/>
    <w:rsid w:val="00527E26"/>
    <w:rsid w:val="00536930"/>
    <w:rsid w:val="00537F27"/>
    <w:rsid w:val="00540918"/>
    <w:rsid w:val="00542737"/>
    <w:rsid w:val="005441E5"/>
    <w:rsid w:val="005545AC"/>
    <w:rsid w:val="005642CE"/>
    <w:rsid w:val="00564E53"/>
    <w:rsid w:val="00567E81"/>
    <w:rsid w:val="00582990"/>
    <w:rsid w:val="00582F4D"/>
    <w:rsid w:val="00583DB5"/>
    <w:rsid w:val="005903A3"/>
    <w:rsid w:val="00595E10"/>
    <w:rsid w:val="00597C8D"/>
    <w:rsid w:val="005A01C3"/>
    <w:rsid w:val="005A34BB"/>
    <w:rsid w:val="005B3251"/>
    <w:rsid w:val="005C1F6B"/>
    <w:rsid w:val="005D488A"/>
    <w:rsid w:val="005E39EA"/>
    <w:rsid w:val="005E486D"/>
    <w:rsid w:val="005E4BB2"/>
    <w:rsid w:val="006017B5"/>
    <w:rsid w:val="0060453B"/>
    <w:rsid w:val="00606EE9"/>
    <w:rsid w:val="00610889"/>
    <w:rsid w:val="00617BF7"/>
    <w:rsid w:val="00622285"/>
    <w:rsid w:val="00623D02"/>
    <w:rsid w:val="00627710"/>
    <w:rsid w:val="00632336"/>
    <w:rsid w:val="00633C40"/>
    <w:rsid w:val="00636CCC"/>
    <w:rsid w:val="00642669"/>
    <w:rsid w:val="00644FE2"/>
    <w:rsid w:val="00645136"/>
    <w:rsid w:val="006471B5"/>
    <w:rsid w:val="00653D06"/>
    <w:rsid w:val="00653F03"/>
    <w:rsid w:val="00656362"/>
    <w:rsid w:val="00665260"/>
    <w:rsid w:val="00672363"/>
    <w:rsid w:val="006736CD"/>
    <w:rsid w:val="00674B3E"/>
    <w:rsid w:val="0067640C"/>
    <w:rsid w:val="006807AD"/>
    <w:rsid w:val="00680F5C"/>
    <w:rsid w:val="0068526D"/>
    <w:rsid w:val="00686AED"/>
    <w:rsid w:val="0069467C"/>
    <w:rsid w:val="006A3A16"/>
    <w:rsid w:val="006A40E0"/>
    <w:rsid w:val="006B02A5"/>
    <w:rsid w:val="006B0C81"/>
    <w:rsid w:val="006B6877"/>
    <w:rsid w:val="006C0C9A"/>
    <w:rsid w:val="006C431B"/>
    <w:rsid w:val="006C5F17"/>
    <w:rsid w:val="006C67E9"/>
    <w:rsid w:val="006C7B47"/>
    <w:rsid w:val="006D7BAD"/>
    <w:rsid w:val="006E1DF1"/>
    <w:rsid w:val="006E2FE5"/>
    <w:rsid w:val="006E454A"/>
    <w:rsid w:val="006E63E5"/>
    <w:rsid w:val="006E678B"/>
    <w:rsid w:val="007009B6"/>
    <w:rsid w:val="00705795"/>
    <w:rsid w:val="00706742"/>
    <w:rsid w:val="007067F3"/>
    <w:rsid w:val="00706933"/>
    <w:rsid w:val="00713ECA"/>
    <w:rsid w:val="00714E4F"/>
    <w:rsid w:val="0073317D"/>
    <w:rsid w:val="0073498A"/>
    <w:rsid w:val="00735F42"/>
    <w:rsid w:val="0073640D"/>
    <w:rsid w:val="00751E25"/>
    <w:rsid w:val="007552F3"/>
    <w:rsid w:val="007631FD"/>
    <w:rsid w:val="00764A89"/>
    <w:rsid w:val="00770AC4"/>
    <w:rsid w:val="007747E9"/>
    <w:rsid w:val="007757F3"/>
    <w:rsid w:val="00780D8D"/>
    <w:rsid w:val="00786554"/>
    <w:rsid w:val="00796C8A"/>
    <w:rsid w:val="007A1135"/>
    <w:rsid w:val="007C1993"/>
    <w:rsid w:val="007C2968"/>
    <w:rsid w:val="007C7EFD"/>
    <w:rsid w:val="007D1134"/>
    <w:rsid w:val="007D54D2"/>
    <w:rsid w:val="007D7047"/>
    <w:rsid w:val="007E30DB"/>
    <w:rsid w:val="007E4C55"/>
    <w:rsid w:val="007E6AEB"/>
    <w:rsid w:val="00803C8E"/>
    <w:rsid w:val="008331CA"/>
    <w:rsid w:val="0084257F"/>
    <w:rsid w:val="0084760F"/>
    <w:rsid w:val="0085073D"/>
    <w:rsid w:val="0085387B"/>
    <w:rsid w:val="00854914"/>
    <w:rsid w:val="00854E98"/>
    <w:rsid w:val="00862ED1"/>
    <w:rsid w:val="008654C0"/>
    <w:rsid w:val="008755DA"/>
    <w:rsid w:val="00876495"/>
    <w:rsid w:val="00881982"/>
    <w:rsid w:val="0088562A"/>
    <w:rsid w:val="00885A7A"/>
    <w:rsid w:val="008925D6"/>
    <w:rsid w:val="0089324A"/>
    <w:rsid w:val="008973EE"/>
    <w:rsid w:val="008A7493"/>
    <w:rsid w:val="008A7789"/>
    <w:rsid w:val="008B367B"/>
    <w:rsid w:val="008B3C94"/>
    <w:rsid w:val="008B793B"/>
    <w:rsid w:val="008D175F"/>
    <w:rsid w:val="008D6CA6"/>
    <w:rsid w:val="008E3D7A"/>
    <w:rsid w:val="008E54C3"/>
    <w:rsid w:val="008E5780"/>
    <w:rsid w:val="008F640C"/>
    <w:rsid w:val="009068A5"/>
    <w:rsid w:val="009318B6"/>
    <w:rsid w:val="00941C88"/>
    <w:rsid w:val="00946314"/>
    <w:rsid w:val="009554A9"/>
    <w:rsid w:val="009621AC"/>
    <w:rsid w:val="00967DEB"/>
    <w:rsid w:val="00971600"/>
    <w:rsid w:val="009760A8"/>
    <w:rsid w:val="00981521"/>
    <w:rsid w:val="009865DD"/>
    <w:rsid w:val="00990AF0"/>
    <w:rsid w:val="00990CC2"/>
    <w:rsid w:val="009973B4"/>
    <w:rsid w:val="009A457A"/>
    <w:rsid w:val="009B118D"/>
    <w:rsid w:val="009B6326"/>
    <w:rsid w:val="009C1EE2"/>
    <w:rsid w:val="009C28C1"/>
    <w:rsid w:val="009D20CD"/>
    <w:rsid w:val="009D5430"/>
    <w:rsid w:val="009E0E6E"/>
    <w:rsid w:val="009E1A2C"/>
    <w:rsid w:val="009E2EC5"/>
    <w:rsid w:val="009E7F10"/>
    <w:rsid w:val="009F0EDA"/>
    <w:rsid w:val="009F18AF"/>
    <w:rsid w:val="009F3172"/>
    <w:rsid w:val="009F3C0C"/>
    <w:rsid w:val="009F4A90"/>
    <w:rsid w:val="009F5F4E"/>
    <w:rsid w:val="009F7EED"/>
    <w:rsid w:val="00A0419F"/>
    <w:rsid w:val="00A1110F"/>
    <w:rsid w:val="00A1730B"/>
    <w:rsid w:val="00A26176"/>
    <w:rsid w:val="00A2734C"/>
    <w:rsid w:val="00A30DDE"/>
    <w:rsid w:val="00A335ED"/>
    <w:rsid w:val="00A404BC"/>
    <w:rsid w:val="00A513EC"/>
    <w:rsid w:val="00A54304"/>
    <w:rsid w:val="00A6146F"/>
    <w:rsid w:val="00A813B4"/>
    <w:rsid w:val="00A84FD3"/>
    <w:rsid w:val="00A85359"/>
    <w:rsid w:val="00A85563"/>
    <w:rsid w:val="00A902BB"/>
    <w:rsid w:val="00A90A02"/>
    <w:rsid w:val="00A91442"/>
    <w:rsid w:val="00AA543E"/>
    <w:rsid w:val="00AB0334"/>
    <w:rsid w:val="00AB2CBB"/>
    <w:rsid w:val="00AB34D9"/>
    <w:rsid w:val="00AB45AC"/>
    <w:rsid w:val="00AB4787"/>
    <w:rsid w:val="00AB6F50"/>
    <w:rsid w:val="00AC4F65"/>
    <w:rsid w:val="00AD32FD"/>
    <w:rsid w:val="00AE4126"/>
    <w:rsid w:val="00AE76A3"/>
    <w:rsid w:val="00AF0AAB"/>
    <w:rsid w:val="00B02129"/>
    <w:rsid w:val="00B1235B"/>
    <w:rsid w:val="00B174FF"/>
    <w:rsid w:val="00B215FF"/>
    <w:rsid w:val="00B33C9F"/>
    <w:rsid w:val="00B341C5"/>
    <w:rsid w:val="00B40476"/>
    <w:rsid w:val="00B43CE9"/>
    <w:rsid w:val="00B4486C"/>
    <w:rsid w:val="00B61FC2"/>
    <w:rsid w:val="00B63B5A"/>
    <w:rsid w:val="00B67BD9"/>
    <w:rsid w:val="00B70825"/>
    <w:rsid w:val="00B71B46"/>
    <w:rsid w:val="00B82EA5"/>
    <w:rsid w:val="00B90A0E"/>
    <w:rsid w:val="00B90C2C"/>
    <w:rsid w:val="00B96207"/>
    <w:rsid w:val="00BA2032"/>
    <w:rsid w:val="00BA274B"/>
    <w:rsid w:val="00BA4866"/>
    <w:rsid w:val="00BB2AFA"/>
    <w:rsid w:val="00BB5C9E"/>
    <w:rsid w:val="00BB6A1B"/>
    <w:rsid w:val="00BD23EC"/>
    <w:rsid w:val="00BE0793"/>
    <w:rsid w:val="00BE4239"/>
    <w:rsid w:val="00BE4BA8"/>
    <w:rsid w:val="00BF597E"/>
    <w:rsid w:val="00C1436A"/>
    <w:rsid w:val="00C30B76"/>
    <w:rsid w:val="00C32A03"/>
    <w:rsid w:val="00C35DF4"/>
    <w:rsid w:val="00C3798B"/>
    <w:rsid w:val="00C453D5"/>
    <w:rsid w:val="00C45693"/>
    <w:rsid w:val="00C51A36"/>
    <w:rsid w:val="00C55228"/>
    <w:rsid w:val="00C662F4"/>
    <w:rsid w:val="00C66CD2"/>
    <w:rsid w:val="00C73A1A"/>
    <w:rsid w:val="00C74DF3"/>
    <w:rsid w:val="00C80D84"/>
    <w:rsid w:val="00C86445"/>
    <w:rsid w:val="00C900D1"/>
    <w:rsid w:val="00C926D4"/>
    <w:rsid w:val="00C93015"/>
    <w:rsid w:val="00C96ECF"/>
    <w:rsid w:val="00CA17E5"/>
    <w:rsid w:val="00CA37AD"/>
    <w:rsid w:val="00CA6325"/>
    <w:rsid w:val="00CC782B"/>
    <w:rsid w:val="00CD391A"/>
    <w:rsid w:val="00CD4BD0"/>
    <w:rsid w:val="00CE315A"/>
    <w:rsid w:val="00CE6D44"/>
    <w:rsid w:val="00CF02A1"/>
    <w:rsid w:val="00D06F59"/>
    <w:rsid w:val="00D17304"/>
    <w:rsid w:val="00D222CA"/>
    <w:rsid w:val="00D22AE7"/>
    <w:rsid w:val="00D31BC2"/>
    <w:rsid w:val="00D33168"/>
    <w:rsid w:val="00D339B3"/>
    <w:rsid w:val="00D3523F"/>
    <w:rsid w:val="00D4304E"/>
    <w:rsid w:val="00D43E78"/>
    <w:rsid w:val="00D60DBD"/>
    <w:rsid w:val="00D73F80"/>
    <w:rsid w:val="00D75D24"/>
    <w:rsid w:val="00D77628"/>
    <w:rsid w:val="00D81225"/>
    <w:rsid w:val="00D8388C"/>
    <w:rsid w:val="00D83A2D"/>
    <w:rsid w:val="00D91E07"/>
    <w:rsid w:val="00D922F0"/>
    <w:rsid w:val="00D923C6"/>
    <w:rsid w:val="00D94D50"/>
    <w:rsid w:val="00D96B09"/>
    <w:rsid w:val="00DA6D41"/>
    <w:rsid w:val="00DA6D75"/>
    <w:rsid w:val="00DA6EE2"/>
    <w:rsid w:val="00DB131E"/>
    <w:rsid w:val="00DC39C3"/>
    <w:rsid w:val="00DC67BD"/>
    <w:rsid w:val="00DC6B31"/>
    <w:rsid w:val="00DD0CD8"/>
    <w:rsid w:val="00DD44CD"/>
    <w:rsid w:val="00DD6F21"/>
    <w:rsid w:val="00DD7CF8"/>
    <w:rsid w:val="00DE150E"/>
    <w:rsid w:val="00DE60CF"/>
    <w:rsid w:val="00DF3DE3"/>
    <w:rsid w:val="00DF78FD"/>
    <w:rsid w:val="00E057B5"/>
    <w:rsid w:val="00E11FF1"/>
    <w:rsid w:val="00E1555A"/>
    <w:rsid w:val="00E172D1"/>
    <w:rsid w:val="00E23D5B"/>
    <w:rsid w:val="00E260ED"/>
    <w:rsid w:val="00E26298"/>
    <w:rsid w:val="00E30F8C"/>
    <w:rsid w:val="00E5749F"/>
    <w:rsid w:val="00E66F8E"/>
    <w:rsid w:val="00E67C54"/>
    <w:rsid w:val="00E70666"/>
    <w:rsid w:val="00E718BB"/>
    <w:rsid w:val="00E7340C"/>
    <w:rsid w:val="00E739AF"/>
    <w:rsid w:val="00E74748"/>
    <w:rsid w:val="00E756A8"/>
    <w:rsid w:val="00E75BF1"/>
    <w:rsid w:val="00E768F1"/>
    <w:rsid w:val="00E8109E"/>
    <w:rsid w:val="00E82C8A"/>
    <w:rsid w:val="00E84CDF"/>
    <w:rsid w:val="00E862C0"/>
    <w:rsid w:val="00E932A5"/>
    <w:rsid w:val="00E96F99"/>
    <w:rsid w:val="00EA3B64"/>
    <w:rsid w:val="00EB0164"/>
    <w:rsid w:val="00EC324D"/>
    <w:rsid w:val="00ED0F62"/>
    <w:rsid w:val="00F04412"/>
    <w:rsid w:val="00F128EF"/>
    <w:rsid w:val="00F1495C"/>
    <w:rsid w:val="00F16A69"/>
    <w:rsid w:val="00F2164F"/>
    <w:rsid w:val="00F25A3E"/>
    <w:rsid w:val="00F315A7"/>
    <w:rsid w:val="00F31F44"/>
    <w:rsid w:val="00F36A79"/>
    <w:rsid w:val="00F41512"/>
    <w:rsid w:val="00F41E50"/>
    <w:rsid w:val="00F44F05"/>
    <w:rsid w:val="00F560B7"/>
    <w:rsid w:val="00F61533"/>
    <w:rsid w:val="00F63798"/>
    <w:rsid w:val="00F74505"/>
    <w:rsid w:val="00F763FC"/>
    <w:rsid w:val="00F77D93"/>
    <w:rsid w:val="00F81F88"/>
    <w:rsid w:val="00F8212E"/>
    <w:rsid w:val="00F836F3"/>
    <w:rsid w:val="00F83F61"/>
    <w:rsid w:val="00F8527E"/>
    <w:rsid w:val="00F920F4"/>
    <w:rsid w:val="00F95B49"/>
    <w:rsid w:val="00F96C53"/>
    <w:rsid w:val="00FA23DC"/>
    <w:rsid w:val="00FA2C55"/>
    <w:rsid w:val="00FA4B73"/>
    <w:rsid w:val="00FA6F4E"/>
    <w:rsid w:val="00FB27A9"/>
    <w:rsid w:val="00FB2E5A"/>
    <w:rsid w:val="00FC0FE8"/>
    <w:rsid w:val="00FC12B9"/>
    <w:rsid w:val="00FC3688"/>
    <w:rsid w:val="00FC5E84"/>
    <w:rsid w:val="00FD281C"/>
    <w:rsid w:val="00FD3971"/>
    <w:rsid w:val="00FE0B48"/>
    <w:rsid w:val="00FF04EE"/>
    <w:rsid w:val="00FF2314"/>
    <w:rsid w:val="00FF3CE1"/>
    <w:rsid w:val="03011590"/>
    <w:rsid w:val="0320505F"/>
    <w:rsid w:val="04510B7D"/>
    <w:rsid w:val="08BF0232"/>
    <w:rsid w:val="08E60B71"/>
    <w:rsid w:val="0A4E07CC"/>
    <w:rsid w:val="0A8D103E"/>
    <w:rsid w:val="0ACE1CBC"/>
    <w:rsid w:val="0B451C47"/>
    <w:rsid w:val="0B4E6612"/>
    <w:rsid w:val="0E3E43E5"/>
    <w:rsid w:val="0E673B3C"/>
    <w:rsid w:val="0E7B3386"/>
    <w:rsid w:val="0E891764"/>
    <w:rsid w:val="0F413AC7"/>
    <w:rsid w:val="108219C2"/>
    <w:rsid w:val="108A0D67"/>
    <w:rsid w:val="117E71EC"/>
    <w:rsid w:val="11D96B76"/>
    <w:rsid w:val="12245DB8"/>
    <w:rsid w:val="136314F4"/>
    <w:rsid w:val="13CA12D3"/>
    <w:rsid w:val="13CE6575"/>
    <w:rsid w:val="141304FE"/>
    <w:rsid w:val="14257908"/>
    <w:rsid w:val="14D454BA"/>
    <w:rsid w:val="14FD6176"/>
    <w:rsid w:val="15D53416"/>
    <w:rsid w:val="162B5F34"/>
    <w:rsid w:val="179470C0"/>
    <w:rsid w:val="17BB45DD"/>
    <w:rsid w:val="188C6160"/>
    <w:rsid w:val="19BD6015"/>
    <w:rsid w:val="1A5C1BE8"/>
    <w:rsid w:val="1B3E39A3"/>
    <w:rsid w:val="1B71487F"/>
    <w:rsid w:val="1B9E43FA"/>
    <w:rsid w:val="1BD854B1"/>
    <w:rsid w:val="1BEC3BF1"/>
    <w:rsid w:val="1D85741F"/>
    <w:rsid w:val="1DE60924"/>
    <w:rsid w:val="1E847499"/>
    <w:rsid w:val="1F063599"/>
    <w:rsid w:val="1F1F7BA7"/>
    <w:rsid w:val="1FD7676E"/>
    <w:rsid w:val="23557E88"/>
    <w:rsid w:val="274E61F5"/>
    <w:rsid w:val="2767752B"/>
    <w:rsid w:val="27DF7CD6"/>
    <w:rsid w:val="28563B5D"/>
    <w:rsid w:val="2B0C3F43"/>
    <w:rsid w:val="2C703113"/>
    <w:rsid w:val="2D004A1A"/>
    <w:rsid w:val="2EE93C61"/>
    <w:rsid w:val="2FEB299B"/>
    <w:rsid w:val="32691255"/>
    <w:rsid w:val="32C11AD5"/>
    <w:rsid w:val="34041CDB"/>
    <w:rsid w:val="3438524B"/>
    <w:rsid w:val="34B32935"/>
    <w:rsid w:val="35853C54"/>
    <w:rsid w:val="373D79D6"/>
    <w:rsid w:val="375F34D7"/>
    <w:rsid w:val="37FB7F90"/>
    <w:rsid w:val="39952144"/>
    <w:rsid w:val="3AD826FA"/>
    <w:rsid w:val="3BD4497A"/>
    <w:rsid w:val="3C9E5B10"/>
    <w:rsid w:val="3CF20347"/>
    <w:rsid w:val="3DAD6D4F"/>
    <w:rsid w:val="3F0F3C1B"/>
    <w:rsid w:val="40285D69"/>
    <w:rsid w:val="414D774F"/>
    <w:rsid w:val="41842DAE"/>
    <w:rsid w:val="418A49D1"/>
    <w:rsid w:val="434C1125"/>
    <w:rsid w:val="438E0283"/>
    <w:rsid w:val="440643B1"/>
    <w:rsid w:val="44D10776"/>
    <w:rsid w:val="466F33FE"/>
    <w:rsid w:val="46B97919"/>
    <w:rsid w:val="48800E04"/>
    <w:rsid w:val="489C542B"/>
    <w:rsid w:val="494C5676"/>
    <w:rsid w:val="4ABE4B71"/>
    <w:rsid w:val="4BFF3076"/>
    <w:rsid w:val="4D943D2E"/>
    <w:rsid w:val="4E950790"/>
    <w:rsid w:val="4E95570D"/>
    <w:rsid w:val="4EC64F08"/>
    <w:rsid w:val="4FF9693C"/>
    <w:rsid w:val="50886C2D"/>
    <w:rsid w:val="51543C71"/>
    <w:rsid w:val="52390AC9"/>
    <w:rsid w:val="56135BAC"/>
    <w:rsid w:val="56390FCA"/>
    <w:rsid w:val="58322D49"/>
    <w:rsid w:val="592F0962"/>
    <w:rsid w:val="59D5213B"/>
    <w:rsid w:val="5A526EF4"/>
    <w:rsid w:val="5AAA27E4"/>
    <w:rsid w:val="5BCC76FD"/>
    <w:rsid w:val="5BE53841"/>
    <w:rsid w:val="5CAB10AC"/>
    <w:rsid w:val="5CB37300"/>
    <w:rsid w:val="5DAB4DE2"/>
    <w:rsid w:val="5DE6570D"/>
    <w:rsid w:val="5EA12B9A"/>
    <w:rsid w:val="5ED74E33"/>
    <w:rsid w:val="5FF65830"/>
    <w:rsid w:val="628F0BD1"/>
    <w:rsid w:val="63606581"/>
    <w:rsid w:val="639E349D"/>
    <w:rsid w:val="65B47E80"/>
    <w:rsid w:val="661149EF"/>
    <w:rsid w:val="6612664F"/>
    <w:rsid w:val="66B7462A"/>
    <w:rsid w:val="68AC04FF"/>
    <w:rsid w:val="69EA7EC1"/>
    <w:rsid w:val="6A23146B"/>
    <w:rsid w:val="6B3D0D8C"/>
    <w:rsid w:val="6BAC184E"/>
    <w:rsid w:val="6CA45EE1"/>
    <w:rsid w:val="6D53402F"/>
    <w:rsid w:val="70205029"/>
    <w:rsid w:val="702D7970"/>
    <w:rsid w:val="71065FD8"/>
    <w:rsid w:val="7333596B"/>
    <w:rsid w:val="73A00EA2"/>
    <w:rsid w:val="75A8368A"/>
    <w:rsid w:val="761F43CB"/>
    <w:rsid w:val="76373F2B"/>
    <w:rsid w:val="76E27F87"/>
    <w:rsid w:val="77310DBF"/>
    <w:rsid w:val="78741EB2"/>
    <w:rsid w:val="79C04904"/>
    <w:rsid w:val="79E2643B"/>
    <w:rsid w:val="7A3A268E"/>
    <w:rsid w:val="7B5C61FD"/>
    <w:rsid w:val="7C456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4">
    <w:name w:val="toa heading"/>
    <w:basedOn w:val="1"/>
    <w:next w:val="1"/>
    <w:qFormat/>
    <w:uiPriority w:val="0"/>
    <w:pPr>
      <w:spacing w:before="120"/>
    </w:pPr>
    <w:rPr>
      <w:rFonts w:ascii="Arial" w:hAnsi="Arial" w:cs="Arial"/>
      <w:szCs w:val="24"/>
    </w:rPr>
  </w:style>
  <w:style w:type="paragraph" w:styleId="5">
    <w:name w:val="Body Text Indent"/>
    <w:basedOn w:val="1"/>
    <w:qFormat/>
    <w:uiPriority w:val="0"/>
    <w:pPr>
      <w:ind w:firstLine="480" w:firstLineChars="200"/>
    </w:pPr>
    <w:rPr>
      <w:sz w:val="24"/>
    </w:rPr>
  </w:style>
  <w:style w:type="paragraph" w:styleId="6">
    <w:name w:val="Plain Text"/>
    <w:basedOn w:val="1"/>
    <w:link w:val="21"/>
    <w:unhideWhenUsed/>
    <w:qFormat/>
    <w:uiPriority w:val="0"/>
    <w:rPr>
      <w:rFonts w:ascii="宋体" w:hAnsi="Courier New"/>
    </w:r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Hyperlink"/>
    <w:qFormat/>
    <w:uiPriority w:val="99"/>
    <w:rPr>
      <w:color w:val="0000FF"/>
      <w:u w:val="single"/>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2"/>
    <w:link w:val="9"/>
    <w:qFormat/>
    <w:uiPriority w:val="99"/>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_Style 2"/>
    <w:basedOn w:val="1"/>
    <w:qFormat/>
    <w:uiPriority w:val="34"/>
    <w:pPr>
      <w:ind w:firstLine="420" w:firstLineChars="200"/>
    </w:pPr>
    <w:rPr>
      <w:rFonts w:ascii="Calibri" w:hAnsi="Calibri"/>
      <w:szCs w:val="22"/>
    </w:rPr>
  </w:style>
  <w:style w:type="paragraph" w:styleId="20">
    <w:name w:val="List Paragraph"/>
    <w:basedOn w:val="1"/>
    <w:qFormat/>
    <w:uiPriority w:val="99"/>
    <w:pPr>
      <w:ind w:firstLine="420" w:firstLineChars="200"/>
    </w:pPr>
  </w:style>
  <w:style w:type="character" w:customStyle="1" w:styleId="21">
    <w:name w:val="纯文本 Char"/>
    <w:link w:val="6"/>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AE42C-713B-4930-A250-AA35CBDA1C8C}">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4244</Words>
  <Characters>4460</Characters>
  <Lines>32</Lines>
  <Paragraphs>9</Paragraphs>
  <TotalTime>0</TotalTime>
  <ScaleCrop>false</ScaleCrop>
  <LinksUpToDate>false</LinksUpToDate>
  <CharactersWithSpaces>4588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付正</cp:lastModifiedBy>
  <dcterms:modified xsi:type="dcterms:W3CDTF">2022-06-28T07:23:34Z</dcterms:modified>
  <cp:revision>524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0C3F49CF39064D5B9E8FAB16719EA330</vt:lpwstr>
  </property>
</Properties>
</file>