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B9" w:rsidRDefault="000B25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209"/>
        <w:gridCol w:w="9755"/>
        <w:gridCol w:w="1585"/>
      </w:tblGrid>
      <w:tr w:rsidR="005D52B9">
        <w:trPr>
          <w:trHeight w:val="515"/>
        </w:trPr>
        <w:tc>
          <w:tcPr>
            <w:tcW w:w="2160" w:type="dxa"/>
            <w:vMerge w:val="restart"/>
            <w:vAlign w:val="center"/>
          </w:tcPr>
          <w:p w:rsidR="005D52B9" w:rsidRDefault="000B252F">
            <w:pPr>
              <w:spacing w:before="120"/>
              <w:jc w:val="center"/>
              <w:rPr>
                <w:sz w:val="24"/>
                <w:szCs w:val="24"/>
              </w:rPr>
            </w:pPr>
            <w:r>
              <w:rPr>
                <w:rFonts w:hint="eastAsia"/>
                <w:sz w:val="24"/>
                <w:szCs w:val="24"/>
              </w:rPr>
              <w:t>过程与活动、</w:t>
            </w:r>
          </w:p>
          <w:p w:rsidR="005D52B9" w:rsidRDefault="000B252F">
            <w:pPr>
              <w:jc w:val="center"/>
            </w:pPr>
            <w:r>
              <w:rPr>
                <w:rFonts w:hint="eastAsia"/>
                <w:sz w:val="24"/>
                <w:szCs w:val="24"/>
              </w:rPr>
              <w:t>抽样计划</w:t>
            </w:r>
          </w:p>
        </w:tc>
        <w:tc>
          <w:tcPr>
            <w:tcW w:w="1209" w:type="dxa"/>
            <w:vMerge w:val="restart"/>
            <w:vAlign w:val="center"/>
          </w:tcPr>
          <w:p w:rsidR="005D52B9" w:rsidRDefault="000B252F">
            <w:r>
              <w:rPr>
                <w:rFonts w:hint="eastAsia"/>
                <w:sz w:val="24"/>
                <w:szCs w:val="24"/>
              </w:rPr>
              <w:t>涉及条款</w:t>
            </w:r>
          </w:p>
        </w:tc>
        <w:tc>
          <w:tcPr>
            <w:tcW w:w="9755" w:type="dxa"/>
            <w:vAlign w:val="center"/>
          </w:tcPr>
          <w:p w:rsidR="005D52B9" w:rsidRDefault="000B252F">
            <w:pPr>
              <w:rPr>
                <w:sz w:val="24"/>
                <w:szCs w:val="24"/>
              </w:rPr>
            </w:pPr>
            <w:r>
              <w:rPr>
                <w:rFonts w:hint="eastAsia"/>
                <w:sz w:val="24"/>
                <w:szCs w:val="24"/>
              </w:rPr>
              <w:t>受审核部门：财务部</w:t>
            </w:r>
            <w:r>
              <w:rPr>
                <w:rFonts w:hint="eastAsia"/>
                <w:sz w:val="24"/>
                <w:szCs w:val="24"/>
              </w:rPr>
              <w:t xml:space="preserve">              </w:t>
            </w:r>
            <w:r>
              <w:rPr>
                <w:rFonts w:hint="eastAsia"/>
                <w:sz w:val="24"/>
                <w:szCs w:val="24"/>
              </w:rPr>
              <w:t>主管领导</w:t>
            </w:r>
            <w:r>
              <w:rPr>
                <w:rFonts w:hint="eastAsia"/>
                <w:sz w:val="24"/>
                <w:szCs w:val="24"/>
              </w:rPr>
              <w:t>/</w:t>
            </w:r>
            <w:r>
              <w:rPr>
                <w:rFonts w:hint="eastAsia"/>
                <w:sz w:val="24"/>
                <w:szCs w:val="24"/>
              </w:rPr>
              <w:t>陪同人员：</w:t>
            </w:r>
            <w:r>
              <w:rPr>
                <w:rFonts w:hint="eastAsia"/>
                <w:sz w:val="24"/>
                <w:szCs w:val="24"/>
              </w:rPr>
              <w:t xml:space="preserve"> </w:t>
            </w:r>
            <w:r>
              <w:rPr>
                <w:rFonts w:ascii="宋体" w:hAnsi="宋体" w:hint="eastAsia"/>
                <w:sz w:val="24"/>
              </w:rPr>
              <w:t>杨郁晖</w:t>
            </w:r>
          </w:p>
        </w:tc>
        <w:tc>
          <w:tcPr>
            <w:tcW w:w="1585" w:type="dxa"/>
            <w:vMerge w:val="restart"/>
            <w:vAlign w:val="center"/>
          </w:tcPr>
          <w:p w:rsidR="005D52B9" w:rsidRDefault="000B252F">
            <w:pPr>
              <w:rPr>
                <w:sz w:val="24"/>
                <w:szCs w:val="24"/>
              </w:rPr>
            </w:pPr>
            <w:r>
              <w:rPr>
                <w:rFonts w:hint="eastAsia"/>
                <w:sz w:val="24"/>
                <w:szCs w:val="24"/>
              </w:rPr>
              <w:t>判定</w:t>
            </w:r>
          </w:p>
        </w:tc>
      </w:tr>
      <w:tr w:rsidR="005D52B9">
        <w:trPr>
          <w:trHeight w:val="403"/>
        </w:trPr>
        <w:tc>
          <w:tcPr>
            <w:tcW w:w="2160" w:type="dxa"/>
            <w:vMerge/>
            <w:vAlign w:val="center"/>
          </w:tcPr>
          <w:p w:rsidR="005D52B9" w:rsidRDefault="005D52B9"/>
        </w:tc>
        <w:tc>
          <w:tcPr>
            <w:tcW w:w="1209" w:type="dxa"/>
            <w:vMerge/>
            <w:vAlign w:val="center"/>
          </w:tcPr>
          <w:p w:rsidR="005D52B9" w:rsidRDefault="005D52B9"/>
        </w:tc>
        <w:tc>
          <w:tcPr>
            <w:tcW w:w="9755" w:type="dxa"/>
            <w:vAlign w:val="center"/>
          </w:tcPr>
          <w:p w:rsidR="005D52B9" w:rsidRDefault="000B252F" w:rsidP="00364910">
            <w:pPr>
              <w:spacing w:before="120"/>
            </w:pPr>
            <w:r>
              <w:rPr>
                <w:rFonts w:hint="eastAsia"/>
                <w:sz w:val="24"/>
                <w:szCs w:val="24"/>
              </w:rPr>
              <w:t>审核员：彭鹰</w:t>
            </w:r>
            <w:r>
              <w:rPr>
                <w:rFonts w:hint="eastAsia"/>
                <w:sz w:val="24"/>
                <w:szCs w:val="24"/>
              </w:rPr>
              <w:t xml:space="preserve"> </w:t>
            </w:r>
            <w:r w:rsidR="00364910">
              <w:rPr>
                <w:rFonts w:hint="eastAsia"/>
                <w:sz w:val="24"/>
                <w:szCs w:val="24"/>
              </w:rPr>
              <w:t>（微信）</w:t>
            </w:r>
            <w:r>
              <w:rPr>
                <w:rFonts w:hint="eastAsia"/>
                <w:sz w:val="24"/>
                <w:szCs w:val="24"/>
              </w:rPr>
              <w:t xml:space="preserve">                    </w:t>
            </w:r>
            <w:r>
              <w:rPr>
                <w:rFonts w:hint="eastAsia"/>
                <w:sz w:val="24"/>
                <w:szCs w:val="24"/>
              </w:rPr>
              <w:t>审核时间：</w:t>
            </w:r>
            <w:r>
              <w:rPr>
                <w:sz w:val="24"/>
                <w:szCs w:val="24"/>
              </w:rPr>
              <w:t>20</w:t>
            </w:r>
            <w:r>
              <w:rPr>
                <w:rFonts w:hint="eastAsia"/>
                <w:sz w:val="24"/>
                <w:szCs w:val="24"/>
              </w:rPr>
              <w:t>22.6.10</w:t>
            </w:r>
          </w:p>
        </w:tc>
        <w:tc>
          <w:tcPr>
            <w:tcW w:w="1585" w:type="dxa"/>
            <w:vMerge/>
          </w:tcPr>
          <w:p w:rsidR="005D52B9" w:rsidRDefault="005D52B9"/>
        </w:tc>
      </w:tr>
      <w:tr w:rsidR="005D52B9">
        <w:trPr>
          <w:trHeight w:val="2084"/>
        </w:trPr>
        <w:tc>
          <w:tcPr>
            <w:tcW w:w="2160" w:type="dxa"/>
            <w:vMerge/>
            <w:vAlign w:val="center"/>
          </w:tcPr>
          <w:p w:rsidR="005D52B9" w:rsidRDefault="005D52B9"/>
        </w:tc>
        <w:tc>
          <w:tcPr>
            <w:tcW w:w="1209" w:type="dxa"/>
            <w:vMerge/>
            <w:vAlign w:val="center"/>
          </w:tcPr>
          <w:p w:rsidR="005D52B9" w:rsidRDefault="005D52B9"/>
        </w:tc>
        <w:tc>
          <w:tcPr>
            <w:tcW w:w="9755" w:type="dxa"/>
            <w:vAlign w:val="center"/>
          </w:tcPr>
          <w:p w:rsidR="005D52B9" w:rsidRDefault="000B252F">
            <w:pPr>
              <w:spacing w:line="360" w:lineRule="auto"/>
              <w:rPr>
                <w:rFonts w:eastAsiaTheme="minorEastAsia" w:hAnsiTheme="minorEastAsia"/>
                <w:sz w:val="24"/>
                <w:szCs w:val="24"/>
              </w:rPr>
            </w:pPr>
            <w:r>
              <w:rPr>
                <w:rFonts w:eastAsiaTheme="minorEastAsia" w:hAnsiTheme="minorEastAsia" w:hint="eastAsia"/>
                <w:sz w:val="24"/>
                <w:szCs w:val="24"/>
              </w:rPr>
              <w:t>审核条款：</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EMS: 5.3</w:t>
            </w:r>
            <w:r>
              <w:rPr>
                <w:rFonts w:eastAsiaTheme="minorEastAsia" w:hAnsiTheme="minorEastAsia" w:hint="eastAsia"/>
                <w:sz w:val="24"/>
                <w:szCs w:val="24"/>
              </w:rPr>
              <w:t>组织的岗位、职责和权限、</w:t>
            </w:r>
            <w:r>
              <w:rPr>
                <w:rFonts w:eastAsiaTheme="minorEastAsia" w:hAnsiTheme="minorEastAsia" w:hint="eastAsia"/>
                <w:sz w:val="24"/>
                <w:szCs w:val="24"/>
              </w:rPr>
              <w:t>6.2</w:t>
            </w:r>
            <w:r>
              <w:rPr>
                <w:rFonts w:eastAsiaTheme="minorEastAsia" w:hAnsiTheme="minorEastAsia" w:hint="eastAsia"/>
                <w:sz w:val="24"/>
                <w:szCs w:val="24"/>
              </w:rPr>
              <w:t>环境目标、</w:t>
            </w:r>
            <w:r>
              <w:rPr>
                <w:rFonts w:eastAsiaTheme="minorEastAsia" w:hAnsiTheme="minorEastAsia" w:hint="eastAsia"/>
                <w:sz w:val="24"/>
                <w:szCs w:val="24"/>
              </w:rPr>
              <w:t>6.1.2</w:t>
            </w:r>
            <w:r>
              <w:rPr>
                <w:rFonts w:eastAsiaTheme="minorEastAsia" w:hAnsiTheme="minorEastAsia" w:hint="eastAsia"/>
                <w:sz w:val="24"/>
                <w:szCs w:val="24"/>
              </w:rPr>
              <w:t>环境因素识别与评价、</w:t>
            </w:r>
            <w:r>
              <w:rPr>
                <w:rFonts w:eastAsiaTheme="minorEastAsia" w:hAnsiTheme="minorEastAsia" w:hint="eastAsia"/>
                <w:sz w:val="24"/>
                <w:szCs w:val="24"/>
              </w:rPr>
              <w:t>8.1</w:t>
            </w:r>
            <w:r>
              <w:rPr>
                <w:rFonts w:eastAsiaTheme="minorEastAsia" w:hAnsiTheme="minorEastAsia" w:hint="eastAsia"/>
                <w:sz w:val="24"/>
                <w:szCs w:val="24"/>
              </w:rPr>
              <w:t>运行策划和控制、</w:t>
            </w:r>
            <w:r>
              <w:rPr>
                <w:rFonts w:eastAsiaTheme="minorEastAsia" w:hAnsiTheme="minorEastAsia" w:hint="eastAsia"/>
                <w:sz w:val="24"/>
                <w:szCs w:val="24"/>
              </w:rPr>
              <w:t>8.2</w:t>
            </w:r>
            <w:r>
              <w:rPr>
                <w:rFonts w:eastAsiaTheme="minorEastAsia" w:hAnsiTheme="minorEastAsia" w:hint="eastAsia"/>
                <w:sz w:val="24"/>
                <w:szCs w:val="24"/>
              </w:rPr>
              <w:t>应急准备和响应</w:t>
            </w:r>
            <w:bookmarkStart w:id="0" w:name="_GoBack"/>
            <w:bookmarkEnd w:id="0"/>
          </w:p>
          <w:p w:rsidR="005D52B9" w:rsidRDefault="00364910" w:rsidP="00364910">
            <w:pPr>
              <w:spacing w:line="360" w:lineRule="auto"/>
              <w:ind w:firstLineChars="200" w:firstLine="480"/>
              <w:rPr>
                <w:rFonts w:ascii="宋体" w:hAnsi="宋体" w:cs="Arial"/>
                <w:szCs w:val="21"/>
              </w:rPr>
            </w:pPr>
            <w:r>
              <w:rPr>
                <w:rFonts w:eastAsiaTheme="minorEastAsia" w:hAnsiTheme="minorEastAsia" w:hint="eastAsia"/>
                <w:sz w:val="24"/>
                <w:szCs w:val="24"/>
              </w:rPr>
              <w:t>EMS</w:t>
            </w:r>
            <w:r w:rsidR="000B252F">
              <w:rPr>
                <w:rFonts w:eastAsiaTheme="minorEastAsia" w:hAnsiTheme="minorEastAsia" w:hint="eastAsia"/>
                <w:sz w:val="24"/>
                <w:szCs w:val="24"/>
              </w:rPr>
              <w:t>运行控制相关财务支出证据</w:t>
            </w:r>
          </w:p>
        </w:tc>
        <w:tc>
          <w:tcPr>
            <w:tcW w:w="1585" w:type="dxa"/>
            <w:vMerge/>
          </w:tcPr>
          <w:p w:rsidR="005D52B9" w:rsidRDefault="005D52B9"/>
        </w:tc>
      </w:tr>
      <w:tr w:rsidR="005D52B9">
        <w:trPr>
          <w:trHeight w:val="1255"/>
        </w:trPr>
        <w:tc>
          <w:tcPr>
            <w:tcW w:w="2160" w:type="dxa"/>
            <w:vAlign w:val="center"/>
          </w:tcPr>
          <w:p w:rsidR="005D52B9" w:rsidRDefault="000B252F">
            <w:pPr>
              <w:rPr>
                <w:rFonts w:eastAsiaTheme="minorEastAsia"/>
                <w:sz w:val="24"/>
                <w:szCs w:val="24"/>
              </w:rPr>
            </w:pPr>
            <w:r>
              <w:rPr>
                <w:rFonts w:eastAsiaTheme="minorEastAsia" w:hAnsiTheme="minorEastAsia"/>
                <w:sz w:val="24"/>
                <w:szCs w:val="24"/>
              </w:rPr>
              <w:t>组织的岗位、职责权限</w:t>
            </w:r>
          </w:p>
        </w:tc>
        <w:tc>
          <w:tcPr>
            <w:tcW w:w="1209" w:type="dxa"/>
            <w:vAlign w:val="center"/>
          </w:tcPr>
          <w:p w:rsidR="005D52B9" w:rsidRDefault="000B252F">
            <w:pPr>
              <w:rPr>
                <w:rFonts w:eastAsiaTheme="minorEastAsia"/>
                <w:sz w:val="24"/>
                <w:szCs w:val="24"/>
              </w:rPr>
            </w:pPr>
            <w:r>
              <w:rPr>
                <w:rFonts w:eastAsiaTheme="minorEastAsia" w:hint="eastAsia"/>
                <w:sz w:val="24"/>
                <w:szCs w:val="24"/>
              </w:rPr>
              <w:t>E</w:t>
            </w:r>
            <w:r>
              <w:rPr>
                <w:rFonts w:eastAsiaTheme="minorEastAsia"/>
                <w:sz w:val="24"/>
                <w:szCs w:val="24"/>
              </w:rPr>
              <w:t>5.3</w:t>
            </w:r>
          </w:p>
          <w:p w:rsidR="005D52B9" w:rsidRDefault="005D52B9">
            <w:pPr>
              <w:rPr>
                <w:rFonts w:eastAsiaTheme="minorEastAsia"/>
                <w:sz w:val="24"/>
                <w:szCs w:val="24"/>
              </w:rPr>
            </w:pPr>
          </w:p>
          <w:p w:rsidR="005D52B9" w:rsidRDefault="005D52B9">
            <w:pPr>
              <w:rPr>
                <w:rFonts w:eastAsiaTheme="minorEastAsia"/>
                <w:sz w:val="24"/>
                <w:szCs w:val="24"/>
              </w:rPr>
            </w:pPr>
          </w:p>
        </w:tc>
        <w:tc>
          <w:tcPr>
            <w:tcW w:w="9755" w:type="dxa"/>
            <w:vAlign w:val="center"/>
          </w:tcPr>
          <w:p w:rsidR="005D52B9" w:rsidRDefault="000B252F">
            <w:pPr>
              <w:rPr>
                <w:rFonts w:eastAsiaTheme="minorEastAsia" w:hAnsiTheme="minorEastAsia"/>
                <w:sz w:val="24"/>
                <w:szCs w:val="24"/>
              </w:rPr>
            </w:pPr>
            <w:r>
              <w:rPr>
                <w:rFonts w:eastAsiaTheme="minorEastAsia" w:hAnsiTheme="minorEastAsia" w:hint="eastAsia"/>
                <w:sz w:val="24"/>
                <w:szCs w:val="24"/>
              </w:rPr>
              <w:t>审核过程中了解到部门主要负责：</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负责数据分析、财务管理工作，组织编制财务管理制度；制定财务预算，进行帐务处理和财务决算，组织编制会计报表及成本分析，财务分析报告；负责资金筹措与调度、资金结算、成本核算；组织制定财务预算，进行帐务处理和财务决算，组织编制会计报表及成本分析，财务分析报告；组织工资核算，审核发放清单。</w:t>
            </w:r>
          </w:p>
          <w:p w:rsidR="005D52B9" w:rsidRDefault="000B252F">
            <w:pPr>
              <w:spacing w:line="360" w:lineRule="auto"/>
              <w:rPr>
                <w:rFonts w:eastAsiaTheme="minorEastAsia" w:hAnsiTheme="minorEastAsia"/>
                <w:sz w:val="24"/>
                <w:szCs w:val="24"/>
              </w:rPr>
            </w:pPr>
            <w:r>
              <w:rPr>
                <w:rFonts w:eastAsiaTheme="minorEastAsia" w:hAnsiTheme="minorEastAsia" w:hint="eastAsia"/>
                <w:sz w:val="24"/>
                <w:szCs w:val="24"/>
              </w:rPr>
              <w:t>部门负责人职责明确，回答基本正确，沟通顺畅</w:t>
            </w:r>
          </w:p>
        </w:tc>
        <w:tc>
          <w:tcPr>
            <w:tcW w:w="1585" w:type="dxa"/>
          </w:tcPr>
          <w:p w:rsidR="005D52B9" w:rsidRDefault="000B252F">
            <w:r>
              <w:rPr>
                <w:rFonts w:hint="eastAsia"/>
              </w:rPr>
              <w:t>Y</w:t>
            </w:r>
          </w:p>
        </w:tc>
      </w:tr>
      <w:tr w:rsidR="005D52B9">
        <w:trPr>
          <w:trHeight w:val="703"/>
        </w:trPr>
        <w:tc>
          <w:tcPr>
            <w:tcW w:w="2160" w:type="dxa"/>
            <w:vAlign w:val="center"/>
          </w:tcPr>
          <w:p w:rsidR="005D52B9" w:rsidRDefault="000B252F">
            <w:pPr>
              <w:rPr>
                <w:rFonts w:eastAsiaTheme="minorEastAsia"/>
                <w:sz w:val="24"/>
                <w:szCs w:val="24"/>
              </w:rPr>
            </w:pPr>
            <w:r>
              <w:rPr>
                <w:rFonts w:eastAsiaTheme="minorEastAsia" w:hAnsiTheme="minorEastAsia"/>
                <w:sz w:val="24"/>
                <w:szCs w:val="24"/>
              </w:rPr>
              <w:t>目标和方案</w:t>
            </w:r>
          </w:p>
        </w:tc>
        <w:tc>
          <w:tcPr>
            <w:tcW w:w="1209" w:type="dxa"/>
            <w:vAlign w:val="center"/>
          </w:tcPr>
          <w:p w:rsidR="005D52B9" w:rsidRDefault="00364910">
            <w:pPr>
              <w:rPr>
                <w:rFonts w:eastAsiaTheme="minorEastAsia"/>
                <w:sz w:val="24"/>
                <w:szCs w:val="24"/>
              </w:rPr>
            </w:pPr>
            <w:r>
              <w:rPr>
                <w:rFonts w:eastAsiaTheme="minorEastAsia"/>
                <w:sz w:val="24"/>
                <w:szCs w:val="24"/>
              </w:rPr>
              <w:t>E</w:t>
            </w:r>
            <w:r w:rsidR="000B252F">
              <w:rPr>
                <w:rFonts w:eastAsiaTheme="minorEastAsia"/>
                <w:sz w:val="24"/>
                <w:szCs w:val="24"/>
              </w:rPr>
              <w:t>6.2</w:t>
            </w:r>
          </w:p>
          <w:p w:rsidR="005D52B9" w:rsidRDefault="005D52B9">
            <w:pPr>
              <w:rPr>
                <w:rFonts w:eastAsiaTheme="minorEastAsia"/>
                <w:sz w:val="24"/>
                <w:szCs w:val="24"/>
              </w:rPr>
            </w:pPr>
          </w:p>
          <w:p w:rsidR="005D52B9" w:rsidRDefault="005D52B9">
            <w:pPr>
              <w:rPr>
                <w:rFonts w:eastAsiaTheme="minorEastAsia"/>
                <w:sz w:val="24"/>
                <w:szCs w:val="24"/>
              </w:rPr>
            </w:pPr>
          </w:p>
        </w:tc>
        <w:tc>
          <w:tcPr>
            <w:tcW w:w="9755" w:type="dxa"/>
            <w:vAlign w:val="center"/>
          </w:tcPr>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sz w:val="24"/>
                <w:szCs w:val="24"/>
              </w:rPr>
              <w:t>部门目标：</w:t>
            </w:r>
            <w:r>
              <w:rPr>
                <w:rFonts w:eastAsiaTheme="minorEastAsia" w:hAnsiTheme="minorEastAsia"/>
                <w:sz w:val="24"/>
                <w:szCs w:val="24"/>
              </w:rPr>
              <w:t>202</w:t>
            </w:r>
            <w:r>
              <w:rPr>
                <w:rFonts w:eastAsiaTheme="minorEastAsia" w:hAnsiTheme="minorEastAsia" w:hint="eastAsia"/>
                <w:sz w:val="24"/>
                <w:szCs w:val="24"/>
              </w:rPr>
              <w:t>2</w:t>
            </w:r>
            <w:r>
              <w:rPr>
                <w:rFonts w:eastAsiaTheme="minorEastAsia" w:hAnsiTheme="minorEastAsia"/>
                <w:sz w:val="24"/>
                <w:szCs w:val="24"/>
              </w:rPr>
              <w:t>.</w:t>
            </w:r>
            <w:r>
              <w:rPr>
                <w:rFonts w:eastAsiaTheme="minorEastAsia" w:hAnsiTheme="minorEastAsia" w:hint="eastAsia"/>
                <w:sz w:val="24"/>
                <w:szCs w:val="24"/>
              </w:rPr>
              <w:t>4.1</w:t>
            </w:r>
            <w:r>
              <w:rPr>
                <w:rFonts w:eastAsiaTheme="minorEastAsia" w:hAnsiTheme="minorEastAsia" w:hint="eastAsia"/>
                <w:sz w:val="24"/>
                <w:szCs w:val="24"/>
              </w:rPr>
              <w:t>考</w:t>
            </w:r>
            <w:r>
              <w:rPr>
                <w:rFonts w:eastAsiaTheme="minorEastAsia" w:hAnsiTheme="minorEastAsia"/>
                <w:sz w:val="24"/>
                <w:szCs w:val="24"/>
              </w:rPr>
              <w:t>核</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sz w:val="24"/>
                <w:szCs w:val="24"/>
              </w:rPr>
              <w:t>1</w:t>
            </w:r>
            <w:r>
              <w:rPr>
                <w:rFonts w:eastAsiaTheme="minorEastAsia" w:hAnsiTheme="minorEastAsia"/>
                <w:sz w:val="24"/>
                <w:szCs w:val="24"/>
              </w:rPr>
              <w:t>、</w:t>
            </w:r>
            <w:r>
              <w:rPr>
                <w:rFonts w:ascii="宋体" w:hAnsi="宋体" w:hint="eastAsia"/>
                <w:color w:val="000000"/>
                <w:sz w:val="24"/>
              </w:rPr>
              <w:t>固体废弃物分类处置率100%；</w:t>
            </w:r>
            <w:r>
              <w:rPr>
                <w:rFonts w:eastAsiaTheme="minorEastAsia" w:hAnsiTheme="minorEastAsia"/>
                <w:sz w:val="24"/>
                <w:szCs w:val="24"/>
              </w:rPr>
              <w:t xml:space="preserve">                             100%</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sz w:val="24"/>
                <w:szCs w:val="24"/>
              </w:rPr>
              <w:t>2</w:t>
            </w:r>
            <w:r>
              <w:rPr>
                <w:rFonts w:eastAsiaTheme="minorEastAsia" w:hAnsiTheme="minorEastAsia"/>
                <w:sz w:val="24"/>
                <w:szCs w:val="24"/>
              </w:rPr>
              <w:t>、</w:t>
            </w:r>
            <w:r>
              <w:rPr>
                <w:rFonts w:ascii="宋体" w:hAnsi="宋体" w:hint="eastAsia"/>
                <w:color w:val="000000"/>
                <w:sz w:val="24"/>
              </w:rPr>
              <w:t>火灾事故为0；</w:t>
            </w:r>
            <w:r>
              <w:rPr>
                <w:rFonts w:eastAsiaTheme="minorEastAsia" w:hAnsiTheme="minorEastAsia" w:hint="eastAsia"/>
                <w:sz w:val="24"/>
                <w:szCs w:val="24"/>
              </w:rPr>
              <w:t xml:space="preserve">                                      </w:t>
            </w:r>
            <w:r>
              <w:rPr>
                <w:rFonts w:eastAsiaTheme="minorEastAsia" w:hAnsiTheme="minorEastAsia" w:hint="eastAsia"/>
                <w:sz w:val="24"/>
                <w:szCs w:val="24"/>
              </w:rPr>
              <w:t>没发生事故</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3</w:t>
            </w:r>
            <w:r>
              <w:rPr>
                <w:rFonts w:eastAsiaTheme="minorEastAsia" w:hAnsiTheme="minorEastAsia" w:hint="eastAsia"/>
                <w:sz w:val="24"/>
                <w:szCs w:val="24"/>
              </w:rPr>
              <w:t>、</w:t>
            </w:r>
            <w:r>
              <w:rPr>
                <w:rFonts w:ascii="宋体" w:hAnsi="宋体" w:hint="eastAsia"/>
                <w:color w:val="000000"/>
                <w:sz w:val="24"/>
              </w:rPr>
              <w:t>环保、安全资金提供及时率100%</w:t>
            </w:r>
            <w:r>
              <w:rPr>
                <w:rFonts w:eastAsiaTheme="minorEastAsia" w:hAnsiTheme="minorEastAsia" w:hint="eastAsia"/>
                <w:sz w:val="24"/>
                <w:szCs w:val="24"/>
              </w:rPr>
              <w:t xml:space="preserve">                           100%</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查到</w:t>
            </w:r>
            <w:r>
              <w:rPr>
                <w:rFonts w:eastAsiaTheme="minorEastAsia" w:hAnsiTheme="minorEastAsia" w:hint="eastAsia"/>
                <w:sz w:val="24"/>
                <w:szCs w:val="24"/>
              </w:rPr>
              <w:t>2022</w:t>
            </w:r>
            <w:r>
              <w:rPr>
                <w:rFonts w:eastAsiaTheme="minorEastAsia" w:hAnsiTheme="minorEastAsia" w:hint="eastAsia"/>
                <w:sz w:val="24"/>
                <w:szCs w:val="24"/>
              </w:rPr>
              <w:t>年</w:t>
            </w:r>
            <w:r>
              <w:rPr>
                <w:rFonts w:eastAsiaTheme="minorEastAsia" w:hAnsiTheme="minorEastAsia" w:hint="eastAsia"/>
                <w:sz w:val="24"/>
                <w:szCs w:val="24"/>
              </w:rPr>
              <w:t>3</w:t>
            </w:r>
            <w:r>
              <w:rPr>
                <w:rFonts w:eastAsiaTheme="minorEastAsia" w:hAnsiTheme="minorEastAsia" w:hint="eastAsia"/>
                <w:sz w:val="24"/>
                <w:szCs w:val="24"/>
              </w:rPr>
              <w:t>月目标完成计划，明确了管理目标、采取措施，需要的资源、负责人、</w:t>
            </w:r>
            <w:r>
              <w:rPr>
                <w:rFonts w:eastAsiaTheme="minorEastAsia" w:hAnsiTheme="minorEastAsia" w:hint="eastAsia"/>
                <w:sz w:val="24"/>
                <w:szCs w:val="24"/>
              </w:rPr>
              <w:lastRenderedPageBreak/>
              <w:t>完成时间、如何评价结果等要求。</w:t>
            </w:r>
          </w:p>
          <w:p w:rsidR="005D52B9" w:rsidRDefault="000B252F">
            <w:pPr>
              <w:spacing w:line="360" w:lineRule="auto"/>
              <w:ind w:firstLineChars="200" w:firstLine="480"/>
            </w:pPr>
            <w:r>
              <w:rPr>
                <w:rFonts w:eastAsiaTheme="minorEastAsia" w:hAnsiTheme="minorEastAsia" w:hint="eastAsia"/>
                <w:sz w:val="24"/>
                <w:szCs w:val="24"/>
              </w:rPr>
              <w:t>制定的目标指标和管理方案基本可行。</w:t>
            </w:r>
          </w:p>
        </w:tc>
        <w:tc>
          <w:tcPr>
            <w:tcW w:w="1585" w:type="dxa"/>
          </w:tcPr>
          <w:p w:rsidR="005D52B9" w:rsidRDefault="000B252F">
            <w:r>
              <w:rPr>
                <w:rFonts w:hint="eastAsia"/>
              </w:rPr>
              <w:lastRenderedPageBreak/>
              <w:t>Y</w:t>
            </w:r>
          </w:p>
        </w:tc>
      </w:tr>
      <w:tr w:rsidR="005D52B9">
        <w:trPr>
          <w:trHeight w:val="986"/>
        </w:trPr>
        <w:tc>
          <w:tcPr>
            <w:tcW w:w="2160" w:type="dxa"/>
          </w:tcPr>
          <w:p w:rsidR="005D52B9" w:rsidRDefault="000B252F">
            <w:pPr>
              <w:spacing w:line="280" w:lineRule="exact"/>
              <w:rPr>
                <w:szCs w:val="21"/>
              </w:rPr>
            </w:pPr>
            <w:r>
              <w:rPr>
                <w:rFonts w:hAnsi="宋体"/>
                <w:szCs w:val="21"/>
              </w:rPr>
              <w:lastRenderedPageBreak/>
              <w:t>环境因素</w:t>
            </w:r>
            <w:r>
              <w:rPr>
                <w:rFonts w:hAnsi="宋体" w:hint="eastAsia"/>
                <w:szCs w:val="21"/>
              </w:rPr>
              <w:t>/</w:t>
            </w:r>
            <w:r>
              <w:rPr>
                <w:rFonts w:hAnsi="宋体"/>
                <w:szCs w:val="21"/>
              </w:rPr>
              <w:t>危险源</w:t>
            </w:r>
          </w:p>
          <w:p w:rsidR="005D52B9" w:rsidRDefault="000B252F">
            <w:pPr>
              <w:spacing w:line="280" w:lineRule="exact"/>
              <w:rPr>
                <w:rFonts w:hAnsi="宋体"/>
              </w:rPr>
            </w:pPr>
            <w:r>
              <w:rPr>
                <w:rFonts w:hAnsi="宋体"/>
                <w:szCs w:val="21"/>
              </w:rPr>
              <w:t>辨识</w:t>
            </w:r>
            <w:r>
              <w:rPr>
                <w:rFonts w:hAnsi="宋体"/>
              </w:rPr>
              <w:t>与控制</w:t>
            </w:r>
          </w:p>
          <w:p w:rsidR="005D52B9" w:rsidRDefault="005D52B9">
            <w:pPr>
              <w:spacing w:line="280" w:lineRule="exact"/>
              <w:rPr>
                <w:rFonts w:hAnsi="宋体"/>
              </w:rPr>
            </w:pPr>
          </w:p>
          <w:p w:rsidR="005D52B9" w:rsidRDefault="005D52B9">
            <w:pPr>
              <w:spacing w:line="280" w:lineRule="exact"/>
              <w:rPr>
                <w:rFonts w:hAnsi="宋体"/>
              </w:rPr>
            </w:pPr>
          </w:p>
          <w:p w:rsidR="005D52B9" w:rsidRDefault="005D52B9">
            <w:pPr>
              <w:spacing w:line="280" w:lineRule="exact"/>
              <w:rPr>
                <w:rFonts w:hAnsi="宋体"/>
              </w:rPr>
            </w:pPr>
          </w:p>
          <w:p w:rsidR="005D52B9" w:rsidRDefault="000B252F">
            <w:pPr>
              <w:spacing w:line="280" w:lineRule="exact"/>
            </w:pPr>
            <w:r>
              <w:rPr>
                <w:rFonts w:hAnsi="宋体" w:hint="eastAsia"/>
              </w:rPr>
              <w:t>措施的策划</w:t>
            </w:r>
          </w:p>
        </w:tc>
        <w:tc>
          <w:tcPr>
            <w:tcW w:w="1209" w:type="dxa"/>
          </w:tcPr>
          <w:p w:rsidR="005D52B9" w:rsidRDefault="005D52B9">
            <w:pPr>
              <w:spacing w:line="280" w:lineRule="exact"/>
              <w:rPr>
                <w:szCs w:val="21"/>
              </w:rPr>
            </w:pPr>
          </w:p>
          <w:p w:rsidR="005D52B9" w:rsidRDefault="00364910">
            <w:pPr>
              <w:spacing w:line="280" w:lineRule="exact"/>
              <w:rPr>
                <w:szCs w:val="21"/>
              </w:rPr>
            </w:pPr>
            <w:r>
              <w:rPr>
                <w:szCs w:val="21"/>
              </w:rPr>
              <w:t>E</w:t>
            </w:r>
            <w:r w:rsidR="000B252F">
              <w:rPr>
                <w:szCs w:val="21"/>
              </w:rPr>
              <w:t>6.1.2</w:t>
            </w:r>
          </w:p>
          <w:p w:rsidR="005D52B9" w:rsidRDefault="005D52B9">
            <w:pPr>
              <w:spacing w:line="280" w:lineRule="exact"/>
              <w:rPr>
                <w:szCs w:val="21"/>
              </w:rPr>
            </w:pPr>
          </w:p>
          <w:p w:rsidR="005D52B9" w:rsidRDefault="005D52B9">
            <w:pPr>
              <w:spacing w:line="280" w:lineRule="exact"/>
              <w:rPr>
                <w:szCs w:val="21"/>
              </w:rPr>
            </w:pPr>
          </w:p>
          <w:p w:rsidR="005D52B9" w:rsidRDefault="005D52B9">
            <w:pPr>
              <w:spacing w:line="280" w:lineRule="exact"/>
              <w:rPr>
                <w:szCs w:val="21"/>
              </w:rPr>
            </w:pPr>
          </w:p>
          <w:p w:rsidR="005D52B9" w:rsidRDefault="005D52B9">
            <w:pPr>
              <w:spacing w:line="280" w:lineRule="exact"/>
              <w:rPr>
                <w:szCs w:val="21"/>
              </w:rPr>
            </w:pPr>
          </w:p>
          <w:p w:rsidR="005D52B9" w:rsidRDefault="005D52B9">
            <w:pPr>
              <w:spacing w:line="280" w:lineRule="exact"/>
              <w:rPr>
                <w:szCs w:val="21"/>
              </w:rPr>
            </w:pPr>
          </w:p>
          <w:p w:rsidR="005D52B9" w:rsidRDefault="005D52B9">
            <w:pPr>
              <w:spacing w:line="280" w:lineRule="exact"/>
              <w:rPr>
                <w:szCs w:val="21"/>
              </w:rPr>
            </w:pPr>
          </w:p>
          <w:p w:rsidR="005D52B9" w:rsidRDefault="00364910">
            <w:pPr>
              <w:spacing w:line="360" w:lineRule="auto"/>
              <w:rPr>
                <w:rFonts w:eastAsiaTheme="minorEastAsia"/>
                <w:szCs w:val="21"/>
              </w:rPr>
            </w:pPr>
            <w:r>
              <w:rPr>
                <w:rFonts w:eastAsiaTheme="minorEastAsia"/>
                <w:szCs w:val="21"/>
              </w:rPr>
              <w:t>E</w:t>
            </w:r>
            <w:r w:rsidR="000B252F">
              <w:rPr>
                <w:rFonts w:eastAsiaTheme="minorEastAsia"/>
                <w:szCs w:val="21"/>
              </w:rPr>
              <w:t>6.1.4</w:t>
            </w:r>
          </w:p>
          <w:p w:rsidR="005D52B9" w:rsidRDefault="005D52B9">
            <w:pPr>
              <w:spacing w:line="280" w:lineRule="exact"/>
            </w:pPr>
          </w:p>
        </w:tc>
        <w:tc>
          <w:tcPr>
            <w:tcW w:w="9755" w:type="dxa"/>
            <w:vAlign w:val="center"/>
          </w:tcPr>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查“环境因素辨识和评价表”，对办公活动、消防、能源使用等过程的环境因素进行了辨识和评价；涉及生活垃圾、消防器材的消耗、能源使用、火灾等；考虑了生命周期观点。</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采取打分法评价；</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查到“重要环境因素清单”，评价出固废、潜在火灾为办公活动的重要环境因素。</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提供了《危险源辨识、风险评价和控制措施的确定表》，对活动场所产生的危险源辨识并进行风险评价，以确定控制措施，经查阅已辨识出插座质量差，漏电、线路绝缘破损接线板负荷过重、违规用电、烟头未熄灭或直接扔进纸篓中、违规行驶导致意外交通事故、车祸伤害、自主加油时吸烟导致潜在火灾、触电、意外伤害、机械伤害、高温伤害、坠落、起重伤害、气罐</w:t>
            </w:r>
            <w:r>
              <w:rPr>
                <w:rFonts w:eastAsiaTheme="minorEastAsia" w:hAnsiTheme="minorEastAsia" w:hint="eastAsia"/>
                <w:sz w:val="24"/>
                <w:szCs w:val="24"/>
              </w:rPr>
              <w:t>/</w:t>
            </w:r>
            <w:r>
              <w:rPr>
                <w:rFonts w:eastAsiaTheme="minorEastAsia" w:hAnsiTheme="minorEastAsia" w:hint="eastAsia"/>
                <w:sz w:val="24"/>
                <w:szCs w:val="24"/>
              </w:rPr>
              <w:t>气瓶爆炸等危险因素。</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经评价财务报表的重大危险源：触电事故、火灾事故的发生。</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主要控制措施：固废集中收集，由行政部负责处理，危险源控制执行管理方案、配备消防器材、日常检查、日常培训教育、使用具有相关资质及考核合格的人员操作机器设备等运行控制措施等。</w:t>
            </w:r>
          </w:p>
          <w:p w:rsidR="005D52B9" w:rsidRDefault="000B252F">
            <w:pPr>
              <w:spacing w:line="360" w:lineRule="auto"/>
              <w:ind w:firstLineChars="200" w:firstLine="480"/>
              <w:rPr>
                <w:rFonts w:hAnsi="宋体"/>
                <w:szCs w:val="21"/>
              </w:rPr>
            </w:pPr>
            <w:r>
              <w:rPr>
                <w:rFonts w:eastAsiaTheme="minorEastAsia" w:hAnsiTheme="minorEastAsia" w:hint="eastAsia"/>
                <w:sz w:val="24"/>
                <w:szCs w:val="24"/>
              </w:rPr>
              <w:t>具体控制措施见</w:t>
            </w:r>
            <w:r>
              <w:rPr>
                <w:rFonts w:eastAsiaTheme="minorEastAsia" w:hAnsiTheme="minorEastAsia" w:hint="eastAsia"/>
                <w:sz w:val="24"/>
                <w:szCs w:val="24"/>
              </w:rPr>
              <w:t>EO8.1</w:t>
            </w:r>
            <w:r>
              <w:rPr>
                <w:rFonts w:eastAsiaTheme="minorEastAsia" w:hAnsiTheme="minorEastAsia" w:hint="eastAsia"/>
                <w:sz w:val="24"/>
                <w:szCs w:val="24"/>
              </w:rPr>
              <w:t>审核记录。</w:t>
            </w:r>
          </w:p>
        </w:tc>
        <w:tc>
          <w:tcPr>
            <w:tcW w:w="1585" w:type="dxa"/>
          </w:tcPr>
          <w:p w:rsidR="005D52B9" w:rsidRDefault="000B252F">
            <w:r>
              <w:rPr>
                <w:rFonts w:hint="eastAsia"/>
              </w:rPr>
              <w:t>Y</w:t>
            </w:r>
          </w:p>
        </w:tc>
      </w:tr>
      <w:tr w:rsidR="005D52B9">
        <w:trPr>
          <w:trHeight w:val="689"/>
        </w:trPr>
        <w:tc>
          <w:tcPr>
            <w:tcW w:w="2160" w:type="dxa"/>
            <w:vAlign w:val="center"/>
          </w:tcPr>
          <w:p w:rsidR="005D52B9" w:rsidRDefault="005D52B9">
            <w:pPr>
              <w:spacing w:line="360" w:lineRule="auto"/>
              <w:ind w:firstLineChars="200" w:firstLine="480"/>
              <w:rPr>
                <w:rFonts w:eastAsiaTheme="minorEastAsia" w:hAnsiTheme="minorEastAsia"/>
                <w:sz w:val="24"/>
                <w:szCs w:val="24"/>
              </w:rPr>
            </w:pPr>
          </w:p>
          <w:p w:rsidR="005D52B9" w:rsidRDefault="005D52B9">
            <w:pPr>
              <w:spacing w:line="360" w:lineRule="auto"/>
              <w:ind w:firstLineChars="200" w:firstLine="480"/>
              <w:rPr>
                <w:rFonts w:eastAsiaTheme="minorEastAsia" w:hAnsiTheme="minorEastAsia"/>
                <w:sz w:val="24"/>
                <w:szCs w:val="24"/>
              </w:rPr>
            </w:pP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lastRenderedPageBreak/>
              <w:t>运行控制</w:t>
            </w:r>
          </w:p>
          <w:p w:rsidR="005D52B9" w:rsidRDefault="005D52B9">
            <w:pPr>
              <w:spacing w:line="360" w:lineRule="auto"/>
              <w:ind w:firstLineChars="200" w:firstLine="480"/>
              <w:rPr>
                <w:rFonts w:eastAsiaTheme="minorEastAsia" w:hAnsiTheme="minorEastAsia"/>
                <w:sz w:val="24"/>
                <w:szCs w:val="24"/>
              </w:rPr>
            </w:pPr>
          </w:p>
          <w:p w:rsidR="005D52B9" w:rsidRDefault="005D52B9">
            <w:pPr>
              <w:spacing w:line="360" w:lineRule="auto"/>
              <w:ind w:firstLineChars="200" w:firstLine="480"/>
              <w:rPr>
                <w:rFonts w:eastAsiaTheme="minorEastAsia" w:hAnsiTheme="minorEastAsia"/>
                <w:sz w:val="24"/>
                <w:szCs w:val="24"/>
              </w:rPr>
            </w:pPr>
          </w:p>
          <w:p w:rsidR="005D52B9" w:rsidRDefault="005D52B9">
            <w:pPr>
              <w:spacing w:line="360" w:lineRule="auto"/>
              <w:ind w:firstLineChars="200" w:firstLine="480"/>
              <w:rPr>
                <w:rFonts w:eastAsiaTheme="minorEastAsia" w:hAnsiTheme="minorEastAsia"/>
                <w:sz w:val="24"/>
                <w:szCs w:val="24"/>
              </w:rPr>
            </w:pPr>
          </w:p>
          <w:p w:rsidR="005D52B9" w:rsidRDefault="005D52B9">
            <w:pPr>
              <w:spacing w:line="360" w:lineRule="auto"/>
              <w:ind w:firstLineChars="200" w:firstLine="480"/>
              <w:rPr>
                <w:rFonts w:eastAsiaTheme="minorEastAsia" w:hAnsiTheme="minorEastAsia"/>
                <w:sz w:val="24"/>
                <w:szCs w:val="24"/>
              </w:rPr>
            </w:pPr>
          </w:p>
          <w:p w:rsidR="005D52B9" w:rsidRDefault="005D52B9">
            <w:pPr>
              <w:spacing w:line="360" w:lineRule="auto"/>
              <w:ind w:firstLineChars="200" w:firstLine="480"/>
              <w:rPr>
                <w:rFonts w:eastAsiaTheme="minorEastAsia" w:hAnsiTheme="minorEastAsia"/>
                <w:sz w:val="24"/>
                <w:szCs w:val="24"/>
              </w:rPr>
            </w:pPr>
          </w:p>
          <w:p w:rsidR="005D52B9" w:rsidRDefault="005D52B9">
            <w:pPr>
              <w:pStyle w:val="1"/>
            </w:pPr>
          </w:p>
          <w:p w:rsidR="005D52B9" w:rsidRDefault="005D52B9"/>
          <w:p w:rsidR="005D52B9" w:rsidRDefault="005D52B9">
            <w:pPr>
              <w:pStyle w:val="1"/>
            </w:pPr>
          </w:p>
          <w:p w:rsidR="005D52B9" w:rsidRDefault="000B252F" w:rsidP="00364910">
            <w:pPr>
              <w:spacing w:line="360" w:lineRule="auto"/>
              <w:ind w:firstLineChars="200" w:firstLine="480"/>
            </w:pPr>
            <w:r>
              <w:rPr>
                <w:rFonts w:eastAsiaTheme="minorEastAsia" w:hAnsiTheme="minorEastAsia" w:hint="eastAsia"/>
                <w:sz w:val="24"/>
                <w:szCs w:val="24"/>
              </w:rPr>
              <w:t>EMS</w:t>
            </w:r>
            <w:r>
              <w:rPr>
                <w:rFonts w:eastAsiaTheme="minorEastAsia" w:hAnsiTheme="minorEastAsia" w:hint="eastAsia"/>
                <w:sz w:val="24"/>
                <w:szCs w:val="24"/>
              </w:rPr>
              <w:t>运行控制相关财务支出证据</w:t>
            </w:r>
          </w:p>
        </w:tc>
        <w:tc>
          <w:tcPr>
            <w:tcW w:w="1209" w:type="dxa"/>
            <w:vAlign w:val="center"/>
          </w:tcPr>
          <w:p w:rsidR="005D52B9" w:rsidRDefault="005D52B9">
            <w:pPr>
              <w:spacing w:line="360" w:lineRule="auto"/>
              <w:rPr>
                <w:rFonts w:eastAsiaTheme="minorEastAsia" w:hAnsiTheme="minorEastAsia"/>
                <w:sz w:val="24"/>
                <w:szCs w:val="24"/>
              </w:rPr>
            </w:pPr>
          </w:p>
          <w:p w:rsidR="005D52B9" w:rsidRDefault="005D52B9">
            <w:pPr>
              <w:pStyle w:val="1"/>
            </w:pPr>
          </w:p>
          <w:p w:rsidR="005D52B9" w:rsidRDefault="005D52B9"/>
          <w:p w:rsidR="005D52B9" w:rsidRDefault="00364910">
            <w:pPr>
              <w:spacing w:line="360" w:lineRule="auto"/>
              <w:rPr>
                <w:rFonts w:eastAsiaTheme="minorEastAsia" w:hAnsiTheme="minorEastAsia"/>
                <w:sz w:val="24"/>
                <w:szCs w:val="24"/>
              </w:rPr>
            </w:pPr>
            <w:r>
              <w:rPr>
                <w:rFonts w:eastAsiaTheme="minorEastAsia" w:hAnsiTheme="minorEastAsia" w:hint="eastAsia"/>
                <w:sz w:val="24"/>
                <w:szCs w:val="24"/>
              </w:rPr>
              <w:t>E</w:t>
            </w:r>
            <w:r w:rsidR="000B252F">
              <w:rPr>
                <w:rFonts w:eastAsiaTheme="minorEastAsia" w:hAnsiTheme="minorEastAsia" w:hint="eastAsia"/>
                <w:sz w:val="24"/>
                <w:szCs w:val="24"/>
              </w:rPr>
              <w:t>8.1</w:t>
            </w:r>
          </w:p>
        </w:tc>
        <w:tc>
          <w:tcPr>
            <w:tcW w:w="9755" w:type="dxa"/>
            <w:vAlign w:val="center"/>
          </w:tcPr>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lastRenderedPageBreak/>
              <w:t>执行的运行控制文件包括：环境因素和危险源识别评价与控制程序、废弃物控制程序、噪声控制程序、消防控制程序、资源能源控制程序、节约用水管理规定、垃圾管理规定、固</w:t>
            </w:r>
            <w:r>
              <w:rPr>
                <w:rFonts w:eastAsiaTheme="minorEastAsia" w:hAnsiTheme="minorEastAsia" w:hint="eastAsia"/>
                <w:sz w:val="24"/>
                <w:szCs w:val="24"/>
              </w:rPr>
              <w:lastRenderedPageBreak/>
              <w:t>体废弃物管理规定等。</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参加环保和安全知识培训，部门员工具备了基本的环保和职业健康安全防护意识。</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按公司要求人走关灯，电脑要求人走后电源切断。</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现场观察：干净整洁，照明、通风良好；配置有空调，温度适宜；有少量绿植；</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节约用水用电、纸张双面使用、无乱拉乱接电线、无超额电器使用；</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生活废水经市政管网排放；</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办公环境安静，无明显噪声和废气；</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办公垃圾由环卫部门收集处理；</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办公用墨盒硒鼓等危废以旧换新；财务部垃圾主要包含可回收垃圾、硒鼓、废纸。公司配置了垃圾箱，行政部统一处理。</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办公纸张尽量采取双面打印，定期检查水管跑冒滴漏。</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经了解现场办公区域配备了灭火器等消防设施，状况正常。</w:t>
            </w:r>
          </w:p>
          <w:p w:rsidR="005D52B9" w:rsidRDefault="000B252F">
            <w:pPr>
              <w:spacing w:line="360" w:lineRule="auto"/>
              <w:ind w:firstLineChars="200" w:firstLine="480"/>
              <w:rPr>
                <w:rFonts w:eastAsiaTheme="minorEastAsia" w:hAnsiTheme="minorEastAsia"/>
                <w:sz w:val="24"/>
                <w:szCs w:val="24"/>
              </w:rPr>
            </w:pPr>
            <w:r w:rsidRPr="004D1381">
              <w:rPr>
                <w:rFonts w:eastAsiaTheme="minorEastAsia" w:hAnsiTheme="minorEastAsia" w:hint="eastAsia"/>
                <w:sz w:val="24"/>
                <w:szCs w:val="24"/>
              </w:rPr>
              <w:t>抽查</w:t>
            </w:r>
            <w:r w:rsidRPr="004D1381">
              <w:rPr>
                <w:rFonts w:eastAsiaTheme="minorEastAsia" w:hAnsiTheme="minorEastAsia" w:hint="eastAsia"/>
                <w:sz w:val="24"/>
                <w:szCs w:val="24"/>
              </w:rPr>
              <w:t>202</w:t>
            </w:r>
            <w:r w:rsidR="004D1381" w:rsidRPr="004D1381">
              <w:rPr>
                <w:rFonts w:eastAsiaTheme="minorEastAsia" w:hAnsiTheme="minorEastAsia" w:hint="eastAsia"/>
                <w:sz w:val="24"/>
                <w:szCs w:val="24"/>
              </w:rPr>
              <w:t>1</w:t>
            </w:r>
            <w:r w:rsidRPr="004D1381">
              <w:rPr>
                <w:rFonts w:eastAsiaTheme="minorEastAsia" w:hAnsiTheme="minorEastAsia" w:hint="eastAsia"/>
                <w:sz w:val="24"/>
                <w:szCs w:val="24"/>
              </w:rPr>
              <w:t>年</w:t>
            </w:r>
            <w:r w:rsidRPr="004D1381">
              <w:rPr>
                <w:rFonts w:eastAsiaTheme="minorEastAsia" w:hAnsiTheme="minorEastAsia" w:hint="eastAsia"/>
                <w:sz w:val="24"/>
                <w:szCs w:val="24"/>
              </w:rPr>
              <w:t>12-202</w:t>
            </w:r>
            <w:r w:rsidR="004D1381" w:rsidRPr="004D1381">
              <w:rPr>
                <w:rFonts w:eastAsiaTheme="minorEastAsia" w:hAnsiTheme="minorEastAsia" w:hint="eastAsia"/>
                <w:sz w:val="24"/>
                <w:szCs w:val="24"/>
              </w:rPr>
              <w:t>2</w:t>
            </w:r>
            <w:r w:rsidRPr="004D1381">
              <w:rPr>
                <w:rFonts w:eastAsiaTheme="minorEastAsia" w:hAnsiTheme="minorEastAsia" w:hint="eastAsia"/>
                <w:sz w:val="24"/>
                <w:szCs w:val="24"/>
              </w:rPr>
              <w:t>年</w:t>
            </w:r>
            <w:r w:rsidRPr="004D1381">
              <w:rPr>
                <w:rFonts w:eastAsiaTheme="minorEastAsia" w:hAnsiTheme="minorEastAsia" w:hint="eastAsia"/>
                <w:sz w:val="24"/>
                <w:szCs w:val="24"/>
              </w:rPr>
              <w:t>5</w:t>
            </w:r>
            <w:r w:rsidRPr="004D1381">
              <w:rPr>
                <w:rFonts w:eastAsiaTheme="minorEastAsia" w:hAnsiTheme="minorEastAsia" w:hint="eastAsia"/>
                <w:sz w:val="24"/>
                <w:szCs w:val="24"/>
              </w:rPr>
              <w:t>月环境安全运行检查记录，检查结果均正常，</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查见环境、安全费用统计表，见</w:t>
            </w:r>
            <w:r>
              <w:rPr>
                <w:rFonts w:eastAsiaTheme="minorEastAsia" w:hAnsiTheme="minorEastAsia" w:hint="eastAsia"/>
                <w:sz w:val="24"/>
                <w:szCs w:val="24"/>
              </w:rPr>
              <w:t>2021.4-2022.5</w:t>
            </w:r>
            <w:r>
              <w:rPr>
                <w:rFonts w:eastAsiaTheme="minorEastAsia" w:hAnsiTheme="minorEastAsia" w:hint="eastAsia"/>
                <w:sz w:val="24"/>
                <w:szCs w:val="24"/>
              </w:rPr>
              <w:t>，支出</w:t>
            </w:r>
            <w:r>
              <w:rPr>
                <w:rFonts w:eastAsiaTheme="minorEastAsia" w:hAnsiTheme="minorEastAsia" w:hint="eastAsia"/>
                <w:sz w:val="24"/>
                <w:szCs w:val="24"/>
              </w:rPr>
              <w:t>36.78</w:t>
            </w:r>
            <w:r>
              <w:rPr>
                <w:rFonts w:eastAsiaTheme="minorEastAsia" w:hAnsiTheme="minorEastAsia" w:hint="eastAsia"/>
                <w:sz w:val="24"/>
                <w:szCs w:val="24"/>
              </w:rPr>
              <w:t>万元，主要用于保险、安全教育培训费用、环保设施、垃圾处理、消防设备、劳保用品等方面；</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资金能够保障公司安全和环保的需要。</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抽查</w:t>
            </w:r>
            <w:r>
              <w:rPr>
                <w:rFonts w:eastAsiaTheme="minorEastAsia" w:hAnsiTheme="minorEastAsia" w:hint="eastAsia"/>
                <w:sz w:val="24"/>
                <w:szCs w:val="24"/>
              </w:rPr>
              <w:t>2022.3</w:t>
            </w:r>
            <w:r>
              <w:rPr>
                <w:rFonts w:eastAsiaTheme="minorEastAsia" w:hAnsiTheme="minorEastAsia" w:hint="eastAsia"/>
                <w:sz w:val="24"/>
                <w:szCs w:val="24"/>
              </w:rPr>
              <w:t>月</w:t>
            </w:r>
            <w:r>
              <w:rPr>
                <w:rFonts w:eastAsiaTheme="minorEastAsia" w:hAnsiTheme="minorEastAsia" w:hint="eastAsia"/>
                <w:sz w:val="24"/>
                <w:szCs w:val="24"/>
              </w:rPr>
              <w:t>--5</w:t>
            </w:r>
            <w:r>
              <w:rPr>
                <w:rFonts w:eastAsiaTheme="minorEastAsia" w:hAnsiTheme="minorEastAsia" w:hint="eastAsia"/>
                <w:sz w:val="24"/>
                <w:szCs w:val="24"/>
              </w:rPr>
              <w:t>月社保缴费证明。每月度对主要人员交了社保。</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部门运行控制基本符合策划要求。</w:t>
            </w:r>
          </w:p>
        </w:tc>
        <w:tc>
          <w:tcPr>
            <w:tcW w:w="1585" w:type="dxa"/>
          </w:tcPr>
          <w:p w:rsidR="005D52B9" w:rsidRDefault="000B252F">
            <w:r>
              <w:rPr>
                <w:rFonts w:hint="eastAsia"/>
              </w:rPr>
              <w:lastRenderedPageBreak/>
              <w:t>Y</w:t>
            </w:r>
          </w:p>
        </w:tc>
      </w:tr>
      <w:tr w:rsidR="005D52B9">
        <w:trPr>
          <w:trHeight w:val="689"/>
        </w:trPr>
        <w:tc>
          <w:tcPr>
            <w:tcW w:w="2160" w:type="dxa"/>
          </w:tcPr>
          <w:p w:rsidR="005D52B9" w:rsidRDefault="000B252F">
            <w:pPr>
              <w:rPr>
                <w:rFonts w:eastAsiaTheme="minorEastAsia"/>
                <w:sz w:val="24"/>
                <w:szCs w:val="24"/>
              </w:rPr>
            </w:pPr>
            <w:r>
              <w:rPr>
                <w:rFonts w:eastAsiaTheme="minorEastAsia" w:hAnsiTheme="minorEastAsia"/>
                <w:bCs/>
                <w:sz w:val="24"/>
                <w:szCs w:val="24"/>
              </w:rPr>
              <w:lastRenderedPageBreak/>
              <w:t>应急准备和响应</w:t>
            </w:r>
          </w:p>
        </w:tc>
        <w:tc>
          <w:tcPr>
            <w:tcW w:w="1209" w:type="dxa"/>
          </w:tcPr>
          <w:p w:rsidR="005D52B9" w:rsidRDefault="00364910">
            <w:pPr>
              <w:rPr>
                <w:rFonts w:eastAsiaTheme="minorEastAsia"/>
                <w:b/>
                <w:sz w:val="24"/>
                <w:szCs w:val="24"/>
              </w:rPr>
            </w:pPr>
            <w:r>
              <w:rPr>
                <w:rFonts w:eastAsiaTheme="minorEastAsia"/>
                <w:b/>
                <w:sz w:val="24"/>
                <w:szCs w:val="24"/>
              </w:rPr>
              <w:t>E</w:t>
            </w:r>
            <w:r w:rsidR="000B252F">
              <w:rPr>
                <w:rFonts w:eastAsiaTheme="minorEastAsia"/>
                <w:b/>
                <w:sz w:val="24"/>
                <w:szCs w:val="24"/>
              </w:rPr>
              <w:t>8.2</w:t>
            </w:r>
          </w:p>
          <w:p w:rsidR="005D52B9" w:rsidRDefault="005D52B9">
            <w:pPr>
              <w:rPr>
                <w:rFonts w:eastAsiaTheme="minorEastAsia"/>
                <w:sz w:val="24"/>
                <w:szCs w:val="24"/>
              </w:rPr>
            </w:pPr>
          </w:p>
        </w:tc>
        <w:tc>
          <w:tcPr>
            <w:tcW w:w="9755" w:type="dxa"/>
            <w:vAlign w:val="center"/>
          </w:tcPr>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财务部参与了公司组织的应急演练，详见生产部记录。</w:t>
            </w:r>
          </w:p>
          <w:p w:rsidR="005D52B9" w:rsidRDefault="000B252F">
            <w:pPr>
              <w:spacing w:line="360" w:lineRule="auto"/>
              <w:ind w:firstLineChars="200" w:firstLine="480"/>
              <w:rPr>
                <w:rFonts w:eastAsiaTheme="minorEastAsia" w:hAnsiTheme="minorEastAsia"/>
                <w:sz w:val="24"/>
                <w:szCs w:val="24"/>
              </w:rPr>
            </w:pPr>
            <w:r>
              <w:rPr>
                <w:rFonts w:eastAsiaTheme="minorEastAsia" w:hAnsiTheme="minorEastAsia" w:hint="eastAsia"/>
                <w:sz w:val="24"/>
                <w:szCs w:val="24"/>
              </w:rPr>
              <w:t>暂无紧急情况发生。</w:t>
            </w:r>
          </w:p>
        </w:tc>
        <w:tc>
          <w:tcPr>
            <w:tcW w:w="1585" w:type="dxa"/>
          </w:tcPr>
          <w:p w:rsidR="005D52B9" w:rsidRDefault="000B252F">
            <w:r>
              <w:rPr>
                <w:rFonts w:hint="eastAsia"/>
              </w:rPr>
              <w:t>Y</w:t>
            </w:r>
          </w:p>
        </w:tc>
      </w:tr>
    </w:tbl>
    <w:p w:rsidR="005D52B9" w:rsidRDefault="005D52B9"/>
    <w:p w:rsidR="005D52B9" w:rsidRDefault="000B252F">
      <w:pPr>
        <w:pStyle w:val="a6"/>
      </w:pPr>
      <w:r>
        <w:rPr>
          <w:rFonts w:hint="eastAsia"/>
        </w:rPr>
        <w:t>说明：不符合标注</w:t>
      </w:r>
      <w:r>
        <w:t>N</w:t>
      </w:r>
    </w:p>
    <w:p w:rsidR="005D52B9" w:rsidRDefault="005D52B9"/>
    <w:p w:rsidR="005D52B9" w:rsidRDefault="005D52B9">
      <w:pPr>
        <w:pStyle w:val="a6"/>
      </w:pPr>
    </w:p>
    <w:sectPr w:rsidR="005D52B9" w:rsidSect="005D52B9">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14E" w:rsidRDefault="0080014E" w:rsidP="005D52B9">
      <w:r>
        <w:separator/>
      </w:r>
    </w:p>
  </w:endnote>
  <w:endnote w:type="continuationSeparator" w:id="1">
    <w:p w:rsidR="0080014E" w:rsidRDefault="0080014E" w:rsidP="005D52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2B9" w:rsidRDefault="00D74A58">
    <w:pPr>
      <w:pStyle w:val="a6"/>
      <w:jc w:val="center"/>
    </w:pPr>
    <w:r>
      <w:rPr>
        <w:b/>
        <w:sz w:val="24"/>
        <w:szCs w:val="24"/>
      </w:rPr>
      <w:fldChar w:fldCharType="begin"/>
    </w:r>
    <w:r w:rsidR="000B252F">
      <w:rPr>
        <w:b/>
      </w:rPr>
      <w:instrText>PAGE</w:instrText>
    </w:r>
    <w:r>
      <w:rPr>
        <w:b/>
        <w:sz w:val="24"/>
        <w:szCs w:val="24"/>
      </w:rPr>
      <w:fldChar w:fldCharType="separate"/>
    </w:r>
    <w:r w:rsidR="00364910">
      <w:rPr>
        <w:b/>
        <w:noProof/>
      </w:rPr>
      <w:t>4</w:t>
    </w:r>
    <w:r>
      <w:rPr>
        <w:b/>
        <w:sz w:val="24"/>
        <w:szCs w:val="24"/>
      </w:rPr>
      <w:fldChar w:fldCharType="end"/>
    </w:r>
    <w:r w:rsidR="000B252F">
      <w:rPr>
        <w:lang w:val="zh-CN"/>
      </w:rPr>
      <w:t xml:space="preserve"> / </w:t>
    </w:r>
    <w:r>
      <w:rPr>
        <w:b/>
        <w:sz w:val="24"/>
        <w:szCs w:val="24"/>
      </w:rPr>
      <w:fldChar w:fldCharType="begin"/>
    </w:r>
    <w:r w:rsidR="000B252F">
      <w:rPr>
        <w:b/>
      </w:rPr>
      <w:instrText>NUMPAGES</w:instrText>
    </w:r>
    <w:r>
      <w:rPr>
        <w:b/>
        <w:sz w:val="24"/>
        <w:szCs w:val="24"/>
      </w:rPr>
      <w:fldChar w:fldCharType="separate"/>
    </w:r>
    <w:r w:rsidR="00364910">
      <w:rPr>
        <w:b/>
        <w:noProof/>
      </w:rPr>
      <w:t>4</w:t>
    </w:r>
    <w:r>
      <w:rPr>
        <w:b/>
        <w:sz w:val="24"/>
        <w:szCs w:val="24"/>
      </w:rPr>
      <w:fldChar w:fldCharType="end"/>
    </w:r>
  </w:p>
  <w:p w:rsidR="005D52B9" w:rsidRDefault="005D52B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14E" w:rsidRDefault="0080014E" w:rsidP="005D52B9">
      <w:r>
        <w:separator/>
      </w:r>
    </w:p>
  </w:footnote>
  <w:footnote w:type="continuationSeparator" w:id="1">
    <w:p w:rsidR="0080014E" w:rsidRDefault="0080014E" w:rsidP="005D5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2B9" w:rsidRDefault="000B252F">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D74A58" w:rsidRPr="00D74A58">
      <w:pict>
        <v:shapetype id="_x0000_t202" coordsize="21600,21600" o:spt="202" path="m,l,21600r21600,l21600,xe">
          <v:stroke joinstyle="miter"/>
          <v:path gradientshapeok="t" o:connecttype="rect"/>
        </v:shapetype>
        <v:shape id="_x0000_s4099" type="#_x0000_t202" style="position:absolute;left:0;text-align:left;margin-left:620.4pt;margin-top:12.55pt;width:102.7pt;height:20.2pt;z-index:251659264;mso-position-horizontal-relative:text;mso-position-vertical-relative:text" stroked="f">
          <v:textbox>
            <w:txbxContent>
              <w:p w:rsidR="005D52B9" w:rsidRDefault="000B252F">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D52B9" w:rsidRDefault="000B252F" w:rsidP="004D1381">
    <w:pPr>
      <w:pStyle w:val="a7"/>
      <w:pBdr>
        <w:bottom w:val="none" w:sz="0" w:space="0" w:color="auto"/>
      </w:pBdr>
      <w:spacing w:line="320" w:lineRule="exact"/>
      <w:ind w:firstLineChars="400" w:firstLine="755"/>
      <w:jc w:val="left"/>
    </w:pPr>
    <w:r>
      <w:rPr>
        <w:rStyle w:val="CharChar1"/>
        <w:rFonts w:hint="default"/>
        <w:w w:val="90"/>
      </w:rPr>
      <w:t>Beijing International Standard united Certification Co.,Ltd.</w:t>
    </w:r>
  </w:p>
  <w:p w:rsidR="005D52B9" w:rsidRDefault="005D52B9">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432E7"/>
    <w:rsid w:val="00035E15"/>
    <w:rsid w:val="00036062"/>
    <w:rsid w:val="00066763"/>
    <w:rsid w:val="00087484"/>
    <w:rsid w:val="00092533"/>
    <w:rsid w:val="000B252F"/>
    <w:rsid w:val="000B692D"/>
    <w:rsid w:val="000C26B8"/>
    <w:rsid w:val="000C70C7"/>
    <w:rsid w:val="000F086F"/>
    <w:rsid w:val="00120AE6"/>
    <w:rsid w:val="00133420"/>
    <w:rsid w:val="00157017"/>
    <w:rsid w:val="00166D6A"/>
    <w:rsid w:val="001B65B6"/>
    <w:rsid w:val="001C77F1"/>
    <w:rsid w:val="001D3C97"/>
    <w:rsid w:val="001D4004"/>
    <w:rsid w:val="002463C0"/>
    <w:rsid w:val="00272E91"/>
    <w:rsid w:val="0027655C"/>
    <w:rsid w:val="002C4576"/>
    <w:rsid w:val="002F78F9"/>
    <w:rsid w:val="00345D6B"/>
    <w:rsid w:val="00364910"/>
    <w:rsid w:val="003831AB"/>
    <w:rsid w:val="003A7E8F"/>
    <w:rsid w:val="003F3881"/>
    <w:rsid w:val="004244A6"/>
    <w:rsid w:val="00441AB2"/>
    <w:rsid w:val="00445BA4"/>
    <w:rsid w:val="00446384"/>
    <w:rsid w:val="00457683"/>
    <w:rsid w:val="0046592B"/>
    <w:rsid w:val="004A585F"/>
    <w:rsid w:val="004D1381"/>
    <w:rsid w:val="004D5D26"/>
    <w:rsid w:val="00517E35"/>
    <w:rsid w:val="00572FAE"/>
    <w:rsid w:val="005A6AF6"/>
    <w:rsid w:val="005C2830"/>
    <w:rsid w:val="005D52B9"/>
    <w:rsid w:val="005D7407"/>
    <w:rsid w:val="005F3166"/>
    <w:rsid w:val="00610E50"/>
    <w:rsid w:val="006531B6"/>
    <w:rsid w:val="00692248"/>
    <w:rsid w:val="00693044"/>
    <w:rsid w:val="006E74E2"/>
    <w:rsid w:val="006F653C"/>
    <w:rsid w:val="00724FA6"/>
    <w:rsid w:val="00747E87"/>
    <w:rsid w:val="00755F46"/>
    <w:rsid w:val="007616D5"/>
    <w:rsid w:val="00774E8D"/>
    <w:rsid w:val="007B0CA6"/>
    <w:rsid w:val="0080014E"/>
    <w:rsid w:val="00805ACB"/>
    <w:rsid w:val="00816586"/>
    <w:rsid w:val="008432E7"/>
    <w:rsid w:val="00871F49"/>
    <w:rsid w:val="00901BBF"/>
    <w:rsid w:val="00903E3D"/>
    <w:rsid w:val="00905C05"/>
    <w:rsid w:val="00915139"/>
    <w:rsid w:val="009406A7"/>
    <w:rsid w:val="009539F1"/>
    <w:rsid w:val="0096202E"/>
    <w:rsid w:val="009816B6"/>
    <w:rsid w:val="009F2DA6"/>
    <w:rsid w:val="00A074DB"/>
    <w:rsid w:val="00A405AC"/>
    <w:rsid w:val="00AC5EEA"/>
    <w:rsid w:val="00AD342E"/>
    <w:rsid w:val="00AE34EE"/>
    <w:rsid w:val="00B22820"/>
    <w:rsid w:val="00B33933"/>
    <w:rsid w:val="00BA7754"/>
    <w:rsid w:val="00BB01DB"/>
    <w:rsid w:val="00BB7084"/>
    <w:rsid w:val="00BF18A5"/>
    <w:rsid w:val="00C017BA"/>
    <w:rsid w:val="00C451D2"/>
    <w:rsid w:val="00CB245B"/>
    <w:rsid w:val="00CB6033"/>
    <w:rsid w:val="00CC5D45"/>
    <w:rsid w:val="00D158EC"/>
    <w:rsid w:val="00D45591"/>
    <w:rsid w:val="00D74A58"/>
    <w:rsid w:val="00E162D3"/>
    <w:rsid w:val="00E17F8A"/>
    <w:rsid w:val="00E2118E"/>
    <w:rsid w:val="00E33843"/>
    <w:rsid w:val="00E42242"/>
    <w:rsid w:val="00EA11FE"/>
    <w:rsid w:val="00EC2974"/>
    <w:rsid w:val="00F01F55"/>
    <w:rsid w:val="00F0211B"/>
    <w:rsid w:val="00F126B4"/>
    <w:rsid w:val="00F13E3B"/>
    <w:rsid w:val="00F23846"/>
    <w:rsid w:val="00F346E2"/>
    <w:rsid w:val="00F40AC7"/>
    <w:rsid w:val="00F46EF6"/>
    <w:rsid w:val="00F51309"/>
    <w:rsid w:val="00F638FD"/>
    <w:rsid w:val="00FA4DD0"/>
    <w:rsid w:val="00FA6258"/>
    <w:rsid w:val="00FA6599"/>
    <w:rsid w:val="00FD5E6E"/>
    <w:rsid w:val="00FD689B"/>
    <w:rsid w:val="013A7E44"/>
    <w:rsid w:val="02324284"/>
    <w:rsid w:val="03F77945"/>
    <w:rsid w:val="04385766"/>
    <w:rsid w:val="04766AC2"/>
    <w:rsid w:val="06970AFE"/>
    <w:rsid w:val="07487397"/>
    <w:rsid w:val="08CF0F53"/>
    <w:rsid w:val="08F36905"/>
    <w:rsid w:val="0B313273"/>
    <w:rsid w:val="0C9A6779"/>
    <w:rsid w:val="0CAC683E"/>
    <w:rsid w:val="0CBD5B9C"/>
    <w:rsid w:val="11412443"/>
    <w:rsid w:val="11AF5DB5"/>
    <w:rsid w:val="1241282B"/>
    <w:rsid w:val="132952D9"/>
    <w:rsid w:val="13C87237"/>
    <w:rsid w:val="148335B5"/>
    <w:rsid w:val="19182EDE"/>
    <w:rsid w:val="1A986916"/>
    <w:rsid w:val="1B1D7164"/>
    <w:rsid w:val="1C922B11"/>
    <w:rsid w:val="1D4B03F7"/>
    <w:rsid w:val="1E5C6207"/>
    <w:rsid w:val="207A5D18"/>
    <w:rsid w:val="208B1F76"/>
    <w:rsid w:val="2150673F"/>
    <w:rsid w:val="22501C4B"/>
    <w:rsid w:val="233F2969"/>
    <w:rsid w:val="237B4D86"/>
    <w:rsid w:val="255162E3"/>
    <w:rsid w:val="268C629C"/>
    <w:rsid w:val="27107237"/>
    <w:rsid w:val="2879556F"/>
    <w:rsid w:val="29CB4ED1"/>
    <w:rsid w:val="29D207EC"/>
    <w:rsid w:val="2A3F4B19"/>
    <w:rsid w:val="2B7A1AB5"/>
    <w:rsid w:val="2C207910"/>
    <w:rsid w:val="2D131158"/>
    <w:rsid w:val="302A27B8"/>
    <w:rsid w:val="309605F0"/>
    <w:rsid w:val="3163712D"/>
    <w:rsid w:val="31EB0541"/>
    <w:rsid w:val="33767124"/>
    <w:rsid w:val="34BA1621"/>
    <w:rsid w:val="35302B3B"/>
    <w:rsid w:val="357B1876"/>
    <w:rsid w:val="36DC02EF"/>
    <w:rsid w:val="38D54ABD"/>
    <w:rsid w:val="3B11388E"/>
    <w:rsid w:val="3BEE7108"/>
    <w:rsid w:val="3CD23FF2"/>
    <w:rsid w:val="3D6C58CB"/>
    <w:rsid w:val="3DAC5AF2"/>
    <w:rsid w:val="3EC219FE"/>
    <w:rsid w:val="3F9F1564"/>
    <w:rsid w:val="40A23418"/>
    <w:rsid w:val="41427DE1"/>
    <w:rsid w:val="428C10B6"/>
    <w:rsid w:val="44A837BF"/>
    <w:rsid w:val="44CC2562"/>
    <w:rsid w:val="44FD16F0"/>
    <w:rsid w:val="456D5E6F"/>
    <w:rsid w:val="46760E50"/>
    <w:rsid w:val="46B755FD"/>
    <w:rsid w:val="49455067"/>
    <w:rsid w:val="49852CF2"/>
    <w:rsid w:val="4B531CE7"/>
    <w:rsid w:val="4BCB45E4"/>
    <w:rsid w:val="4C306E9A"/>
    <w:rsid w:val="4E8B53DA"/>
    <w:rsid w:val="4F705DC8"/>
    <w:rsid w:val="50016283"/>
    <w:rsid w:val="50E67D8F"/>
    <w:rsid w:val="51825E31"/>
    <w:rsid w:val="53062F46"/>
    <w:rsid w:val="531752F5"/>
    <w:rsid w:val="53311D77"/>
    <w:rsid w:val="53705CCA"/>
    <w:rsid w:val="54913F28"/>
    <w:rsid w:val="550067DF"/>
    <w:rsid w:val="55AF03F4"/>
    <w:rsid w:val="58A85F15"/>
    <w:rsid w:val="58AB2B75"/>
    <w:rsid w:val="59580A2A"/>
    <w:rsid w:val="59A16655"/>
    <w:rsid w:val="5C0F5D41"/>
    <w:rsid w:val="5E165DF1"/>
    <w:rsid w:val="5FEB55E5"/>
    <w:rsid w:val="621C16B4"/>
    <w:rsid w:val="62BD7723"/>
    <w:rsid w:val="653E26B9"/>
    <w:rsid w:val="655A4224"/>
    <w:rsid w:val="65C902AB"/>
    <w:rsid w:val="68971762"/>
    <w:rsid w:val="69D27068"/>
    <w:rsid w:val="6A2F719D"/>
    <w:rsid w:val="6CDF5D3B"/>
    <w:rsid w:val="6F0D3CB2"/>
    <w:rsid w:val="724111D5"/>
    <w:rsid w:val="729722F9"/>
    <w:rsid w:val="778659CE"/>
    <w:rsid w:val="7A6A4EF1"/>
    <w:rsid w:val="7BC04D34"/>
    <w:rsid w:val="7C217737"/>
    <w:rsid w:val="7C353E36"/>
    <w:rsid w:val="7C544EB1"/>
    <w:rsid w:val="7CA9592D"/>
    <w:rsid w:val="7D84113F"/>
    <w:rsid w:val="7F115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D52B9"/>
    <w:pPr>
      <w:widowControl w:val="0"/>
      <w:jc w:val="both"/>
    </w:pPr>
    <w:rPr>
      <w:rFonts w:ascii="Times New Roman" w:hAnsi="Times New Roman"/>
      <w:kern w:val="2"/>
      <w:sz w:val="21"/>
    </w:rPr>
  </w:style>
  <w:style w:type="paragraph" w:styleId="1">
    <w:name w:val="heading 1"/>
    <w:basedOn w:val="a"/>
    <w:next w:val="a"/>
    <w:qFormat/>
    <w:rsid w:val="005D52B9"/>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uiPriority w:val="99"/>
    <w:qFormat/>
    <w:rsid w:val="005D52B9"/>
    <w:pPr>
      <w:spacing w:before="25" w:after="25"/>
    </w:pPr>
    <w:rPr>
      <w:bCs/>
      <w:spacing w:val="10"/>
    </w:rPr>
  </w:style>
  <w:style w:type="paragraph" w:styleId="a4">
    <w:name w:val="Body Text"/>
    <w:basedOn w:val="a"/>
    <w:link w:val="Char"/>
    <w:uiPriority w:val="99"/>
    <w:semiHidden/>
    <w:unhideWhenUsed/>
    <w:qFormat/>
    <w:rsid w:val="005D52B9"/>
    <w:pPr>
      <w:ind w:firstLineChars="200" w:firstLine="720"/>
    </w:pPr>
  </w:style>
  <w:style w:type="paragraph" w:styleId="a5">
    <w:name w:val="Balloon Text"/>
    <w:basedOn w:val="a"/>
    <w:link w:val="Char0"/>
    <w:uiPriority w:val="99"/>
    <w:semiHidden/>
    <w:unhideWhenUsed/>
    <w:qFormat/>
    <w:rsid w:val="005D52B9"/>
    <w:rPr>
      <w:sz w:val="18"/>
      <w:szCs w:val="18"/>
    </w:rPr>
  </w:style>
  <w:style w:type="paragraph" w:styleId="a6">
    <w:name w:val="footer"/>
    <w:basedOn w:val="a"/>
    <w:link w:val="Char1"/>
    <w:uiPriority w:val="99"/>
    <w:unhideWhenUsed/>
    <w:qFormat/>
    <w:rsid w:val="005D52B9"/>
    <w:pPr>
      <w:tabs>
        <w:tab w:val="center" w:pos="4153"/>
        <w:tab w:val="right" w:pos="8306"/>
      </w:tabs>
      <w:snapToGrid w:val="0"/>
      <w:jc w:val="left"/>
    </w:pPr>
    <w:rPr>
      <w:sz w:val="18"/>
      <w:szCs w:val="18"/>
    </w:rPr>
  </w:style>
  <w:style w:type="paragraph" w:styleId="a7">
    <w:name w:val="header"/>
    <w:basedOn w:val="a"/>
    <w:link w:val="Char2"/>
    <w:unhideWhenUsed/>
    <w:qFormat/>
    <w:rsid w:val="005D52B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uiPriority w:val="99"/>
    <w:qFormat/>
    <w:rsid w:val="005D52B9"/>
    <w:rPr>
      <w:rFonts w:ascii="Times New Roman" w:eastAsia="宋体" w:hAnsi="Times New Roman" w:cs="Times New Roman"/>
      <w:sz w:val="18"/>
      <w:szCs w:val="18"/>
    </w:rPr>
  </w:style>
  <w:style w:type="character" w:customStyle="1" w:styleId="Char1">
    <w:name w:val="页脚 Char"/>
    <w:basedOn w:val="a1"/>
    <w:link w:val="a6"/>
    <w:uiPriority w:val="99"/>
    <w:qFormat/>
    <w:rsid w:val="005D52B9"/>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sid w:val="005D52B9"/>
    <w:rPr>
      <w:rFonts w:ascii="Times New Roman" w:eastAsia="宋体" w:hAnsi="Times New Roman" w:cs="Times New Roman"/>
      <w:sz w:val="18"/>
      <w:szCs w:val="18"/>
    </w:rPr>
  </w:style>
  <w:style w:type="character" w:customStyle="1" w:styleId="CharChar1">
    <w:name w:val="Char Char1"/>
    <w:qFormat/>
    <w:locked/>
    <w:rsid w:val="005D52B9"/>
    <w:rPr>
      <w:rFonts w:ascii="宋体" w:eastAsia="宋体" w:hAnsi="Courier New" w:hint="eastAsia"/>
      <w:kern w:val="2"/>
      <w:sz w:val="21"/>
      <w:lang w:val="en-US" w:eastAsia="zh-CN" w:bidi="ar-SA"/>
    </w:rPr>
  </w:style>
  <w:style w:type="character" w:customStyle="1" w:styleId="Char">
    <w:name w:val="正文文本 Char"/>
    <w:basedOn w:val="a1"/>
    <w:link w:val="a4"/>
    <w:uiPriority w:val="99"/>
    <w:semiHidden/>
    <w:qFormat/>
    <w:rsid w:val="005D52B9"/>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209D8-AE2B-42EC-8F0D-868B4C2A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269</Words>
  <Characters>1539</Characters>
  <Application>Microsoft Office Word</Application>
  <DocSecurity>0</DocSecurity>
  <Lines>12</Lines>
  <Paragraphs>3</Paragraphs>
  <ScaleCrop>false</ScaleCrop>
  <Company>china</Company>
  <LinksUpToDate>false</LinksUpToDate>
  <CharactersWithSpaces>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23</cp:revision>
  <dcterms:created xsi:type="dcterms:W3CDTF">2015-06-17T12:51:00Z</dcterms:created>
  <dcterms:modified xsi:type="dcterms:W3CDTF">2022-06-18T17:00:00Z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DC112EBEFFEC4D82886F9E82D237D156</vt:lpwstr>
  </property>
</Properties>
</file>