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Cs/>
          <w:sz w:val="24"/>
          <w:szCs w:val="24"/>
        </w:rPr>
      </w:pPr>
      <w:r>
        <w:rPr>
          <w:rFonts w:hint="eastAsia" w:ascii="楷体" w:hAnsi="楷体" w:eastAsia="楷体"/>
          <w:bCs/>
          <w:sz w:val="24"/>
          <w:szCs w:val="24"/>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15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152" w:type="dxa"/>
            <w:vAlign w:val="center"/>
          </w:tcPr>
          <w:p>
            <w:pPr>
              <w:spacing w:line="360" w:lineRule="auto"/>
              <w:rPr>
                <w:rFonts w:hint="eastAsia" w:ascii="楷体" w:hAnsi="楷体" w:eastAsia="楷体"/>
                <w:sz w:val="24"/>
                <w:szCs w:val="24"/>
                <w:lang w:eastAsia="zh-CN"/>
              </w:rPr>
            </w:pPr>
            <w:r>
              <w:rPr>
                <w:rFonts w:hint="eastAsia" w:ascii="楷体" w:hAnsi="楷体" w:eastAsia="楷体"/>
                <w:sz w:val="24"/>
                <w:szCs w:val="24"/>
              </w:rPr>
              <w:t>受审核部门：</w:t>
            </w:r>
            <w:r>
              <w:rPr>
                <w:rFonts w:hint="eastAsia" w:ascii="楷体" w:hAnsi="楷体" w:eastAsia="楷体"/>
                <w:sz w:val="24"/>
                <w:szCs w:val="24"/>
                <w:lang w:val="en-US" w:eastAsia="zh-CN"/>
              </w:rPr>
              <w:t>综合</w:t>
            </w:r>
            <w:r>
              <w:rPr>
                <w:rFonts w:hint="eastAsia" w:ascii="楷体" w:hAnsi="楷体" w:eastAsia="楷体"/>
                <w:sz w:val="24"/>
                <w:szCs w:val="24"/>
              </w:rPr>
              <w:t>部     主管领导</w:t>
            </w:r>
            <w:r>
              <w:rPr>
                <w:rFonts w:hint="eastAsia" w:ascii="楷体" w:hAnsi="楷体" w:eastAsia="楷体"/>
                <w:sz w:val="24"/>
                <w:szCs w:val="24"/>
                <w:lang w:val="en-US" w:eastAsia="zh-CN"/>
              </w:rPr>
              <w:t>/管代</w:t>
            </w:r>
            <w:r>
              <w:rPr>
                <w:rFonts w:hint="eastAsia" w:ascii="楷体" w:hAnsi="楷体" w:eastAsia="楷体"/>
                <w:sz w:val="24"/>
                <w:szCs w:val="24"/>
              </w:rPr>
              <w:t>：</w:t>
            </w:r>
            <w:r>
              <w:rPr>
                <w:rFonts w:hint="eastAsia" w:ascii="楷体" w:hAnsi="楷体" w:eastAsia="楷体"/>
                <w:sz w:val="24"/>
                <w:szCs w:val="24"/>
                <w:lang w:eastAsia="zh-CN"/>
              </w:rPr>
              <w:t>朱卫平</w:t>
            </w:r>
            <w:r>
              <w:rPr>
                <w:rFonts w:hint="eastAsia" w:ascii="楷体" w:hAnsi="楷体" w:eastAsia="楷体"/>
                <w:sz w:val="24"/>
                <w:szCs w:val="24"/>
              </w:rPr>
              <w:t xml:space="preserve">       </w:t>
            </w:r>
            <w:r>
              <w:rPr>
                <w:rFonts w:hint="eastAsia" w:ascii="楷体" w:hAnsi="楷体" w:eastAsia="楷体"/>
                <w:sz w:val="24"/>
                <w:szCs w:val="24"/>
                <w:lang w:val="en-US" w:eastAsia="zh-CN"/>
              </w:rPr>
              <w:t>远程（</w:t>
            </w:r>
            <w:r>
              <w:rPr>
                <w:rFonts w:hint="eastAsia" w:ascii="宋体" w:hAnsi="宋体" w:eastAsia="宋体" w:cs="宋体"/>
                <w:sz w:val="21"/>
                <w:szCs w:val="21"/>
                <w:lang w:val="en-US" w:eastAsia="zh-CN"/>
              </w:rPr>
              <w:t>微信视频、语音、群沟通</w:t>
            </w:r>
            <w:r>
              <w:rPr>
                <w:rFonts w:hint="eastAsia" w:ascii="楷体" w:hAnsi="楷体" w:eastAsia="楷体"/>
                <w:sz w:val="24"/>
                <w:szCs w:val="24"/>
                <w:lang w:val="en-US" w:eastAsia="zh-CN"/>
              </w:rPr>
              <w:t>）</w:t>
            </w:r>
          </w:p>
        </w:tc>
        <w:tc>
          <w:tcPr>
            <w:tcW w:w="1437"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152"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李俐</w:t>
            </w:r>
            <w:r>
              <w:rPr>
                <w:rFonts w:hint="eastAsia" w:ascii="楷体" w:hAnsi="楷体" w:eastAsia="楷体"/>
                <w:sz w:val="24"/>
                <w:szCs w:val="24"/>
              </w:rPr>
              <w:t xml:space="preserve">        审核时间：</w:t>
            </w:r>
            <w:r>
              <w:rPr>
                <w:rFonts w:hint="eastAsia" w:ascii="楷体" w:hAnsi="楷体" w:eastAsia="楷体"/>
                <w:sz w:val="24"/>
                <w:szCs w:val="24"/>
                <w:lang w:val="en-US" w:eastAsia="zh-CN"/>
              </w:rPr>
              <w:t>2022.6.8</w:t>
            </w:r>
          </w:p>
        </w:tc>
        <w:tc>
          <w:tcPr>
            <w:tcW w:w="1437"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152" w:type="dxa"/>
            <w:vAlign w:val="center"/>
          </w:tcPr>
          <w:p>
            <w:pPr>
              <w:adjustRightInd w:val="0"/>
              <w:snapToGrid w:val="0"/>
              <w:spacing w:line="360" w:lineRule="auto"/>
              <w:ind w:right="105" w:rightChars="50"/>
              <w:jc w:val="left"/>
              <w:textAlignment w:val="baseline"/>
            </w:pPr>
            <w:r>
              <w:rPr>
                <w:rFonts w:hint="eastAsia"/>
              </w:rPr>
              <w:t>审核条款：</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QMS：5.3组织的角色、职责和权限；6.2目标及其实现的策划；7.1.2人员；7.1.6组织知识；7.2能力；7.3意识；7.4沟通</w:t>
            </w:r>
            <w:r>
              <w:rPr>
                <w:rFonts w:hint="eastAsia" w:ascii="宋体" w:hAnsi="宋体" w:eastAsia="宋体" w:cs="宋体"/>
                <w:sz w:val="21"/>
                <w:szCs w:val="21"/>
                <w:lang w:eastAsia="zh-CN"/>
              </w:rPr>
              <w:t>、</w:t>
            </w:r>
            <w:r>
              <w:rPr>
                <w:rFonts w:hint="eastAsia" w:ascii="宋体" w:hAnsi="宋体" w:eastAsia="宋体" w:cs="宋体"/>
                <w:sz w:val="21"/>
                <w:szCs w:val="21"/>
              </w:rPr>
              <w:t>7.5文件化信息</w:t>
            </w:r>
            <w:r>
              <w:rPr>
                <w:rFonts w:hint="eastAsia" w:ascii="宋体" w:hAnsi="宋体" w:eastAsia="宋体" w:cs="宋体"/>
                <w:sz w:val="21"/>
                <w:szCs w:val="21"/>
                <w:lang w:eastAsia="zh-CN"/>
              </w:rPr>
              <w:t>、</w:t>
            </w:r>
            <w:r>
              <w:rPr>
                <w:rFonts w:hint="eastAsia" w:ascii="宋体" w:hAnsi="宋体" w:eastAsia="宋体" w:cs="宋体"/>
                <w:sz w:val="21"/>
                <w:szCs w:val="21"/>
              </w:rPr>
              <w:t>9.1.3分析与评价、9.2 内部审核、10.2不合</w:t>
            </w:r>
            <w:r>
              <w:rPr>
                <w:rFonts w:hint="eastAsia" w:ascii="宋体" w:hAnsi="宋体" w:eastAsia="宋体" w:cs="宋体"/>
                <w:sz w:val="21"/>
                <w:szCs w:val="21"/>
                <w:lang w:val="en-US" w:eastAsia="zh-CN"/>
              </w:rPr>
              <w:t>格</w:t>
            </w:r>
            <w:r>
              <w:rPr>
                <w:rFonts w:hint="eastAsia" w:ascii="宋体" w:hAnsi="宋体" w:eastAsia="宋体" w:cs="宋体"/>
                <w:sz w:val="21"/>
                <w:szCs w:val="21"/>
              </w:rPr>
              <w:t>和纠正措施</w:t>
            </w:r>
            <w:r>
              <w:rPr>
                <w:rFonts w:hint="eastAsia" w:ascii="宋体" w:hAnsi="宋体" w:eastAsia="宋体" w:cs="宋体"/>
                <w:sz w:val="21"/>
                <w:szCs w:val="21"/>
                <w:lang w:eastAsia="zh-CN"/>
              </w:rPr>
              <w:t>。</w:t>
            </w:r>
          </w:p>
          <w:p>
            <w:pPr>
              <w:snapToGrid w:val="0"/>
              <w:spacing w:line="360" w:lineRule="auto"/>
              <w:rPr>
                <w:rFonts w:hint="default" w:eastAsia="宋体"/>
                <w:lang w:val="en-US" w:eastAsia="zh-CN"/>
              </w:rPr>
            </w:pPr>
            <w:r>
              <w:rPr>
                <w:rFonts w:hint="eastAsia" w:ascii="宋体" w:hAnsi="宋体" w:eastAsia="宋体" w:cs="宋体"/>
                <w:sz w:val="21"/>
                <w:szCs w:val="21"/>
              </w:rPr>
              <w:t>OHSMS：5.3组织的角色、职责和权限；6.1.3法律法规要求和其他要求；6.1.2危险源辨识和职业安全风险评价； 6.2目标及其实现的策划；7.2能力；7.3意识；7.5文件化信息；8.1运行策划和控制；8.2应急准备和响应；9.1.1监视、测量、分析和评价总则； 9.1.2法律法规要求和其他要求的合规性评价；9.2内部审核</w:t>
            </w:r>
            <w:r>
              <w:rPr>
                <w:rFonts w:hint="eastAsia" w:ascii="宋体" w:hAnsi="宋体" w:eastAsia="宋体" w:cs="宋体"/>
                <w:sz w:val="21"/>
                <w:szCs w:val="21"/>
                <w:lang w:eastAsia="zh-CN"/>
              </w:rPr>
              <w:t>；</w:t>
            </w:r>
            <w:r>
              <w:rPr>
                <w:rFonts w:hint="eastAsia" w:ascii="宋体" w:hAnsi="宋体" w:eastAsia="宋体" w:cs="宋体"/>
                <w:sz w:val="21"/>
                <w:szCs w:val="21"/>
              </w:rPr>
              <w:t>10.2纠正措施；</w:t>
            </w:r>
          </w:p>
        </w:tc>
        <w:tc>
          <w:tcPr>
            <w:tcW w:w="1437"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360" w:lineRule="auto"/>
              <w:rPr>
                <w:rFonts w:hint="eastAsia"/>
              </w:rPr>
            </w:pPr>
            <w:r>
              <w:rPr>
                <w:rFonts w:hint="eastAsia"/>
              </w:rPr>
              <w:t>组织的角色、职责和权限</w:t>
            </w:r>
          </w:p>
          <w:p>
            <w:pPr>
              <w:pStyle w:val="3"/>
            </w:pPr>
          </w:p>
        </w:tc>
        <w:tc>
          <w:tcPr>
            <w:tcW w:w="1311" w:type="dxa"/>
            <w:vAlign w:val="center"/>
          </w:tcPr>
          <w:p>
            <w:pPr>
              <w:rPr>
                <w:rFonts w:hint="default" w:ascii="宋体" w:hAnsi="宋体" w:eastAsia="宋体" w:cs="宋体"/>
                <w:b/>
                <w:kern w:val="2"/>
                <w:sz w:val="21"/>
                <w:szCs w:val="21"/>
                <w:lang w:val="en-US" w:eastAsia="zh-CN" w:bidi="ar-SA"/>
              </w:rPr>
            </w:pPr>
            <w:r>
              <w:rPr>
                <w:rFonts w:hint="eastAsia" w:ascii="宋体" w:hAnsi="宋体" w:cs="宋体"/>
                <w:sz w:val="21"/>
                <w:szCs w:val="21"/>
              </w:rPr>
              <w:t>Q</w:t>
            </w:r>
            <w:r>
              <w:rPr>
                <w:rFonts w:hint="eastAsia" w:ascii="宋体" w:hAnsi="宋体" w:cs="宋体"/>
                <w:sz w:val="21"/>
                <w:szCs w:val="21"/>
                <w:lang w:val="en-US" w:eastAsia="zh-CN"/>
              </w:rPr>
              <w:t>O5.3</w:t>
            </w:r>
          </w:p>
        </w:tc>
        <w:tc>
          <w:tcPr>
            <w:tcW w:w="10152" w:type="dxa"/>
            <w:vAlign w:val="center"/>
          </w:tcPr>
          <w:p>
            <w:pPr>
              <w:spacing w:line="360" w:lineRule="auto"/>
              <w:textAlignment w:val="baseline"/>
              <w:rPr>
                <w:rFonts w:hint="eastAsia" w:ascii="宋体" w:hAnsi="宋体" w:cs="宋体"/>
                <w:sz w:val="21"/>
                <w:szCs w:val="21"/>
              </w:rPr>
            </w:pPr>
            <w:r>
              <w:rPr>
                <w:rFonts w:hint="eastAsia" w:ascii="宋体" w:hAnsi="宋体" w:cs="宋体"/>
                <w:sz w:val="21"/>
                <w:szCs w:val="21"/>
                <w:lang w:val="en-US" w:eastAsia="zh-CN"/>
              </w:rPr>
              <w:t>综合部</w:t>
            </w:r>
            <w:r>
              <w:rPr>
                <w:rFonts w:hint="eastAsia" w:ascii="宋体" w:hAnsi="宋体" w:cs="宋体"/>
                <w:sz w:val="21"/>
                <w:szCs w:val="21"/>
              </w:rPr>
              <w:t>职责、责任和权限：</w:t>
            </w:r>
          </w:p>
          <w:p>
            <w:pPr>
              <w:spacing w:line="360" w:lineRule="auto"/>
              <w:textAlignment w:val="baseline"/>
              <w:rPr>
                <w:rFonts w:hint="eastAsia" w:ascii="宋体" w:hAnsi="宋体" w:cs="宋体"/>
                <w:sz w:val="21"/>
                <w:szCs w:val="21"/>
              </w:rPr>
            </w:pPr>
            <w:r>
              <w:rPr>
                <w:rFonts w:hint="eastAsia" w:ascii="宋体" w:hAnsi="宋体" w:cs="宋体"/>
                <w:sz w:val="21"/>
                <w:szCs w:val="21"/>
              </w:rPr>
              <w:t>部门负责人本部门的职责和权限有：主要负责人力资源的管理、文件管理、危险源识别、运行控制、法律法规识别、合规性评价和职业健康安全运行绩效的检查以及参与内部质量审核等工作。</w:t>
            </w:r>
          </w:p>
          <w:p>
            <w:pPr>
              <w:spacing w:line="360" w:lineRule="auto"/>
              <w:textAlignment w:val="baseline"/>
              <w:rPr>
                <w:rFonts w:hint="eastAsia" w:ascii="宋体" w:hAnsi="宋体" w:cs="宋体"/>
                <w:sz w:val="21"/>
                <w:szCs w:val="21"/>
              </w:rPr>
            </w:pPr>
            <w:r>
              <w:rPr>
                <w:rFonts w:hint="eastAsia" w:ascii="宋体" w:hAnsi="宋体" w:cs="宋体"/>
                <w:sz w:val="21"/>
                <w:szCs w:val="21"/>
              </w:rPr>
              <w:t>综合部 有主管1人。</w:t>
            </w:r>
          </w:p>
          <w:p>
            <w:pPr>
              <w:pStyle w:val="10"/>
              <w:spacing w:line="400" w:lineRule="exact"/>
              <w:rPr>
                <w:rFonts w:hint="eastAsia" w:ascii="宋体" w:hAnsi="宋体" w:cs="宋体"/>
                <w:sz w:val="21"/>
                <w:szCs w:val="21"/>
              </w:rPr>
            </w:pPr>
            <w:r>
              <w:rPr>
                <w:rFonts w:hint="eastAsia" w:ascii="宋体" w:hAnsi="宋体" w:cs="宋体"/>
                <w:sz w:val="21"/>
                <w:szCs w:val="21"/>
              </w:rPr>
              <w:t>部门负责人对本部门的职责和权限以及工作流程清楚、明确。</w:t>
            </w:r>
          </w:p>
          <w:p>
            <w:pPr>
              <w:pStyle w:val="10"/>
              <w:spacing w:line="400" w:lineRule="exact"/>
              <w:rPr>
                <w:rFonts w:hint="eastAsia"/>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员工参与协商，员工提出参与安全知识的学习和培训，需要发放劳保用品，在日常服务例会中有通报公司近期消防安全工作及加强职业安全管理工作，员工做好自身安全防范及其他保护环境方面的工作要求。</w:t>
            </w:r>
          </w:p>
          <w:p>
            <w:pPr>
              <w:spacing w:line="360" w:lineRule="auto"/>
              <w:textAlignment w:val="baseline"/>
              <w:rPr>
                <w:rFonts w:hint="eastAsia" w:ascii="宋体" w:hAnsi="宋体" w:eastAsia="宋体" w:cs="宋体"/>
                <w:b/>
                <w:kern w:val="2"/>
                <w:sz w:val="21"/>
                <w:szCs w:val="21"/>
                <w:lang w:val="en-US" w:eastAsia="zh-CN" w:bidi="ar-SA"/>
              </w:rPr>
            </w:pPr>
          </w:p>
        </w:tc>
        <w:tc>
          <w:tcPr>
            <w:tcW w:w="1437"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质量目标及其实现的策划</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（含6.2.1</w:t>
            </w:r>
          </w:p>
          <w:p>
            <w:pPr>
              <w:spacing w:line="360" w:lineRule="auto"/>
              <w:rPr>
                <w:rFonts w:hint="eastAsia" w:ascii="宋体" w:hAnsi="宋体" w:cs="宋体"/>
                <w:color w:val="000000"/>
                <w:sz w:val="21"/>
                <w:szCs w:val="21"/>
              </w:rPr>
            </w:pPr>
            <w:r>
              <w:rPr>
                <w:rFonts w:hint="eastAsia" w:ascii="宋体" w:hAnsi="宋体" w:cs="宋体"/>
                <w:color w:val="000000"/>
                <w:sz w:val="21"/>
                <w:szCs w:val="21"/>
              </w:rPr>
              <w:t>/6.2.2）</w:t>
            </w:r>
          </w:p>
          <w:p>
            <w:pPr>
              <w:rPr>
                <w:rFonts w:hint="eastAsia" w:ascii="宋体" w:hAnsi="宋体" w:eastAsia="宋体" w:cs="宋体"/>
                <w:b/>
                <w:kern w:val="2"/>
                <w:sz w:val="21"/>
                <w:szCs w:val="21"/>
                <w:lang w:val="en-US" w:eastAsia="zh-CN" w:bidi="ar-SA"/>
              </w:rPr>
            </w:pPr>
          </w:p>
        </w:tc>
        <w:tc>
          <w:tcPr>
            <w:tcW w:w="1311" w:type="dxa"/>
            <w:vAlign w:val="center"/>
          </w:tcPr>
          <w:p>
            <w:pPr>
              <w:spacing w:line="360" w:lineRule="auto"/>
              <w:textAlignment w:val="baseline"/>
              <w:rPr>
                <w:rFonts w:hint="eastAsia" w:ascii="宋体" w:hAnsi="宋体" w:cs="宋体"/>
                <w:sz w:val="21"/>
                <w:szCs w:val="21"/>
              </w:rPr>
            </w:pPr>
            <w:r>
              <w:rPr>
                <w:rFonts w:hint="eastAsia" w:ascii="宋体" w:hAnsi="宋体" w:cs="宋体"/>
                <w:sz w:val="21"/>
                <w:szCs w:val="21"/>
              </w:rPr>
              <w:t>Q</w:t>
            </w:r>
            <w:r>
              <w:rPr>
                <w:rFonts w:hint="eastAsia" w:ascii="宋体" w:hAnsi="宋体" w:cs="宋体"/>
                <w:sz w:val="21"/>
                <w:szCs w:val="21"/>
                <w:lang w:val="en-US" w:eastAsia="zh-CN"/>
              </w:rPr>
              <w:t>O</w:t>
            </w:r>
            <w:r>
              <w:rPr>
                <w:rFonts w:hint="eastAsia" w:ascii="宋体" w:hAnsi="宋体" w:cs="宋体"/>
                <w:sz w:val="21"/>
                <w:szCs w:val="21"/>
                <w:lang w:eastAsia="zh-CN"/>
              </w:rPr>
              <w:t>：</w:t>
            </w:r>
            <w:r>
              <w:rPr>
                <w:rFonts w:hint="eastAsia" w:ascii="宋体" w:hAnsi="宋体" w:cs="宋体"/>
                <w:sz w:val="21"/>
                <w:szCs w:val="21"/>
              </w:rPr>
              <w:t>6.2</w:t>
            </w:r>
          </w:p>
          <w:p>
            <w:pPr>
              <w:rPr>
                <w:rFonts w:hint="eastAsia" w:ascii="宋体" w:hAnsi="宋体" w:eastAsia="宋体" w:cs="宋体"/>
                <w:b/>
                <w:kern w:val="2"/>
                <w:sz w:val="21"/>
                <w:szCs w:val="21"/>
                <w:lang w:val="en-US" w:eastAsia="zh-CN" w:bidi="ar-SA"/>
              </w:rPr>
            </w:pPr>
          </w:p>
        </w:tc>
        <w:tc>
          <w:tcPr>
            <w:tcW w:w="10152" w:type="dxa"/>
            <w:vAlign w:val="center"/>
          </w:tcPr>
          <w:p>
            <w:pPr>
              <w:pStyle w:val="10"/>
              <w:spacing w:line="400" w:lineRule="exact"/>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分解到该部门的质量目标及完成情况如下：</w:t>
            </w:r>
          </w:p>
          <w:p>
            <w:pPr>
              <w:pStyle w:val="10"/>
              <w:spacing w:line="400" w:lineRule="exact"/>
              <w:rPr>
                <w:rFonts w:hint="default" w:eastAsia="宋体"/>
                <w:color w:val="000000"/>
                <w:szCs w:val="21"/>
                <w:lang w:val="en-US" w:eastAsia="zh-CN"/>
              </w:rPr>
            </w:pPr>
            <w:r>
              <w:rPr>
                <w:rFonts w:hint="eastAsia"/>
                <w:color w:val="000000"/>
                <w:szCs w:val="21"/>
              </w:rPr>
              <w:t>1）人员培训合格率≥100％</w:t>
            </w:r>
            <w:r>
              <w:rPr>
                <w:rFonts w:hint="eastAsia"/>
                <w:color w:val="000000"/>
                <w:szCs w:val="21"/>
                <w:lang w:val="en-US" w:eastAsia="zh-CN"/>
              </w:rPr>
              <w:t xml:space="preserve">                 </w:t>
            </w:r>
            <w:r>
              <w:rPr>
                <w:rFonts w:hint="eastAsia"/>
                <w:color w:val="000000"/>
                <w:szCs w:val="21"/>
              </w:rPr>
              <w:t>100％</w:t>
            </w:r>
          </w:p>
          <w:p>
            <w:pPr>
              <w:pStyle w:val="10"/>
              <w:spacing w:line="400" w:lineRule="exact"/>
              <w:rPr>
                <w:rFonts w:hint="eastAsia"/>
                <w:color w:val="000000"/>
                <w:szCs w:val="21"/>
              </w:rPr>
            </w:pPr>
            <w:r>
              <w:rPr>
                <w:rFonts w:hint="eastAsia"/>
                <w:color w:val="000000"/>
                <w:szCs w:val="21"/>
              </w:rPr>
              <w:t>2）人员培训及时率≥100％</w:t>
            </w:r>
            <w:r>
              <w:rPr>
                <w:rFonts w:hint="eastAsia"/>
                <w:color w:val="000000"/>
                <w:szCs w:val="21"/>
                <w:lang w:val="en-US" w:eastAsia="zh-CN"/>
              </w:rPr>
              <w:t xml:space="preserve">                 </w:t>
            </w:r>
            <w:r>
              <w:rPr>
                <w:rFonts w:hint="eastAsia"/>
                <w:color w:val="000000"/>
                <w:szCs w:val="21"/>
              </w:rPr>
              <w:t>100％</w:t>
            </w:r>
          </w:p>
          <w:p>
            <w:pPr>
              <w:pStyle w:val="10"/>
              <w:spacing w:line="400" w:lineRule="exact"/>
              <w:rPr>
                <w:rFonts w:hint="eastAsia"/>
                <w:color w:val="000000"/>
                <w:szCs w:val="21"/>
              </w:rPr>
            </w:pPr>
            <w:r>
              <w:rPr>
                <w:rFonts w:hint="eastAsia"/>
                <w:color w:val="000000"/>
                <w:szCs w:val="21"/>
              </w:rPr>
              <w:t>3）文件发放收回受控率100％</w:t>
            </w:r>
            <w:r>
              <w:rPr>
                <w:rFonts w:hint="eastAsia"/>
                <w:color w:val="000000"/>
                <w:szCs w:val="21"/>
                <w:lang w:val="en-US" w:eastAsia="zh-CN"/>
              </w:rPr>
              <w:t xml:space="preserve">                 </w:t>
            </w:r>
            <w:r>
              <w:rPr>
                <w:rFonts w:hint="eastAsia"/>
                <w:color w:val="000000"/>
                <w:szCs w:val="21"/>
              </w:rPr>
              <w:t>100％</w:t>
            </w:r>
          </w:p>
          <w:p>
            <w:pPr>
              <w:pStyle w:val="10"/>
              <w:spacing w:line="400" w:lineRule="exact"/>
              <w:rPr>
                <w:rFonts w:hint="eastAsia" w:ascii="Times New Roman" w:hAnsi="Times New Roman" w:eastAsia="宋体" w:cs="Times New Roman"/>
                <w:color w:val="000000"/>
                <w:szCs w:val="21"/>
              </w:rPr>
            </w:pPr>
            <w:r>
              <w:rPr>
                <w:rFonts w:hint="eastAsia"/>
                <w:color w:val="000000"/>
                <w:szCs w:val="21"/>
              </w:rPr>
              <w:t>4）全年无重大安全事故</w:t>
            </w:r>
            <w:r>
              <w:rPr>
                <w:rFonts w:hint="eastAsia" w:ascii="Times New Roman" w:hAnsi="Times New Roman" w:eastAsia="宋体" w:cs="Times New Roman"/>
                <w:color w:val="000000"/>
                <w:szCs w:val="21"/>
                <w:lang w:val="en-US" w:eastAsia="zh-CN"/>
              </w:rPr>
              <w:t xml:space="preserve">                        </w:t>
            </w:r>
            <w:r>
              <w:rPr>
                <w:rFonts w:hint="eastAsia" w:ascii="Times New Roman" w:hAnsi="Times New Roman" w:eastAsia="宋体" w:cs="Times New Roman"/>
                <w:color w:val="000000"/>
                <w:szCs w:val="21"/>
              </w:rPr>
              <w:t>0</w:t>
            </w:r>
          </w:p>
          <w:p>
            <w:pPr>
              <w:pStyle w:val="10"/>
              <w:spacing w:line="400" w:lineRule="exact"/>
              <w:rPr>
                <w:rFonts w:hint="eastAsia" w:ascii="宋体" w:hAnsi="宋体"/>
                <w:b/>
                <w:bCs w:val="0"/>
                <w:color w:val="000000"/>
                <w:lang w:val="en-US" w:eastAsia="zh-CN"/>
              </w:rPr>
            </w:pPr>
          </w:p>
          <w:p>
            <w:pPr>
              <w:pStyle w:val="10"/>
              <w:spacing w:line="400" w:lineRule="exact"/>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考核日期：2022.</w:t>
            </w:r>
            <w:r>
              <w:rPr>
                <w:rFonts w:hint="eastAsia" w:ascii="Times New Roman" w:hAnsi="Times New Roman" w:eastAsia="宋体" w:cs="Times New Roman"/>
                <w:color w:val="auto"/>
                <w:kern w:val="2"/>
                <w:sz w:val="21"/>
                <w:szCs w:val="21"/>
                <w:lang w:val="en-US" w:eastAsia="zh-CN"/>
              </w:rPr>
              <w:t>4.5</w:t>
            </w:r>
            <w:r>
              <w:rPr>
                <w:rFonts w:hint="eastAsia" w:ascii="Times New Roman" w:hAnsi="Times New Roman" w:eastAsia="宋体" w:cs="Times New Roman"/>
                <w:color w:val="auto"/>
                <w:kern w:val="2"/>
                <w:sz w:val="21"/>
                <w:szCs w:val="21"/>
              </w:rPr>
              <w:t xml:space="preserve">，目标全部完成。 </w:t>
            </w:r>
          </w:p>
          <w:p>
            <w:pPr>
              <w:pStyle w:val="10"/>
              <w:spacing w:line="400" w:lineRule="exact"/>
              <w:rPr>
                <w:rFonts w:hint="eastAsia" w:ascii="宋体" w:hAnsi="宋体" w:eastAsia="宋体" w:cs="宋体"/>
                <w:color w:val="000000"/>
                <w:kern w:val="2"/>
                <w:sz w:val="21"/>
                <w:szCs w:val="21"/>
                <w:lang w:val="en-US" w:eastAsia="zh-CN" w:bidi="ar-SA"/>
              </w:rPr>
            </w:pPr>
            <w:r>
              <w:rPr>
                <w:rFonts w:hint="eastAsia" w:ascii="Times New Roman" w:hAnsi="Times New Roman" w:eastAsia="宋体" w:cs="Times New Roman"/>
                <w:color w:val="auto"/>
                <w:kern w:val="2"/>
                <w:sz w:val="21"/>
                <w:szCs w:val="21"/>
              </w:rPr>
              <w:t xml:space="preserve">     对质量、职业健康安全目标进行了细化,确定实施的具体要求。建立有《职业健康安全管理方案》，其中包括有重大危险源；目标 （指标）；控制措施；责任部门；相关部门；预算经费等。 公司通过组织学习和张贴等方式进行向员工和相关方进行宣传贯彻，并通过检查考核，检查方针和目标的实施情况。</w:t>
            </w:r>
          </w:p>
        </w:tc>
        <w:tc>
          <w:tcPr>
            <w:tcW w:w="1437"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360" w:lineRule="auto"/>
              <w:ind w:firstLine="210" w:firstLineChars="100"/>
              <w:rPr>
                <w:rFonts w:hint="eastAsia" w:ascii="宋体" w:hAnsi="宋体" w:cs="宋体"/>
                <w:sz w:val="21"/>
                <w:szCs w:val="21"/>
              </w:rPr>
            </w:pPr>
            <w:r>
              <w:rPr>
                <w:rFonts w:hint="eastAsia" w:ascii="宋体" w:hAnsi="宋体" w:cs="宋体"/>
                <w:sz w:val="21"/>
                <w:szCs w:val="21"/>
              </w:rPr>
              <w:t>人员</w:t>
            </w:r>
          </w:p>
          <w:p>
            <w:pPr>
              <w:rPr>
                <w:rFonts w:hint="eastAsia" w:ascii="宋体" w:hAnsi="宋体" w:eastAsia="宋体" w:cs="宋体"/>
                <w:b/>
                <w:kern w:val="2"/>
                <w:sz w:val="21"/>
                <w:szCs w:val="21"/>
                <w:lang w:val="en-US" w:eastAsia="zh-CN" w:bidi="ar-SA"/>
              </w:rPr>
            </w:pPr>
          </w:p>
        </w:tc>
        <w:tc>
          <w:tcPr>
            <w:tcW w:w="1311" w:type="dxa"/>
            <w:vAlign w:val="center"/>
          </w:tcPr>
          <w:p>
            <w:pPr>
              <w:rPr>
                <w:rFonts w:hint="eastAsia" w:ascii="宋体" w:hAnsi="宋体" w:eastAsia="宋体" w:cs="宋体"/>
                <w:b/>
                <w:kern w:val="2"/>
                <w:sz w:val="21"/>
                <w:szCs w:val="21"/>
                <w:lang w:val="en-US" w:eastAsia="zh-CN" w:bidi="ar-SA"/>
              </w:rPr>
            </w:pPr>
            <w:r>
              <w:rPr>
                <w:rFonts w:hint="eastAsia" w:ascii="宋体" w:hAnsi="宋体" w:cs="宋体"/>
                <w:b w:val="0"/>
                <w:bCs/>
                <w:sz w:val="21"/>
                <w:szCs w:val="21"/>
              </w:rPr>
              <w:t>Q</w:t>
            </w:r>
            <w:r>
              <w:rPr>
                <w:rFonts w:hint="eastAsia" w:ascii="宋体" w:hAnsi="宋体" w:cs="宋体"/>
                <w:b w:val="0"/>
                <w:bCs/>
                <w:sz w:val="21"/>
                <w:szCs w:val="21"/>
                <w:lang w:eastAsia="zh-CN"/>
              </w:rPr>
              <w:t>：</w:t>
            </w:r>
            <w:r>
              <w:rPr>
                <w:rFonts w:hint="eastAsia" w:ascii="宋体" w:hAnsi="宋体" w:cs="宋体"/>
                <w:b w:val="0"/>
                <w:bCs/>
                <w:sz w:val="21"/>
                <w:szCs w:val="21"/>
              </w:rPr>
              <w:t>7.1.2</w:t>
            </w:r>
          </w:p>
        </w:tc>
        <w:tc>
          <w:tcPr>
            <w:tcW w:w="10152" w:type="dxa"/>
            <w:vAlign w:val="center"/>
          </w:tcPr>
          <w:p>
            <w:pPr>
              <w:adjustRightInd w:val="0"/>
              <w:snapToGrid w:val="0"/>
              <w:spacing w:line="360" w:lineRule="auto"/>
              <w:rPr>
                <w:rFonts w:hint="eastAsia" w:ascii="宋体" w:hAnsi="宋体" w:cs="宋体"/>
                <w:spacing w:val="-4"/>
                <w:sz w:val="21"/>
                <w:szCs w:val="21"/>
              </w:rPr>
            </w:pPr>
            <w:r>
              <w:rPr>
                <w:rFonts w:hint="eastAsia" w:ascii="宋体" w:hAnsi="宋体" w:cs="宋体"/>
                <w:spacing w:val="-4"/>
                <w:sz w:val="21"/>
                <w:szCs w:val="21"/>
              </w:rPr>
              <w:t>查，公司编制了</w:t>
            </w:r>
            <w:r>
              <w:rPr>
                <w:rFonts w:hint="eastAsia" w:ascii="宋体" w:hAnsi="宋体" w:cs="宋体"/>
                <w:spacing w:val="-4"/>
                <w:sz w:val="21"/>
                <w:szCs w:val="21"/>
                <w:lang w:val="en-US" w:eastAsia="zh-CN"/>
              </w:rPr>
              <w:t>并实施了</w:t>
            </w:r>
            <w:r>
              <w:rPr>
                <w:rFonts w:hint="eastAsia" w:ascii="宋体" w:hAnsi="宋体" w:cs="宋体"/>
                <w:spacing w:val="-4"/>
                <w:sz w:val="21"/>
                <w:szCs w:val="21"/>
              </w:rPr>
              <w:t>《</w:t>
            </w:r>
            <w:r>
              <w:rPr>
                <w:rFonts w:hint="eastAsia" w:ascii="宋体" w:hAnsi="宋体" w:cs="宋体"/>
                <w:spacing w:val="-4"/>
                <w:sz w:val="21"/>
                <w:szCs w:val="21"/>
                <w:lang w:val="en-US" w:eastAsia="zh-CN"/>
              </w:rPr>
              <w:t>岗位任职评价</w:t>
            </w:r>
            <w:r>
              <w:rPr>
                <w:rFonts w:hint="eastAsia" w:ascii="宋体" w:hAnsi="宋体" w:cs="宋体"/>
                <w:spacing w:val="-4"/>
                <w:sz w:val="21"/>
                <w:szCs w:val="21"/>
              </w:rPr>
              <w:t>》、《</w:t>
            </w:r>
            <w:r>
              <w:rPr>
                <w:rFonts w:hint="eastAsia" w:ascii="宋体" w:hAnsi="宋体" w:cs="宋体"/>
                <w:spacing w:val="-4"/>
                <w:sz w:val="21"/>
                <w:szCs w:val="21"/>
                <w:lang w:val="en-US" w:eastAsia="zh-CN"/>
              </w:rPr>
              <w:t>人员基本要求一览表</w:t>
            </w:r>
            <w:r>
              <w:rPr>
                <w:rFonts w:hint="eastAsia" w:ascii="宋体" w:hAnsi="宋体" w:cs="宋体"/>
                <w:spacing w:val="-4"/>
                <w:sz w:val="21"/>
                <w:szCs w:val="21"/>
              </w:rPr>
              <w:t>》等，</w:t>
            </w:r>
          </w:p>
          <w:p>
            <w:pPr>
              <w:adjustRightInd w:val="0"/>
              <w:snapToGrid w:val="0"/>
              <w:spacing w:line="360" w:lineRule="auto"/>
              <w:rPr>
                <w:rFonts w:hint="eastAsia" w:ascii="宋体" w:hAnsi="宋体" w:cs="宋体"/>
                <w:spacing w:val="-4"/>
                <w:sz w:val="21"/>
                <w:szCs w:val="21"/>
              </w:rPr>
            </w:pPr>
            <w:r>
              <w:rPr>
                <w:rFonts w:hint="eastAsia" w:ascii="宋体" w:hAnsi="宋体" w:cs="宋体"/>
                <w:spacing w:val="-4"/>
                <w:sz w:val="21"/>
                <w:szCs w:val="21"/>
              </w:rPr>
              <w:t>查，公司策划了各岗位的人员任职要求，编制有对各岗位人员的技能、教育经历、工作经历、岗位职责、培训等作了具体要求，对各部门、各岗位的职责和任职要求作了阐述，使与质量相关的岗位任职条件具体化了，为以后招聘工作指明了方向。</w:t>
            </w:r>
          </w:p>
          <w:p>
            <w:pPr>
              <w:adjustRightInd w:val="0"/>
              <w:snapToGrid w:val="0"/>
              <w:spacing w:line="360" w:lineRule="auto"/>
              <w:rPr>
                <w:rFonts w:hint="eastAsia" w:ascii="宋体" w:hAnsi="宋体" w:eastAsia="宋体" w:cs="宋体"/>
                <w:kern w:val="2"/>
                <w:sz w:val="21"/>
                <w:szCs w:val="21"/>
                <w:lang w:val="en-US" w:eastAsia="zh-CN" w:bidi="ar-SA"/>
              </w:rPr>
            </w:pPr>
            <w:r>
              <w:rPr>
                <w:rFonts w:hint="eastAsia" w:ascii="宋体" w:hAnsi="宋体" w:cs="宋体"/>
                <w:spacing w:val="-4"/>
                <w:sz w:val="21"/>
                <w:szCs w:val="21"/>
                <w:lang w:val="en-US" w:eastAsia="zh-CN"/>
              </w:rPr>
              <w:t>远程</w:t>
            </w:r>
            <w:r>
              <w:rPr>
                <w:rFonts w:hint="eastAsia" w:ascii="宋体" w:hAnsi="宋体" w:cs="宋体"/>
                <w:spacing w:val="-4"/>
                <w:sz w:val="21"/>
                <w:szCs w:val="21"/>
              </w:rPr>
              <w:t>确认，能满足规定要求。有岗位任职考核、聘用记录。</w:t>
            </w:r>
          </w:p>
        </w:tc>
        <w:tc>
          <w:tcPr>
            <w:tcW w:w="1437"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360" w:lineRule="auto"/>
              <w:rPr>
                <w:rFonts w:hint="eastAsia" w:ascii="宋体" w:hAnsi="宋体" w:cs="宋体"/>
                <w:sz w:val="21"/>
                <w:szCs w:val="21"/>
              </w:rPr>
            </w:pPr>
          </w:p>
          <w:p>
            <w:pPr>
              <w:spacing w:line="360" w:lineRule="auto"/>
              <w:rPr>
                <w:rFonts w:hint="eastAsia" w:ascii="宋体" w:hAnsi="宋体" w:cs="宋体"/>
                <w:sz w:val="21"/>
                <w:szCs w:val="21"/>
              </w:rPr>
            </w:pPr>
            <w:r>
              <w:rPr>
                <w:rFonts w:hint="eastAsia" w:ascii="宋体" w:hAnsi="宋体" w:cs="宋体"/>
                <w:sz w:val="21"/>
                <w:szCs w:val="21"/>
              </w:rPr>
              <w:t>组织的知识</w:t>
            </w:r>
          </w:p>
          <w:p>
            <w:pPr>
              <w:spacing w:line="360" w:lineRule="auto"/>
              <w:jc w:val="left"/>
              <w:rPr>
                <w:rFonts w:hint="eastAsia" w:ascii="宋体" w:hAnsi="宋体" w:eastAsia="宋体" w:cs="宋体"/>
                <w:kern w:val="2"/>
                <w:sz w:val="21"/>
                <w:szCs w:val="21"/>
                <w:lang w:val="en-US" w:eastAsia="zh-CN" w:bidi="ar-SA"/>
              </w:rPr>
            </w:pPr>
          </w:p>
        </w:tc>
        <w:tc>
          <w:tcPr>
            <w:tcW w:w="1311" w:type="dxa"/>
            <w:vAlign w:val="center"/>
          </w:tcPr>
          <w:p>
            <w:pPr>
              <w:rPr>
                <w:rFonts w:hint="eastAsia" w:ascii="宋体" w:hAnsi="宋体" w:eastAsia="宋体" w:cs="宋体"/>
                <w:b/>
                <w:kern w:val="2"/>
                <w:sz w:val="21"/>
                <w:szCs w:val="21"/>
                <w:lang w:val="en-US" w:eastAsia="zh-CN" w:bidi="ar-SA"/>
              </w:rPr>
            </w:pPr>
            <w:r>
              <w:rPr>
                <w:rFonts w:hint="eastAsia" w:ascii="宋体" w:hAnsi="宋体" w:cs="宋体"/>
                <w:sz w:val="21"/>
                <w:szCs w:val="21"/>
              </w:rPr>
              <w:t>Q</w:t>
            </w:r>
            <w:r>
              <w:rPr>
                <w:rFonts w:hint="eastAsia" w:ascii="宋体" w:hAnsi="宋体" w:cs="宋体"/>
                <w:sz w:val="21"/>
                <w:szCs w:val="21"/>
                <w:lang w:eastAsia="zh-CN"/>
              </w:rPr>
              <w:t>：</w:t>
            </w:r>
            <w:r>
              <w:rPr>
                <w:rFonts w:hint="eastAsia" w:ascii="宋体" w:hAnsi="宋体" w:cs="宋体"/>
                <w:sz w:val="21"/>
                <w:szCs w:val="21"/>
              </w:rPr>
              <w:t>7.1.6</w:t>
            </w:r>
          </w:p>
        </w:tc>
        <w:tc>
          <w:tcPr>
            <w:tcW w:w="10152" w:type="dxa"/>
            <w:vAlign w:val="center"/>
          </w:tcPr>
          <w:p>
            <w:pPr>
              <w:adjustRightInd w:val="0"/>
              <w:snapToGrid w:val="0"/>
              <w:spacing w:line="360" w:lineRule="auto"/>
              <w:rPr>
                <w:rFonts w:hint="eastAsia" w:ascii="宋体" w:hAnsi="宋体" w:cs="宋体"/>
                <w:sz w:val="21"/>
                <w:szCs w:val="21"/>
              </w:rPr>
            </w:pPr>
            <w:r>
              <w:rPr>
                <w:rFonts w:hint="eastAsia" w:ascii="宋体" w:hAnsi="宋体" w:cs="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安全会议，从顾客或外部供方收集的知识）。</w:t>
            </w:r>
          </w:p>
          <w:p>
            <w:pPr>
              <w:adjustRightInd w:val="0"/>
              <w:snapToGrid w:val="0"/>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sz w:val="21"/>
                <w:szCs w:val="21"/>
              </w:rPr>
              <w:t>--公司明确组织知识作为公司的重要资源，按内部文件或外来文件予以受控管理，包括必要的分级保密措施。</w:t>
            </w:r>
          </w:p>
        </w:tc>
        <w:tc>
          <w:tcPr>
            <w:tcW w:w="1437" w:type="dxa"/>
          </w:tcPr>
          <w:p>
            <w:pPr>
              <w:spacing w:line="360" w:lineRule="auto"/>
            </w:pPr>
          </w:p>
          <w:p>
            <w:pPr>
              <w:pStyle w:val="3"/>
            </w:pPr>
            <w:r>
              <w:rPr>
                <w:rFonts w:hint="eastAsia" w:ascii="楷体" w:hAnsi="楷体" w:eastAsia="楷体"/>
                <w:sz w:val="24"/>
                <w:szCs w:val="24"/>
                <w:lang w:val="en-US" w:eastAsia="zh-CN"/>
              </w:rPr>
              <w:t>符合</w:t>
            </w:r>
          </w:p>
          <w:p>
            <w:pPr>
              <w:pStyle w:val="4"/>
              <w:rPr>
                <w:rFonts w:ascii="楷体" w:hAnsi="楷体" w:eastAsia="楷体"/>
                <w:sz w:val="24"/>
                <w:szCs w:val="24"/>
              </w:rPr>
            </w:pPr>
          </w:p>
          <w:p>
            <w:pPr>
              <w:pStyle w:val="4"/>
              <w:rPr>
                <w:rFonts w:ascii="楷体" w:hAnsi="楷体" w:eastAsia="楷体"/>
                <w:sz w:val="24"/>
                <w:szCs w:val="24"/>
              </w:rPr>
            </w:pPr>
          </w:p>
          <w:p>
            <w:pPr>
              <w:pStyle w:val="4"/>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r>
              <w:rPr>
                <w:rFonts w:hint="eastAsia" w:ascii="宋体" w:hAnsi="宋体" w:cs="宋体"/>
                <w:sz w:val="21"/>
                <w:szCs w:val="21"/>
              </w:rPr>
              <w:t>能力</w:t>
            </w:r>
          </w:p>
          <w:p>
            <w:pPr>
              <w:spacing w:line="360" w:lineRule="auto"/>
              <w:rPr>
                <w:rFonts w:hint="eastAsia" w:ascii="宋体" w:hAnsi="宋体" w:eastAsia="宋体" w:cs="宋体"/>
                <w:b/>
                <w:kern w:val="2"/>
                <w:sz w:val="21"/>
                <w:szCs w:val="21"/>
                <w:lang w:val="en-US" w:eastAsia="zh-CN" w:bidi="ar-SA"/>
              </w:rPr>
            </w:pPr>
          </w:p>
        </w:tc>
        <w:tc>
          <w:tcPr>
            <w:tcW w:w="1311" w:type="dxa"/>
            <w:vAlign w:val="center"/>
          </w:tcPr>
          <w:p>
            <w:pPr>
              <w:spacing w:line="360" w:lineRule="auto"/>
              <w:rPr>
                <w:rFonts w:hint="eastAsia"/>
              </w:rPr>
            </w:pPr>
          </w:p>
          <w:p>
            <w:pPr>
              <w:spacing w:line="360" w:lineRule="auto"/>
              <w:rPr>
                <w:rFonts w:hint="eastAsia"/>
              </w:rPr>
            </w:pPr>
          </w:p>
          <w:p>
            <w:pPr>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cs="宋体"/>
                <w:sz w:val="21"/>
                <w:szCs w:val="21"/>
                <w:lang w:val="en-US" w:eastAsia="zh-CN"/>
              </w:rPr>
              <w:t>O</w:t>
            </w:r>
            <w:r>
              <w:rPr>
                <w:rFonts w:hint="eastAsia" w:ascii="宋体" w:hAnsi="宋体" w:eastAsia="宋体" w:cs="宋体"/>
                <w:sz w:val="21"/>
                <w:szCs w:val="21"/>
              </w:rPr>
              <w:t>7.2</w:t>
            </w:r>
          </w:p>
          <w:p>
            <w:pPr>
              <w:rPr>
                <w:rFonts w:hint="default" w:eastAsia="宋体"/>
                <w:lang w:val="en-US" w:eastAsia="zh-CN"/>
              </w:rPr>
            </w:pPr>
          </w:p>
        </w:tc>
        <w:tc>
          <w:tcPr>
            <w:tcW w:w="10152"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公司产品单一，工序简单对人员没有特殊要求，班前培训上岗。</w:t>
            </w:r>
          </w:p>
          <w:p>
            <w:pPr>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查</w:t>
            </w:r>
            <w:r>
              <w:rPr>
                <w:rFonts w:hint="eastAsia" w:ascii="宋体" w:hAnsi="宋体" w:cs="宋体"/>
                <w:sz w:val="21"/>
                <w:szCs w:val="21"/>
                <w:lang w:val="en-US" w:eastAsia="zh-CN"/>
              </w:rPr>
              <w:t>2021年和</w:t>
            </w:r>
            <w:r>
              <w:rPr>
                <w:rFonts w:hint="eastAsia" w:ascii="宋体" w:hAnsi="宋体" w:cs="宋体"/>
                <w:sz w:val="21"/>
                <w:szCs w:val="21"/>
              </w:rPr>
              <w:t>2</w:t>
            </w:r>
            <w:r>
              <w:rPr>
                <w:rFonts w:hint="eastAsia" w:ascii="宋体" w:hAnsi="宋体" w:cs="宋体"/>
                <w:sz w:val="21"/>
                <w:szCs w:val="21"/>
                <w:lang w:val="en-US" w:eastAsia="zh-CN"/>
              </w:rPr>
              <w:t>022</w:t>
            </w:r>
            <w:r>
              <w:rPr>
                <w:rFonts w:hint="eastAsia" w:ascii="宋体" w:hAnsi="宋体" w:cs="宋体"/>
                <w:sz w:val="21"/>
                <w:szCs w:val="21"/>
              </w:rPr>
              <w:t>年培训计划，</w:t>
            </w:r>
            <w:r>
              <w:rPr>
                <w:rFonts w:hint="eastAsia" w:ascii="宋体" w:hAnsi="宋体" w:cs="宋体"/>
                <w:sz w:val="21"/>
                <w:szCs w:val="21"/>
                <w:lang w:val="en-US" w:eastAsia="zh-CN"/>
              </w:rPr>
              <w:t>近两年企业未增加新人员；</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抽查培训记录</w:t>
            </w:r>
            <w:r>
              <w:rPr>
                <w:rFonts w:hint="eastAsia" w:ascii="宋体" w:hAnsi="宋体" w:eastAsia="宋体" w:cs="宋体"/>
                <w:sz w:val="21"/>
                <w:szCs w:val="21"/>
              </w:rPr>
              <w:t>1）：2022.02.1</w:t>
            </w:r>
            <w:r>
              <w:rPr>
                <w:rFonts w:hint="eastAsia" w:ascii="宋体" w:hAnsi="宋体" w:cs="宋体"/>
                <w:sz w:val="21"/>
                <w:szCs w:val="21"/>
                <w:lang w:val="en-US" w:eastAsia="zh-CN"/>
              </w:rPr>
              <w:t>4</w:t>
            </w:r>
            <w:r>
              <w:rPr>
                <w:rFonts w:hint="eastAsia" w:ascii="宋体" w:hAnsi="宋体" w:eastAsia="宋体" w:cs="宋体"/>
                <w:sz w:val="21"/>
                <w:szCs w:val="21"/>
              </w:rPr>
              <w:t xml:space="preserve">  培训内容：内审员培训；培训老师：</w:t>
            </w:r>
            <w:r>
              <w:rPr>
                <w:rFonts w:hint="eastAsia" w:ascii="宋体" w:hAnsi="宋体" w:eastAsia="宋体" w:cs="宋体"/>
                <w:sz w:val="21"/>
                <w:szCs w:val="21"/>
                <w:lang w:val="en-US" w:eastAsia="zh-CN"/>
              </w:rPr>
              <w:t>王</w:t>
            </w:r>
            <w:r>
              <w:rPr>
                <w:rFonts w:hint="eastAsia" w:ascii="宋体" w:hAnsi="宋体" w:eastAsia="宋体" w:cs="宋体"/>
                <w:sz w:val="21"/>
                <w:szCs w:val="21"/>
              </w:rPr>
              <w:t>老师；培训人员：</w:t>
            </w:r>
            <w:r>
              <w:rPr>
                <w:rFonts w:hint="eastAsia" w:ascii="宋体" w:hAnsi="宋体" w:cs="宋体"/>
                <w:sz w:val="21"/>
                <w:szCs w:val="21"/>
                <w:lang w:eastAsia="zh-CN"/>
              </w:rPr>
              <w:t>王建均、朱卫平、王云倩、张晓勇、王建峰</w:t>
            </w:r>
            <w:r>
              <w:rPr>
                <w:rFonts w:hint="eastAsia" w:ascii="宋体" w:hAnsi="宋体" w:eastAsia="宋体" w:cs="宋体"/>
                <w:sz w:val="21"/>
                <w:szCs w:val="21"/>
              </w:rPr>
              <w:t xml:space="preserve"> ；效果评价：通过培训学习，2名内审员通过了考核，培训有效。评价人：</w:t>
            </w:r>
            <w:r>
              <w:rPr>
                <w:rFonts w:hint="eastAsia" w:ascii="宋体" w:hAnsi="宋体" w:cs="宋体"/>
                <w:sz w:val="21"/>
                <w:szCs w:val="21"/>
                <w:lang w:val="en-US" w:eastAsia="zh-CN"/>
              </w:rPr>
              <w:t>朱卫平</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2）：2022.2.2</w:t>
            </w:r>
            <w:r>
              <w:rPr>
                <w:rFonts w:hint="eastAsia" w:ascii="宋体" w:hAnsi="宋体" w:cs="宋体"/>
                <w:sz w:val="21"/>
                <w:szCs w:val="21"/>
                <w:lang w:val="en-US" w:eastAsia="zh-CN"/>
              </w:rPr>
              <w:t>6</w:t>
            </w:r>
            <w:r>
              <w:rPr>
                <w:rFonts w:hint="eastAsia" w:ascii="宋体" w:hAnsi="宋体" w:eastAsia="宋体" w:cs="宋体"/>
                <w:sz w:val="21"/>
                <w:szCs w:val="21"/>
              </w:rPr>
              <w:t xml:space="preserve">  培训内容：ISO管理体系标准知识再培训；培训老师：</w:t>
            </w:r>
            <w:r>
              <w:rPr>
                <w:rFonts w:hint="eastAsia" w:ascii="宋体" w:hAnsi="宋体" w:eastAsia="宋体" w:cs="宋体"/>
                <w:sz w:val="21"/>
                <w:szCs w:val="21"/>
                <w:lang w:val="en-US" w:eastAsia="zh-CN"/>
              </w:rPr>
              <w:t>王</w:t>
            </w:r>
            <w:r>
              <w:rPr>
                <w:rFonts w:hint="eastAsia" w:ascii="宋体" w:hAnsi="宋体" w:eastAsia="宋体" w:cs="宋体"/>
                <w:sz w:val="21"/>
                <w:szCs w:val="21"/>
              </w:rPr>
              <w:t>老师；培训人员：公司领导以及各部门负责人、相关人员，内审员 ；效果评价：通过培训，公司的各级人员对GB/T 19000－2016 、ISO 45001:2018标准要求有了进一步提高，培训有效。评价人：</w:t>
            </w:r>
            <w:r>
              <w:rPr>
                <w:rFonts w:hint="eastAsia" w:ascii="宋体" w:hAnsi="宋体" w:cs="宋体"/>
                <w:sz w:val="21"/>
                <w:szCs w:val="21"/>
                <w:lang w:val="en-US" w:eastAsia="zh-CN"/>
              </w:rPr>
              <w:t>朱卫平</w:t>
            </w:r>
            <w:r>
              <w:rPr>
                <w:rFonts w:hint="eastAsia" w:ascii="宋体" w:hAnsi="宋体" w:eastAsia="宋体" w:cs="宋体"/>
                <w:sz w:val="21"/>
                <w:szCs w:val="21"/>
                <w:lang w:val="en-US"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）：2022.3.2</w:t>
            </w:r>
            <w:r>
              <w:rPr>
                <w:rFonts w:hint="eastAsia" w:ascii="宋体" w:hAnsi="宋体" w:cs="宋体"/>
                <w:sz w:val="21"/>
                <w:szCs w:val="21"/>
                <w:lang w:val="en-US" w:eastAsia="zh-CN"/>
              </w:rPr>
              <w:t>7</w:t>
            </w:r>
            <w:r>
              <w:rPr>
                <w:rFonts w:hint="eastAsia" w:ascii="宋体" w:hAnsi="宋体" w:eastAsia="宋体" w:cs="宋体"/>
                <w:sz w:val="21"/>
                <w:szCs w:val="21"/>
              </w:rPr>
              <w:t xml:space="preserve"> 培训内容：公司管理手册、程序文件、制度的培训；培训老师：</w:t>
            </w:r>
            <w:r>
              <w:rPr>
                <w:rFonts w:hint="eastAsia" w:ascii="宋体" w:hAnsi="宋体" w:eastAsia="宋体" w:cs="宋体"/>
                <w:sz w:val="21"/>
                <w:szCs w:val="21"/>
                <w:lang w:val="en-US" w:eastAsia="zh-CN"/>
              </w:rPr>
              <w:t>王</w:t>
            </w:r>
            <w:r>
              <w:rPr>
                <w:rFonts w:hint="eastAsia" w:ascii="宋体" w:hAnsi="宋体" w:eastAsia="宋体" w:cs="宋体"/>
                <w:sz w:val="21"/>
                <w:szCs w:val="21"/>
              </w:rPr>
              <w:t>老师；培训人员：公司领导以及各部门负责人、相关人员，内审员 ；效果评价：通过培训，公司的各级人员对公司管理手册、程序文件、制度的培训要求有了进一步提高，培训有效。评价人：</w:t>
            </w:r>
            <w:r>
              <w:rPr>
                <w:rFonts w:hint="eastAsia" w:ascii="宋体" w:hAnsi="宋体" w:cs="宋体"/>
                <w:sz w:val="21"/>
                <w:szCs w:val="21"/>
                <w:lang w:val="en-US" w:eastAsia="zh-CN"/>
              </w:rPr>
              <w:t>朱卫平</w:t>
            </w:r>
            <w:r>
              <w:rPr>
                <w:rFonts w:hint="eastAsia" w:ascii="宋体" w:hAnsi="宋体" w:eastAsia="宋体" w:cs="宋体"/>
                <w:sz w:val="21"/>
                <w:szCs w:val="21"/>
                <w:lang w:val="en-US" w:eastAsia="zh-CN"/>
              </w:rPr>
              <w:t>。</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 w:val="21"/>
                <w:szCs w:val="21"/>
              </w:rPr>
              <w:t>其他培训均按计划</w:t>
            </w:r>
            <w:r>
              <w:rPr>
                <w:rFonts w:hint="eastAsia" w:ascii="宋体" w:hAnsi="宋体" w:cs="宋体"/>
                <w:sz w:val="21"/>
                <w:szCs w:val="21"/>
                <w:lang w:val="en-US" w:eastAsia="zh-CN"/>
              </w:rPr>
              <w:t>完成</w:t>
            </w:r>
            <w:r>
              <w:rPr>
                <w:rFonts w:hint="eastAsia" w:ascii="宋体" w:hAnsi="宋体" w:cs="宋体"/>
                <w:sz w:val="21"/>
                <w:szCs w:val="21"/>
              </w:rPr>
              <w:t>。</w:t>
            </w:r>
          </w:p>
        </w:tc>
        <w:tc>
          <w:tcPr>
            <w:tcW w:w="1437"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意识</w:t>
            </w:r>
          </w:p>
          <w:p>
            <w:pPr>
              <w:ind w:firstLine="210" w:firstLineChars="100"/>
              <w:rPr>
                <w:rFonts w:hint="eastAsia" w:ascii="宋体" w:hAnsi="宋体" w:eastAsia="宋体" w:cs="宋体"/>
                <w:sz w:val="21"/>
                <w:szCs w:val="21"/>
                <w:lang w:val="en-US" w:eastAsia="zh-CN"/>
              </w:rPr>
            </w:pPr>
          </w:p>
        </w:tc>
        <w:tc>
          <w:tcPr>
            <w:tcW w:w="1311" w:type="dxa"/>
            <w:vAlign w:val="center"/>
          </w:tcPr>
          <w:p>
            <w:pPr>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r>
              <w:rPr>
                <w:rFonts w:hint="eastAsia" w:ascii="宋体" w:hAnsi="宋体" w:cs="宋体"/>
                <w:sz w:val="21"/>
                <w:szCs w:val="21"/>
                <w:lang w:val="en-US" w:eastAsia="zh-CN"/>
              </w:rPr>
              <w:t>O</w:t>
            </w:r>
            <w:r>
              <w:rPr>
                <w:rFonts w:hint="eastAsia" w:ascii="宋体" w:hAnsi="宋体" w:eastAsia="宋体" w:cs="宋体"/>
                <w:sz w:val="21"/>
                <w:szCs w:val="21"/>
                <w:lang w:val="en-US" w:eastAsia="zh-CN"/>
              </w:rPr>
              <w:t>：7.3</w:t>
            </w:r>
          </w:p>
        </w:tc>
        <w:tc>
          <w:tcPr>
            <w:tcW w:w="10152"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公司通过</w:t>
            </w:r>
            <w:r>
              <w:rPr>
                <w:rFonts w:hint="eastAsia" w:ascii="宋体" w:hAnsi="宋体" w:cs="宋体"/>
                <w:sz w:val="21"/>
                <w:szCs w:val="21"/>
                <w:lang w:val="en-US" w:eastAsia="zh-CN"/>
              </w:rPr>
              <w:t>会议</w:t>
            </w:r>
            <w:r>
              <w:rPr>
                <w:rFonts w:hint="eastAsia" w:ascii="宋体" w:hAnsi="宋体" w:cs="宋体"/>
                <w:sz w:val="21"/>
                <w:szCs w:val="21"/>
              </w:rPr>
              <w:t>、培训、制度约束等方式确保员工能意识到他们从事的活动的相关性及重要性，以及他们对贯彻质量方针、达成质量目标及实现Q</w:t>
            </w:r>
            <w:r>
              <w:rPr>
                <w:rFonts w:hint="eastAsia" w:ascii="宋体" w:hAnsi="宋体" w:cs="宋体"/>
                <w:sz w:val="21"/>
                <w:szCs w:val="21"/>
                <w:lang w:val="en-US" w:eastAsia="zh-CN"/>
              </w:rPr>
              <w:t>O</w:t>
            </w:r>
            <w:r>
              <w:rPr>
                <w:rFonts w:hint="eastAsia" w:ascii="宋体" w:hAnsi="宋体" w:cs="宋体"/>
                <w:sz w:val="21"/>
                <w:szCs w:val="21"/>
              </w:rPr>
              <w:t>的有效性的积极贡献，以及其不符合QS要求的后果。</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rPr>
              <w:t>经与员工沟通了解，基本具备以上必要的质量意识和质量管理体系相关意识。</w:t>
            </w:r>
          </w:p>
        </w:tc>
        <w:tc>
          <w:tcPr>
            <w:tcW w:w="1437"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9"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沟通</w:t>
            </w:r>
          </w:p>
          <w:p>
            <w:pPr>
              <w:spacing w:line="360" w:lineRule="auto"/>
              <w:ind w:firstLine="420" w:firstLineChars="200"/>
              <w:rPr>
                <w:rFonts w:hint="eastAsia" w:ascii="宋体" w:hAnsi="宋体" w:eastAsia="宋体" w:cs="宋体"/>
                <w:sz w:val="21"/>
                <w:szCs w:val="21"/>
                <w:lang w:val="en-US" w:eastAsia="zh-CN"/>
              </w:rPr>
            </w:pPr>
          </w:p>
        </w:tc>
        <w:tc>
          <w:tcPr>
            <w:tcW w:w="1311" w:type="dxa"/>
            <w:vAlign w:val="center"/>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 xml:space="preserve">QO7.4   </w:t>
            </w:r>
          </w:p>
        </w:tc>
        <w:tc>
          <w:tcPr>
            <w:tcW w:w="10152"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编制了《信息交流与协商沟通控制程序</w:t>
            </w:r>
            <w:r>
              <w:rPr>
                <w:rFonts w:hint="eastAsia" w:ascii="宋体" w:hAnsi="宋体" w:cs="宋体"/>
                <w:sz w:val="21"/>
                <w:szCs w:val="21"/>
                <w:lang w:eastAsia="zh-CN"/>
              </w:rPr>
              <w:t>NTSY</w:t>
            </w:r>
            <w:r>
              <w:rPr>
                <w:rFonts w:hint="eastAsia" w:ascii="宋体" w:hAnsi="宋体" w:eastAsia="宋体" w:cs="宋体"/>
                <w:sz w:val="21"/>
                <w:szCs w:val="21"/>
              </w:rPr>
              <w:t>-QO/CX-03》，组织在各部门之间建立了与体系有关的信息通渠沟道，借助于会议、电话、口头交流等方式使全体员工达到沟通和理解。</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公司的总经理定期主持经营和办公例会，分析公司的发展、市场情况和体系运行是否有效，管理目标完成情况，满足顾客要求和法规程度，改进建议等内部管理存在问题等。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综合部是内外部信息交流的中心，通过微信群、会议、培训等形式进行内部交流，向外部接收各种文件传递各种报表，外部沟通联络的部门有环保部门、劳动部门、消防安全部门、质监部门、安监部门、教育局及合同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经交流：目前与质监、劳动、消防、安监部门的信息交流主要是参加会议、接收来文、电话、邮件等，均按要求予以传达和落实，沟通情况较好。</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现有的沟通渠道和方法能满足要求。审核中未发现因沟通不利不及时而造成（影响）某项工作不能正常运行的情况。</w:t>
            </w:r>
          </w:p>
        </w:tc>
        <w:tc>
          <w:tcPr>
            <w:tcW w:w="1437"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9" w:type="dxa"/>
            <w:vAlign w:val="center"/>
          </w:tcPr>
          <w:p>
            <w:pPr>
              <w:spacing w:line="360" w:lineRule="auto"/>
              <w:rPr>
                <w:rFonts w:hint="eastAsia" w:ascii="楷体" w:hAnsi="楷体" w:eastAsia="宋体"/>
                <w:sz w:val="24"/>
                <w:szCs w:val="24"/>
                <w:lang w:val="en-US" w:eastAsia="zh-CN"/>
              </w:rPr>
            </w:pPr>
            <w:r>
              <w:rPr>
                <w:rFonts w:hint="eastAsia" w:ascii="楷体" w:hAnsi="楷体" w:eastAsia="楷体" w:cs="楷体"/>
                <w:sz w:val="24"/>
                <w:szCs w:val="24"/>
              </w:rPr>
              <w:t>成文信息</w:t>
            </w:r>
          </w:p>
        </w:tc>
        <w:tc>
          <w:tcPr>
            <w:tcW w:w="1311"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r>
              <w:rPr>
                <w:rFonts w:hint="eastAsia" w:ascii="宋体" w:hAnsi="宋体" w:cs="宋体"/>
                <w:sz w:val="21"/>
                <w:szCs w:val="21"/>
                <w:lang w:val="en-US" w:eastAsia="zh-CN"/>
              </w:rPr>
              <w:t>O</w:t>
            </w:r>
            <w:r>
              <w:rPr>
                <w:rFonts w:hint="eastAsia" w:ascii="宋体" w:hAnsi="宋体" w:eastAsia="宋体" w:cs="宋体"/>
                <w:sz w:val="21"/>
                <w:szCs w:val="21"/>
                <w:lang w:val="en-US" w:eastAsia="zh-CN"/>
              </w:rPr>
              <w:t>：7.5</w:t>
            </w:r>
          </w:p>
          <w:p>
            <w:pPr>
              <w:pStyle w:val="3"/>
              <w:rPr>
                <w:rFonts w:hint="eastAsia"/>
                <w:lang w:val="en-US" w:eastAsia="zh-CN"/>
              </w:rPr>
            </w:pPr>
          </w:p>
          <w:p>
            <w:pPr>
              <w:pStyle w:val="3"/>
              <w:rPr>
                <w:rFonts w:hint="default"/>
                <w:lang w:val="en-US" w:eastAsia="zh-CN"/>
              </w:rPr>
            </w:pPr>
          </w:p>
        </w:tc>
        <w:tc>
          <w:tcPr>
            <w:tcW w:w="10152" w:type="dxa"/>
            <w:vAlign w:val="center"/>
          </w:tcPr>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查《管理手册》</w:t>
            </w:r>
            <w:r>
              <w:rPr>
                <w:rFonts w:hint="eastAsia" w:ascii="宋体" w:hAnsi="宋体" w:eastAsia="宋体" w:cs="宋体"/>
                <w:sz w:val="21"/>
                <w:szCs w:val="21"/>
                <w:lang w:eastAsia="zh-CN"/>
              </w:rPr>
              <w:t>，</w:t>
            </w:r>
            <w:r>
              <w:rPr>
                <w:rFonts w:hint="eastAsia" w:ascii="宋体" w:hAnsi="宋体" w:eastAsia="宋体" w:cs="宋体"/>
                <w:sz w:val="21"/>
                <w:szCs w:val="21"/>
              </w:rPr>
              <w:t>文件编号：</w:t>
            </w:r>
            <w:r>
              <w:rPr>
                <w:rFonts w:hint="eastAsia" w:ascii="宋体" w:hAnsi="宋体" w:cs="宋体"/>
                <w:sz w:val="21"/>
                <w:szCs w:val="21"/>
                <w:lang w:eastAsia="zh-CN"/>
              </w:rPr>
              <w:t>NTSY-QO/SC-2021</w:t>
            </w:r>
            <w:r>
              <w:rPr>
                <w:rFonts w:hint="eastAsia" w:ascii="宋体" w:hAnsi="宋体" w:eastAsia="宋体" w:cs="宋体"/>
                <w:sz w:val="21"/>
                <w:szCs w:val="21"/>
              </w:rPr>
              <w:t xml:space="preserve"> 版本号：</w:t>
            </w:r>
            <w:r>
              <w:rPr>
                <w:rFonts w:hint="eastAsia" w:ascii="宋体" w:hAnsi="宋体" w:eastAsia="宋体" w:cs="宋体"/>
                <w:sz w:val="21"/>
                <w:szCs w:val="21"/>
                <w:lang w:val="en-US" w:eastAsia="zh-CN"/>
              </w:rPr>
              <w:t>B</w:t>
            </w:r>
            <w:r>
              <w:rPr>
                <w:rFonts w:hint="eastAsia" w:ascii="宋体" w:hAnsi="宋体" w:eastAsia="宋体" w:cs="宋体"/>
                <w:sz w:val="21"/>
                <w:szCs w:val="21"/>
              </w:rPr>
              <w:t>版20</w:t>
            </w:r>
            <w:r>
              <w:rPr>
                <w:rFonts w:hint="eastAsia" w:ascii="宋体" w:hAnsi="宋体" w:eastAsia="宋体" w:cs="宋体"/>
                <w:sz w:val="21"/>
                <w:szCs w:val="21"/>
                <w:lang w:val="en-US" w:eastAsia="zh-CN"/>
              </w:rPr>
              <w:t>21</w:t>
            </w:r>
            <w:r>
              <w:rPr>
                <w:rFonts w:hint="eastAsia" w:ascii="宋体" w:hAnsi="宋体" w:eastAsia="宋体" w:cs="宋体"/>
                <w:sz w:val="21"/>
                <w:szCs w:val="21"/>
              </w:rPr>
              <w:t>.6.</w:t>
            </w:r>
            <w:r>
              <w:rPr>
                <w:rFonts w:hint="eastAsia" w:ascii="宋体" w:hAnsi="宋体" w:cs="宋体"/>
                <w:sz w:val="21"/>
                <w:szCs w:val="21"/>
                <w:lang w:val="en-US" w:eastAsia="zh-CN"/>
              </w:rPr>
              <w:t>5</w:t>
            </w:r>
            <w:r>
              <w:rPr>
                <w:rFonts w:hint="eastAsia" w:ascii="宋体" w:hAnsi="宋体" w:eastAsia="宋体" w:cs="宋体"/>
                <w:sz w:val="21"/>
                <w:szCs w:val="21"/>
              </w:rPr>
              <w:t>发布  编制：</w:t>
            </w:r>
            <w:r>
              <w:rPr>
                <w:rFonts w:hint="eastAsia" w:ascii="宋体" w:hAnsi="宋体" w:eastAsia="宋体" w:cs="宋体"/>
                <w:sz w:val="21"/>
                <w:szCs w:val="21"/>
                <w:lang w:eastAsia="zh-CN"/>
              </w:rPr>
              <w:t>综合部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批准：</w:t>
            </w:r>
            <w:r>
              <w:rPr>
                <w:rFonts w:hint="eastAsia" w:ascii="宋体" w:hAnsi="宋体" w:cs="宋体"/>
                <w:sz w:val="21"/>
                <w:szCs w:val="21"/>
                <w:lang w:val="en-US" w:eastAsia="zh-CN"/>
              </w:rPr>
              <w:t>王建均</w:t>
            </w:r>
            <w:r>
              <w:rPr>
                <w:rFonts w:hint="eastAsia" w:ascii="宋体" w:hAnsi="宋体" w:eastAsia="宋体" w:cs="宋体"/>
                <w:sz w:val="21"/>
                <w:szCs w:val="21"/>
                <w:lang w:val="en-US" w:eastAsia="zh-CN"/>
              </w:rPr>
              <w:t>。</w:t>
            </w:r>
          </w:p>
          <w:p>
            <w:pPr>
              <w:spacing w:line="400" w:lineRule="exact"/>
              <w:jc w:val="left"/>
              <w:rPr>
                <w:rFonts w:hint="eastAsia" w:ascii="Times New Roman" w:hAnsi="Times New Roman" w:eastAsia="宋体" w:cs="Times New Roman"/>
              </w:rPr>
            </w:pPr>
            <w:r>
              <w:rPr>
                <w:rFonts w:hint="eastAsia" w:ascii="宋体" w:hAnsi="宋体" w:cs="宋体"/>
                <w:sz w:val="21"/>
                <w:szCs w:val="21"/>
                <w:lang w:val="en-US" w:eastAsia="zh-C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见文件《程序文件汇编》文件编号</w:t>
            </w:r>
            <w:r>
              <w:rPr>
                <w:rFonts w:hint="eastAsia" w:ascii="宋体" w:hAnsi="宋体" w:cs="宋体"/>
                <w:sz w:val="21"/>
                <w:szCs w:val="21"/>
                <w:lang w:eastAsia="zh-CN"/>
              </w:rPr>
              <w:t>NTSY</w:t>
            </w:r>
            <w:r>
              <w:rPr>
                <w:rFonts w:hint="eastAsia" w:ascii="Times New Roman" w:hAnsi="Times New Roman" w:eastAsia="宋体" w:cs="Times New Roman"/>
              </w:rPr>
              <w:t>-QO/CX—20</w:t>
            </w:r>
            <w:r>
              <w:rPr>
                <w:rFonts w:hint="eastAsia" w:ascii="Times New Roman" w:hAnsi="Times New Roman" w:eastAsia="宋体" w:cs="Times New Roman"/>
                <w:lang w:val="en-US" w:eastAsia="zh-CN"/>
              </w:rPr>
              <w:t>21,</w:t>
            </w:r>
            <w:r>
              <w:rPr>
                <w:rFonts w:hint="eastAsia" w:ascii="Times New Roman" w:hAnsi="Times New Roman" w:eastAsia="宋体" w:cs="Times New Roman"/>
              </w:rPr>
              <w:t xml:space="preserve"> 版本号：</w:t>
            </w:r>
            <w:r>
              <w:rPr>
                <w:rFonts w:hint="eastAsia" w:cs="Times New Roman"/>
                <w:lang w:val="en-US" w:eastAsia="zh-CN"/>
              </w:rPr>
              <w:t>A</w:t>
            </w:r>
            <w:r>
              <w:rPr>
                <w:rFonts w:hint="eastAsia" w:ascii="Times New Roman" w:hAnsi="Times New Roman" w:eastAsia="宋体" w:cs="Times New Roman"/>
              </w:rPr>
              <w:t>版20</w:t>
            </w:r>
            <w:r>
              <w:rPr>
                <w:rFonts w:hint="eastAsia" w:ascii="Times New Roman" w:hAnsi="Times New Roman" w:eastAsia="宋体" w:cs="Times New Roman"/>
                <w:lang w:val="en-US" w:eastAsia="zh-CN"/>
              </w:rPr>
              <w:t>21</w:t>
            </w:r>
            <w:r>
              <w:rPr>
                <w:rFonts w:hint="eastAsia" w:ascii="Times New Roman" w:hAnsi="Times New Roman" w:eastAsia="宋体" w:cs="Times New Roman"/>
              </w:rPr>
              <w:t>.6.</w:t>
            </w:r>
            <w:r>
              <w:rPr>
                <w:rFonts w:hint="eastAsia" w:cs="Times New Roman"/>
                <w:lang w:val="en-US" w:eastAsia="zh-CN"/>
              </w:rPr>
              <w:t>5</w:t>
            </w:r>
            <w:r>
              <w:rPr>
                <w:rFonts w:hint="eastAsia" w:ascii="Times New Roman" w:hAnsi="Times New Roman" w:eastAsia="宋体" w:cs="Times New Roman"/>
              </w:rPr>
              <w:t>发布  编制：</w:t>
            </w:r>
            <w:r>
              <w:rPr>
                <w:rFonts w:hint="eastAsia" w:ascii="Times New Roman" w:hAnsi="Times New Roman" w:eastAsia="宋体" w:cs="Times New Roman"/>
                <w:lang w:eastAsia="zh-CN"/>
              </w:rPr>
              <w:t>综合部</w:t>
            </w:r>
            <w:r>
              <w:rPr>
                <w:rFonts w:hint="eastAsia" w:ascii="Times New Roman" w:hAnsi="Times New Roman" w:eastAsia="宋体" w:cs="Times New Roman"/>
              </w:rPr>
              <w:t xml:space="preserve"> 、批准：</w:t>
            </w:r>
            <w:r>
              <w:rPr>
                <w:rFonts w:hint="eastAsia" w:cs="Times New Roman"/>
                <w:lang w:val="en-US" w:eastAsia="zh-CN"/>
              </w:rPr>
              <w:t>王建均</w:t>
            </w:r>
          </w:p>
          <w:p>
            <w:pPr>
              <w:snapToGrid w:val="0"/>
              <w:spacing w:line="360" w:lineRule="auto"/>
              <w:ind w:firstLine="420" w:firstLineChars="200"/>
              <w:rPr>
                <w:rFonts w:hint="eastAsia"/>
              </w:rPr>
            </w:pPr>
          </w:p>
          <w:p>
            <w:pPr>
              <w:snapToGrid w:val="0"/>
              <w:spacing w:line="360" w:lineRule="auto"/>
              <w:ind w:firstLine="420" w:firstLineChars="200"/>
              <w:rPr>
                <w:rFonts w:hint="eastAsia"/>
              </w:rPr>
            </w:pPr>
            <w:r>
              <w:rPr>
                <w:rFonts w:hint="eastAsia"/>
              </w:rPr>
              <w:t>查，程序文件：公司编制了《文件</w:t>
            </w:r>
            <w:r>
              <w:rPr>
                <w:rFonts w:hint="eastAsia"/>
                <w:lang w:val="en-US" w:eastAsia="zh-CN"/>
              </w:rPr>
              <w:t>和</w:t>
            </w:r>
            <w:r>
              <w:rPr>
                <w:rFonts w:hint="eastAsia"/>
              </w:rPr>
              <w:t>记录控制程序》，规定了体系文件的编制、审核、批准、受控、使用、报废等要求。查见：程序文件有</w:t>
            </w:r>
            <w:r>
              <w:rPr>
                <w:rFonts w:hint="eastAsia"/>
                <w:lang w:val="en-US" w:eastAsia="zh-CN"/>
              </w:rPr>
              <w:t>26</w:t>
            </w:r>
            <w:r>
              <w:rPr>
                <w:rFonts w:hint="eastAsia"/>
              </w:rPr>
              <w:t>个，查：《受控文件清单》里面包括：质量手册、程序文件、安全保卫制度、管理制度汇编等。</w:t>
            </w:r>
          </w:p>
          <w:p>
            <w:pPr>
              <w:snapToGrid w:val="0"/>
              <w:spacing w:line="360" w:lineRule="auto"/>
              <w:ind w:firstLine="420" w:firstLineChars="200"/>
              <w:rPr>
                <w:rFonts w:hint="eastAsia"/>
              </w:rPr>
            </w:pPr>
            <w:r>
              <w:rPr>
                <w:rFonts w:hint="eastAsia"/>
              </w:rPr>
              <w:t>查见：《文件发放、回收记录》程序文件、质量手册、管理制度汇编等行了发放；有文件编号、分发号，版本，部门签收等内容，暂无回收记录发生。</w:t>
            </w:r>
          </w:p>
          <w:p>
            <w:pPr>
              <w:snapToGrid w:val="0"/>
              <w:spacing w:line="360" w:lineRule="auto"/>
              <w:ind w:firstLine="420" w:firstLineChars="200"/>
              <w:rPr>
                <w:rFonts w:hint="eastAsia" w:ascii="Times New Roman" w:hAnsi="Times New Roman" w:eastAsia="宋体" w:cs="Times New Roman"/>
                <w:szCs w:val="22"/>
              </w:rPr>
            </w:pPr>
            <w:r>
              <w:rPr>
                <w:rFonts w:hint="eastAsia"/>
              </w:rPr>
              <w:t>查见：</w:t>
            </w:r>
            <w:r>
              <w:rPr>
                <w:rFonts w:hint="eastAsia" w:ascii="Times New Roman" w:hAnsi="Times New Roman" w:eastAsia="宋体" w:cs="Times New Roman"/>
                <w:szCs w:val="22"/>
              </w:rPr>
              <w:t>《记录控制程序》，对记录表单的设计、编号、填写、贮存、保管、保护、检索、保存期限、到期处置等方面规定了要求并按此程序控制。</w:t>
            </w:r>
          </w:p>
          <w:p>
            <w:pPr>
              <w:snapToGrid w:val="0"/>
              <w:spacing w:line="360" w:lineRule="auto"/>
              <w:ind w:firstLine="420" w:firstLineChars="200"/>
              <w:rPr>
                <w:rFonts w:hint="eastAsia"/>
              </w:rPr>
            </w:pPr>
            <w:r>
              <w:rPr>
                <w:rFonts w:hint="eastAsia" w:ascii="Times New Roman" w:hAnsi="Times New Roman" w:eastAsia="宋体" w:cs="Times New Roman"/>
                <w:szCs w:val="22"/>
              </w:rPr>
              <w:t>提供《记录清单》，有36份记录文件清单，规定了记录的名称、编号、存放部门、保存期限等内容。所规定的记录均涵盖，保存期限规定的合理。</w:t>
            </w:r>
          </w:p>
        </w:tc>
        <w:tc>
          <w:tcPr>
            <w:tcW w:w="1437"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top"/>
          </w:tcPr>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both"/>
              <w:rPr>
                <w:rFonts w:hint="eastAsia" w:ascii="宋体" w:hAnsi="宋体" w:eastAsia="宋体" w:cs="新宋体"/>
                <w:sz w:val="21"/>
                <w:szCs w:val="21"/>
                <w:lang w:val="en-US" w:eastAsia="zh-CN"/>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eastAsia="宋体" w:cs="宋体"/>
                <w:sz w:val="21"/>
                <w:szCs w:val="21"/>
              </w:rPr>
              <w:t>危险源辨识和职业安全风险评价</w:t>
            </w:r>
          </w:p>
        </w:tc>
        <w:tc>
          <w:tcPr>
            <w:tcW w:w="1311" w:type="dxa"/>
            <w:vAlign w:val="top"/>
          </w:tcPr>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cs="新宋体"/>
                <w:sz w:val="21"/>
                <w:szCs w:val="21"/>
              </w:rPr>
            </w:pPr>
          </w:p>
          <w:p>
            <w:pPr>
              <w:spacing w:after="0" w:line="360" w:lineRule="auto"/>
              <w:rPr>
                <w:rFonts w:ascii="楷体" w:hAnsi="楷体" w:eastAsia="楷体" w:cs="宋体"/>
                <w:sz w:val="24"/>
                <w:szCs w:val="24"/>
              </w:rPr>
            </w:pPr>
            <w:r>
              <w:rPr>
                <w:rFonts w:ascii="楷体" w:hAnsi="楷体" w:eastAsia="楷体" w:cs="宋体"/>
                <w:sz w:val="24"/>
                <w:szCs w:val="24"/>
              </w:rPr>
              <w:t>O6.1.2</w:t>
            </w:r>
          </w:p>
          <w:p>
            <w:pPr>
              <w:rPr>
                <w:rFonts w:hint="eastAsia" w:ascii="宋体" w:hAnsi="宋体" w:eastAsia="宋体" w:cs="新宋体"/>
                <w:kern w:val="2"/>
                <w:sz w:val="21"/>
                <w:szCs w:val="21"/>
                <w:lang w:val="en-US" w:eastAsia="zh-CN" w:bidi="ar-SA"/>
              </w:rPr>
            </w:pPr>
          </w:p>
        </w:tc>
        <w:tc>
          <w:tcPr>
            <w:tcW w:w="10152" w:type="dxa"/>
            <w:vAlign w:val="top"/>
          </w:tcPr>
          <w:p>
            <w:pPr>
              <w:spacing w:line="400" w:lineRule="exact"/>
              <w:rPr>
                <w:rFonts w:hint="eastAsia" w:ascii="宋体" w:hAnsi="宋体"/>
                <w:sz w:val="21"/>
                <w:szCs w:val="21"/>
              </w:rPr>
            </w:pPr>
            <w:r>
              <w:rPr>
                <w:rFonts w:hint="eastAsia" w:ascii="宋体" w:hAnsi="宋体"/>
                <w:sz w:val="21"/>
                <w:szCs w:val="21"/>
              </w:rPr>
              <w:t>查见：《危险源识别评价表》，38项危险源。经过打分和小组评议共评价出公司不可接受风险：</w:t>
            </w:r>
            <w:r>
              <w:rPr>
                <w:rFonts w:hint="eastAsia" w:ascii="宋体" w:hAnsi="宋体"/>
                <w:sz w:val="21"/>
                <w:szCs w:val="21"/>
                <w:lang w:val="en-US" w:eastAsia="zh-CN"/>
              </w:rPr>
              <w:t>4</w:t>
            </w:r>
            <w:r>
              <w:rPr>
                <w:rFonts w:hint="eastAsia" w:ascii="宋体" w:hAnsi="宋体"/>
                <w:sz w:val="21"/>
                <w:szCs w:val="21"/>
              </w:rPr>
              <w:t>项，分别是：触电</w:t>
            </w:r>
            <w:r>
              <w:rPr>
                <w:rFonts w:hint="eastAsia" w:ascii="宋体" w:hAnsi="宋体"/>
                <w:sz w:val="21"/>
                <w:szCs w:val="21"/>
                <w:lang w:eastAsia="zh-CN"/>
              </w:rPr>
              <w:t>、</w:t>
            </w:r>
            <w:r>
              <w:rPr>
                <w:rFonts w:hint="eastAsia" w:ascii="宋体" w:hAnsi="宋体"/>
                <w:sz w:val="21"/>
                <w:szCs w:val="21"/>
              </w:rPr>
              <w:t>火灾</w:t>
            </w:r>
            <w:r>
              <w:rPr>
                <w:rFonts w:hint="eastAsia" w:ascii="宋体" w:hAnsi="宋体"/>
                <w:sz w:val="21"/>
                <w:szCs w:val="21"/>
                <w:lang w:val="en-US" w:eastAsia="zh-CN"/>
              </w:rPr>
              <w:t>爆炸；噪声；机械</w:t>
            </w:r>
            <w:r>
              <w:rPr>
                <w:rFonts w:hint="eastAsia" w:ascii="宋体" w:hAnsi="宋体"/>
                <w:sz w:val="21"/>
                <w:szCs w:val="21"/>
              </w:rPr>
              <w:t>伤害</w:t>
            </w:r>
            <w:r>
              <w:rPr>
                <w:rFonts w:hint="eastAsia" w:ascii="宋体" w:hAnsi="宋体"/>
                <w:sz w:val="21"/>
                <w:szCs w:val="21"/>
                <w:lang w:eastAsia="zh-CN"/>
              </w:rPr>
              <w:t>；</w:t>
            </w:r>
            <w:r>
              <w:rPr>
                <w:rFonts w:hint="eastAsia" w:ascii="宋体" w:hAnsi="宋体"/>
                <w:sz w:val="21"/>
                <w:szCs w:val="21"/>
                <w:lang w:val="en-US" w:eastAsia="zh-CN"/>
              </w:rPr>
              <w:t>新冠病毒</w:t>
            </w:r>
            <w:r>
              <w:rPr>
                <w:rFonts w:hint="eastAsia" w:ascii="宋体" w:hAnsi="宋体"/>
                <w:sz w:val="21"/>
                <w:szCs w:val="21"/>
                <w:lang w:eastAsia="zh-CN"/>
              </w:rPr>
              <w:t>。</w:t>
            </w:r>
          </w:p>
          <w:p>
            <w:pPr>
              <w:spacing w:line="400" w:lineRule="exact"/>
              <w:rPr>
                <w:rFonts w:hint="eastAsia" w:ascii="宋体" w:hAnsi="宋体"/>
                <w:sz w:val="21"/>
                <w:szCs w:val="21"/>
              </w:rPr>
            </w:pPr>
            <w:r>
              <w:rPr>
                <w:rFonts w:hint="eastAsia" w:ascii="宋体" w:hAnsi="宋体"/>
                <w:sz w:val="21"/>
                <w:szCs w:val="21"/>
              </w:rPr>
              <w:t>辨识清楚、准确，评价充分合理。</w:t>
            </w:r>
          </w:p>
          <w:p>
            <w:pPr>
              <w:spacing w:line="400" w:lineRule="exact"/>
              <w:rPr>
                <w:rFonts w:hint="eastAsia" w:ascii="宋体" w:hAnsi="宋体"/>
                <w:sz w:val="21"/>
                <w:szCs w:val="21"/>
              </w:rPr>
            </w:pPr>
            <w:r>
              <w:rPr>
                <w:rFonts w:hint="eastAsia" w:ascii="宋体" w:hAnsi="宋体"/>
                <w:sz w:val="21"/>
                <w:szCs w:val="21"/>
              </w:rPr>
              <w:t>查见确定的风险控制措施：</w:t>
            </w:r>
          </w:p>
          <w:p>
            <w:pPr>
              <w:spacing w:line="400" w:lineRule="exact"/>
              <w:rPr>
                <w:rFonts w:hint="eastAsia" w:ascii="宋体" w:hAnsi="宋体"/>
                <w:sz w:val="21"/>
                <w:szCs w:val="21"/>
              </w:rPr>
            </w:pPr>
            <w:r>
              <w:rPr>
                <w:rFonts w:hint="eastAsia" w:ascii="宋体" w:hAnsi="宋体"/>
                <w:sz w:val="21"/>
                <w:szCs w:val="21"/>
              </w:rPr>
              <w:t>安全、职业卫生的宣传、禁示标识；职业卫生、劳动防护、健康知识讲座或培训；安全目标纳入部门、个人的绩效考核</w:t>
            </w:r>
            <w:r>
              <w:rPr>
                <w:rFonts w:hint="eastAsia" w:ascii="宋体" w:hAnsi="宋体"/>
                <w:sz w:val="21"/>
                <w:szCs w:val="21"/>
                <w:lang w:eastAsia="zh-CN"/>
              </w:rPr>
              <w:t>；</w:t>
            </w:r>
            <w:r>
              <w:rPr>
                <w:rFonts w:hint="eastAsia" w:ascii="宋体" w:hAnsi="宋体"/>
                <w:sz w:val="21"/>
                <w:szCs w:val="21"/>
              </w:rPr>
              <w:t>每年对一线岗位员工进行健康体检；确保劳保防护用品按时发放、按规定佩带使用</w:t>
            </w:r>
          </w:p>
          <w:p>
            <w:pPr>
              <w:spacing w:line="400" w:lineRule="exact"/>
              <w:rPr>
                <w:rFonts w:hint="eastAsia" w:ascii="宋体" w:hAnsi="宋体"/>
                <w:sz w:val="21"/>
                <w:szCs w:val="21"/>
              </w:rPr>
            </w:pPr>
            <w:r>
              <w:rPr>
                <w:rFonts w:hint="eastAsia" w:ascii="宋体" w:hAnsi="宋体"/>
                <w:sz w:val="21"/>
                <w:szCs w:val="21"/>
              </w:rPr>
              <w:t>查见：</w:t>
            </w:r>
            <w:r>
              <w:rPr>
                <w:rFonts w:hint="eastAsia" w:ascii="宋体" w:hAnsi="宋体"/>
                <w:sz w:val="21"/>
                <w:szCs w:val="21"/>
                <w:lang w:eastAsia="zh-CN"/>
              </w:rPr>
              <w:t>综合部</w:t>
            </w:r>
            <w:r>
              <w:rPr>
                <w:rFonts w:hint="eastAsia" w:ascii="宋体" w:hAnsi="宋体"/>
                <w:sz w:val="21"/>
                <w:szCs w:val="21"/>
              </w:rPr>
              <w:t>“危险源识别评价表”</w:t>
            </w:r>
          </w:p>
          <w:p>
            <w:pPr>
              <w:spacing w:line="400" w:lineRule="exact"/>
              <w:rPr>
                <w:rFonts w:hint="eastAsia" w:ascii="宋体" w:hAnsi="宋体"/>
                <w:sz w:val="21"/>
                <w:szCs w:val="21"/>
              </w:rPr>
            </w:pPr>
            <w:r>
              <w:rPr>
                <w:rFonts w:hint="eastAsia" w:ascii="宋体" w:hAnsi="宋体"/>
                <w:sz w:val="21"/>
                <w:szCs w:val="21"/>
                <w:lang w:eastAsia="zh-CN"/>
              </w:rPr>
              <w:t>综合部</w:t>
            </w:r>
            <w:r>
              <w:rPr>
                <w:rFonts w:hint="eastAsia" w:ascii="宋体" w:hAnsi="宋体"/>
                <w:sz w:val="21"/>
                <w:szCs w:val="21"/>
              </w:rPr>
              <w:t>及办公区域共识别出包括:办公用品辐射导致职业病、车况异常导致伤害、人员出差导致意外事故等12项危险源.</w:t>
            </w:r>
          </w:p>
          <w:p>
            <w:pPr>
              <w:spacing w:line="400" w:lineRule="exact"/>
              <w:rPr>
                <w:rFonts w:hint="default" w:ascii="宋体" w:hAnsi="宋体" w:eastAsia="宋体"/>
                <w:sz w:val="21"/>
                <w:szCs w:val="21"/>
                <w:lang w:val="en-US" w:eastAsia="zh-CN"/>
              </w:rPr>
            </w:pPr>
            <w:r>
              <w:rPr>
                <w:rFonts w:hint="eastAsia" w:ascii="宋体" w:hAnsi="宋体"/>
                <w:sz w:val="21"/>
                <w:szCs w:val="21"/>
              </w:rPr>
              <w:t>查见，</w:t>
            </w:r>
            <w:r>
              <w:rPr>
                <w:rFonts w:hint="eastAsia" w:ascii="宋体" w:hAnsi="宋体"/>
                <w:sz w:val="21"/>
                <w:szCs w:val="21"/>
                <w:lang w:eastAsia="zh-CN"/>
              </w:rPr>
              <w:t>综合部</w:t>
            </w:r>
            <w:r>
              <w:rPr>
                <w:rFonts w:hint="eastAsia" w:ascii="宋体" w:hAnsi="宋体"/>
                <w:sz w:val="21"/>
                <w:szCs w:val="21"/>
              </w:rPr>
              <w:t>打分法确定了</w:t>
            </w:r>
            <w:r>
              <w:rPr>
                <w:rFonts w:hint="eastAsia" w:ascii="宋体" w:hAnsi="宋体"/>
                <w:sz w:val="21"/>
                <w:szCs w:val="21"/>
                <w:lang w:val="en-US" w:eastAsia="zh-CN"/>
              </w:rPr>
              <w:t>2</w:t>
            </w:r>
            <w:r>
              <w:rPr>
                <w:rFonts w:hint="eastAsia" w:ascii="宋体" w:hAnsi="宋体"/>
                <w:sz w:val="21"/>
                <w:szCs w:val="21"/>
              </w:rPr>
              <w:t>项不可接受风险</w:t>
            </w:r>
            <w:r>
              <w:rPr>
                <w:rFonts w:hint="eastAsia" w:ascii="宋体" w:hAnsi="宋体"/>
                <w:sz w:val="21"/>
                <w:szCs w:val="21"/>
                <w:lang w:eastAsia="zh-CN"/>
              </w:rPr>
              <w:t>：</w:t>
            </w:r>
            <w:r>
              <w:rPr>
                <w:rFonts w:hint="eastAsia" w:ascii="宋体" w:hAnsi="宋体"/>
                <w:sz w:val="21"/>
                <w:szCs w:val="21"/>
              </w:rPr>
              <w:t>触电</w:t>
            </w:r>
            <w:r>
              <w:rPr>
                <w:rFonts w:hint="eastAsia" w:ascii="宋体" w:hAnsi="宋体"/>
                <w:sz w:val="21"/>
                <w:szCs w:val="21"/>
                <w:lang w:eastAsia="zh-CN"/>
              </w:rPr>
              <w:t>、</w:t>
            </w:r>
            <w:r>
              <w:rPr>
                <w:rFonts w:hint="eastAsia" w:ascii="宋体" w:hAnsi="宋体"/>
                <w:sz w:val="21"/>
                <w:szCs w:val="21"/>
              </w:rPr>
              <w:t>火灾</w:t>
            </w:r>
            <w:r>
              <w:rPr>
                <w:rFonts w:hint="eastAsia" w:ascii="宋体" w:hAnsi="宋体"/>
                <w:sz w:val="21"/>
                <w:szCs w:val="21"/>
                <w:lang w:eastAsia="zh-CN"/>
              </w:rPr>
              <w:t>；</w:t>
            </w:r>
            <w:r>
              <w:rPr>
                <w:rFonts w:hint="eastAsia" w:ascii="宋体" w:hAnsi="宋体"/>
                <w:sz w:val="21"/>
                <w:szCs w:val="21"/>
                <w:lang w:val="en-US" w:eastAsia="zh-CN"/>
              </w:rPr>
              <w:t>新冠病毒。</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sz w:val="21"/>
                <w:szCs w:val="21"/>
              </w:rPr>
              <w:t>危险源辨识基本充分、风险等级评价基本合理。</w:t>
            </w:r>
          </w:p>
        </w:tc>
        <w:tc>
          <w:tcPr>
            <w:tcW w:w="1437"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top"/>
          </w:tcPr>
          <w:p>
            <w:pPr>
              <w:spacing w:line="400" w:lineRule="exact"/>
              <w:rPr>
                <w:rFonts w:hint="eastAsia" w:ascii="宋体" w:hAnsi="宋体" w:eastAsia="宋体" w:cs="Times New Roman"/>
                <w:sz w:val="21"/>
                <w:szCs w:val="21"/>
              </w:rPr>
            </w:pPr>
          </w:p>
          <w:p>
            <w:pPr>
              <w:spacing w:line="400" w:lineRule="exact"/>
              <w:rPr>
                <w:rFonts w:hint="eastAsia" w:ascii="宋体" w:hAnsi="宋体" w:eastAsia="宋体" w:cs="Times New Roman"/>
                <w:sz w:val="21"/>
                <w:szCs w:val="21"/>
              </w:rPr>
            </w:pPr>
          </w:p>
          <w:p>
            <w:pPr>
              <w:spacing w:line="400" w:lineRule="exact"/>
              <w:rPr>
                <w:rFonts w:hint="eastAsia" w:ascii="宋体" w:hAnsi="宋体" w:eastAsia="宋体" w:cs="Times New Roman"/>
                <w:sz w:val="21"/>
                <w:szCs w:val="21"/>
              </w:rPr>
            </w:pPr>
            <w:r>
              <w:rPr>
                <w:rFonts w:hint="eastAsia" w:ascii="宋体" w:hAnsi="宋体" w:eastAsia="宋体" w:cs="Times New Roman"/>
                <w:sz w:val="21"/>
                <w:szCs w:val="21"/>
              </w:rPr>
              <w:t>合规义务</w:t>
            </w:r>
          </w:p>
          <w:p>
            <w:pPr>
              <w:spacing w:line="40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rPr>
              <w:t>合规性评价</w:t>
            </w:r>
          </w:p>
        </w:tc>
        <w:tc>
          <w:tcPr>
            <w:tcW w:w="1311" w:type="dxa"/>
            <w:vAlign w:val="top"/>
          </w:tcPr>
          <w:p>
            <w:pPr>
              <w:spacing w:line="400" w:lineRule="exact"/>
              <w:rPr>
                <w:rFonts w:hint="eastAsia" w:ascii="宋体" w:hAnsi="宋体" w:eastAsia="宋体" w:cs="Times New Roman"/>
                <w:sz w:val="21"/>
                <w:szCs w:val="21"/>
              </w:rPr>
            </w:pPr>
          </w:p>
          <w:p>
            <w:pPr>
              <w:spacing w:line="400" w:lineRule="exact"/>
              <w:rPr>
                <w:rFonts w:hint="eastAsia" w:ascii="宋体" w:hAnsi="宋体" w:eastAsia="宋体" w:cs="Times New Roman"/>
                <w:sz w:val="21"/>
                <w:szCs w:val="21"/>
              </w:rPr>
            </w:pPr>
            <w:r>
              <w:rPr>
                <w:rFonts w:hint="eastAsia" w:ascii="宋体" w:hAnsi="宋体" w:eastAsia="宋体" w:cs="Times New Roman"/>
                <w:sz w:val="21"/>
                <w:szCs w:val="21"/>
              </w:rPr>
              <w:t>O:6.1.3</w:t>
            </w:r>
          </w:p>
          <w:p>
            <w:pPr>
              <w:spacing w:line="40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rPr>
              <w:t>O:9.1.2</w:t>
            </w:r>
          </w:p>
        </w:tc>
        <w:tc>
          <w:tcPr>
            <w:tcW w:w="10152" w:type="dxa"/>
            <w:vAlign w:val="top"/>
          </w:tcPr>
          <w:p>
            <w:pPr>
              <w:spacing w:line="400" w:lineRule="exact"/>
              <w:rPr>
                <w:rFonts w:hint="eastAsia" w:ascii="宋体" w:hAnsi="宋体" w:eastAsia="宋体" w:cs="Times New Roman"/>
                <w:sz w:val="21"/>
                <w:szCs w:val="21"/>
              </w:rPr>
            </w:pPr>
            <w:r>
              <w:rPr>
                <w:rFonts w:hint="eastAsia" w:ascii="宋体" w:hAnsi="宋体" w:eastAsia="宋体" w:cs="Times New Roman"/>
                <w:sz w:val="21"/>
                <w:szCs w:val="21"/>
              </w:rPr>
              <w:t>编制了《</w:t>
            </w:r>
            <w:r>
              <w:rPr>
                <w:rFonts w:hint="eastAsia" w:ascii="宋体" w:hAnsi="宋体" w:cs="仿宋_GB2312"/>
                <w:kern w:val="0"/>
              </w:rPr>
              <w:t>法律法规和其他要求控制程序</w:t>
            </w:r>
            <w:r>
              <w:rPr>
                <w:rFonts w:hint="eastAsia" w:ascii="宋体" w:hAnsi="宋体" w:eastAsia="宋体" w:cs="Times New Roman"/>
                <w:sz w:val="21"/>
                <w:szCs w:val="21"/>
              </w:rPr>
              <w:tab/>
            </w:r>
            <w:bookmarkStart w:id="0" w:name="_Hlk530655468"/>
            <w:r>
              <w:rPr>
                <w:rFonts w:hint="eastAsia" w:ascii="宋体" w:hAnsi="宋体" w:cs="仿宋_GB2312"/>
                <w:kern w:val="0"/>
                <w:lang w:eastAsia="zh-CN"/>
              </w:rPr>
              <w:t>NTS</w:t>
            </w:r>
            <w:bookmarkStart w:id="2" w:name="_GoBack"/>
            <w:bookmarkEnd w:id="2"/>
            <w:r>
              <w:rPr>
                <w:rFonts w:hint="eastAsia" w:ascii="宋体" w:hAnsi="宋体" w:cs="仿宋_GB2312"/>
                <w:kern w:val="0"/>
                <w:lang w:eastAsia="zh-CN"/>
              </w:rPr>
              <w:t>Y</w:t>
            </w:r>
            <w:r>
              <w:rPr>
                <w:rFonts w:ascii="宋体" w:hAnsi="宋体" w:cs="仿宋_GB2312"/>
                <w:kern w:val="0"/>
              </w:rPr>
              <w:t>-QO/CX-21</w:t>
            </w:r>
            <w:bookmarkEnd w:id="0"/>
            <w:r>
              <w:rPr>
                <w:rFonts w:hint="eastAsia" w:ascii="宋体" w:hAnsi="宋体" w:eastAsia="宋体" w:cs="Times New Roman"/>
                <w:sz w:val="21"/>
                <w:szCs w:val="21"/>
              </w:rPr>
              <w:t>》、《合规性评价控制程序</w:t>
            </w:r>
            <w:r>
              <w:rPr>
                <w:rFonts w:hint="eastAsia" w:ascii="宋体" w:hAnsi="宋体" w:cs="仿宋_GB2312"/>
                <w:kern w:val="0"/>
                <w:lang w:eastAsia="zh-CN"/>
              </w:rPr>
              <w:t>NTSY</w:t>
            </w:r>
            <w:r>
              <w:rPr>
                <w:rFonts w:ascii="宋体" w:hAnsi="宋体" w:cs="仿宋_GB2312"/>
                <w:kern w:val="0"/>
              </w:rPr>
              <w:t>-QO/CX-2</w:t>
            </w:r>
            <w:r>
              <w:rPr>
                <w:rFonts w:hint="eastAsia" w:ascii="宋体" w:hAnsi="宋体" w:cs="仿宋_GB2312"/>
                <w:kern w:val="0"/>
              </w:rPr>
              <w:t>5</w:t>
            </w:r>
            <w:r>
              <w:rPr>
                <w:rFonts w:hint="eastAsia" w:ascii="宋体" w:hAnsi="宋体" w:eastAsia="宋体" w:cs="Times New Roman"/>
                <w:sz w:val="21"/>
                <w:szCs w:val="21"/>
              </w:rPr>
              <w:t>》，对法律法规的识别、更新和应用进行规定，规定了对本公司法规及其他要求的合规性评价的要求。</w:t>
            </w:r>
          </w:p>
          <w:p>
            <w:pPr>
              <w:numPr>
                <w:ilvl w:val="0"/>
                <w:numId w:val="1"/>
              </w:numPr>
              <w:spacing w:line="400" w:lineRule="exact"/>
              <w:rPr>
                <w:rFonts w:hint="eastAsia" w:ascii="宋体" w:hAnsi="宋体" w:eastAsia="宋体" w:cs="Times New Roman"/>
                <w:sz w:val="21"/>
                <w:szCs w:val="21"/>
              </w:rPr>
            </w:pPr>
            <w:r>
              <w:rPr>
                <w:rFonts w:hint="eastAsia" w:ascii="宋体" w:hAnsi="宋体" w:eastAsia="宋体" w:cs="Times New Roman"/>
                <w:sz w:val="21"/>
                <w:szCs w:val="21"/>
              </w:rPr>
              <w:t>提供了“职业健康安全法律法规清单”，识别了企业相关环境和职业健康安全法律法规、标准和其他要求，如：中华人民共和国民法典</w:t>
            </w:r>
            <w:r>
              <w:rPr>
                <w:rFonts w:hint="eastAsia" w:ascii="宋体" w:hAnsi="宋体" w:eastAsia="宋体" w:cs="Times New Roman"/>
                <w:sz w:val="21"/>
                <w:szCs w:val="21"/>
                <w:lang w:eastAsia="zh-CN"/>
              </w:rPr>
              <w:t>、</w:t>
            </w:r>
            <w:r>
              <w:rPr>
                <w:rFonts w:hint="eastAsia" w:ascii="宋体" w:hAnsi="宋体" w:eastAsia="宋体" w:cs="Times New Roman"/>
                <w:sz w:val="21"/>
                <w:szCs w:val="21"/>
              </w:rPr>
              <w:t>中华人民共和国节约能源法、中华人民共和国职业病防治法、中华人民共和国消防法、中华人民共和国劳动法、中华人民共和国安全生产法、中华人民共和国道路交通安全法、中华人民共和国突发事件应对法、</w:t>
            </w:r>
            <w:r>
              <w:rPr>
                <w:rFonts w:hint="eastAsia" w:ascii="宋体" w:hAnsi="宋体" w:eastAsia="宋体" w:cs="Times New Roman"/>
                <w:sz w:val="21"/>
                <w:szCs w:val="21"/>
                <w:lang w:eastAsia="zh-CN"/>
              </w:rPr>
              <w:t>江苏省</w:t>
            </w:r>
            <w:r>
              <w:rPr>
                <w:rFonts w:hint="eastAsia" w:ascii="宋体" w:hAnsi="宋体" w:eastAsia="宋体" w:cs="Times New Roman"/>
                <w:sz w:val="21"/>
                <w:szCs w:val="21"/>
              </w:rPr>
              <w:t>消防条例、</w:t>
            </w:r>
            <w:r>
              <w:rPr>
                <w:rFonts w:hint="eastAsia" w:ascii="宋体" w:hAnsi="宋体" w:eastAsia="宋体" w:cs="Times New Roman"/>
                <w:sz w:val="21"/>
                <w:szCs w:val="21"/>
                <w:lang w:eastAsia="zh-CN"/>
              </w:rPr>
              <w:t>江苏省</w:t>
            </w:r>
            <w:r>
              <w:rPr>
                <w:rFonts w:hint="eastAsia" w:ascii="宋体" w:hAnsi="宋体" w:eastAsia="宋体" w:cs="Times New Roman"/>
                <w:sz w:val="21"/>
                <w:szCs w:val="21"/>
              </w:rPr>
              <w:t>安全生产监督管理规定、</w:t>
            </w:r>
            <w:r>
              <w:rPr>
                <w:rFonts w:hint="eastAsia" w:ascii="宋体" w:hAnsi="宋体" w:eastAsia="宋体" w:cs="Times New Roman"/>
                <w:sz w:val="21"/>
                <w:szCs w:val="21"/>
                <w:lang w:eastAsia="zh-CN"/>
              </w:rPr>
              <w:t>江苏省</w:t>
            </w:r>
            <w:r>
              <w:rPr>
                <w:rFonts w:hint="eastAsia" w:ascii="宋体" w:hAnsi="宋体" w:eastAsia="宋体" w:cs="Times New Roman"/>
                <w:sz w:val="21"/>
                <w:szCs w:val="21"/>
              </w:rPr>
              <w:t>劳动安全卫生管理规定、</w:t>
            </w:r>
            <w:r>
              <w:rPr>
                <w:rFonts w:hint="eastAsia" w:ascii="宋体" w:hAnsi="宋体" w:eastAsia="宋体" w:cs="Times New Roman"/>
                <w:sz w:val="21"/>
                <w:szCs w:val="21"/>
                <w:lang w:eastAsia="zh-CN"/>
              </w:rPr>
              <w:t>江苏省</w:t>
            </w:r>
            <w:r>
              <w:rPr>
                <w:rFonts w:hint="eastAsia" w:ascii="宋体" w:hAnsi="宋体" w:eastAsia="宋体" w:cs="Times New Roman"/>
                <w:sz w:val="21"/>
                <w:szCs w:val="21"/>
              </w:rPr>
              <w:t>突发事件应急条例等。</w:t>
            </w:r>
          </w:p>
          <w:p>
            <w:pPr>
              <w:pStyle w:val="2"/>
              <w:numPr>
                <w:ilvl w:val="0"/>
                <w:numId w:val="0"/>
              </w:numPr>
              <w:rPr>
                <w:rFonts w:hint="eastAsia"/>
              </w:rPr>
            </w:pPr>
            <w:r>
              <w:rPr>
                <w:rFonts w:hint="eastAsia"/>
                <w:b/>
                <w:bCs w:val="0"/>
                <w:lang w:val="en-US" w:eastAsia="zh-CN"/>
              </w:rPr>
              <w:t>提供的</w:t>
            </w:r>
            <w:r>
              <w:rPr>
                <w:b/>
                <w:bCs w:val="0"/>
              </w:rPr>
              <w:t>法律法规</w:t>
            </w:r>
            <w:r>
              <w:rPr>
                <w:rFonts w:ascii="Times New Roman" w:hAnsi="Times New Roman" w:eastAsia="宋体" w:cs="Times New Roman"/>
                <w:b/>
                <w:bCs w:val="0"/>
              </w:rPr>
              <w:t>及要求清单</w:t>
            </w:r>
            <w:r>
              <w:rPr>
                <w:rFonts w:hint="eastAsia" w:ascii="Times New Roman" w:hAnsi="Times New Roman" w:eastAsia="宋体" w:cs="Times New Roman"/>
                <w:b/>
                <w:bCs w:val="0"/>
                <w:lang w:val="en-US" w:eastAsia="zh-CN"/>
              </w:rPr>
              <w:t>中</w:t>
            </w:r>
            <w:r>
              <w:rPr>
                <w:rFonts w:ascii="Times New Roman" w:hAnsi="Times New Roman" w:eastAsia="宋体" w:cs="Times New Roman"/>
                <w:b/>
                <w:bCs w:val="0"/>
              </w:rPr>
              <w:t>中华人民共和国消防法</w:t>
            </w:r>
            <w:r>
              <w:rPr>
                <w:rFonts w:hint="eastAsia" w:ascii="Times New Roman" w:hAnsi="Times New Roman" w:eastAsia="宋体" w:cs="Times New Roman"/>
                <w:b/>
                <w:bCs w:val="0"/>
                <w:lang w:val="en-US" w:eastAsia="zh-CN"/>
              </w:rPr>
              <w:t>为失效版本。</w:t>
            </w:r>
          </w:p>
          <w:p>
            <w:pPr>
              <w:spacing w:line="400" w:lineRule="exact"/>
              <w:rPr>
                <w:rFonts w:hint="eastAsia" w:ascii="宋体" w:hAnsi="宋体" w:eastAsia="宋体" w:cs="Times New Roman"/>
                <w:sz w:val="21"/>
                <w:szCs w:val="21"/>
              </w:rPr>
            </w:pPr>
            <w:r>
              <w:rPr>
                <w:rFonts w:hint="eastAsia" w:ascii="宋体" w:hAnsi="宋体" w:eastAsia="宋体" w:cs="Times New Roman"/>
                <w:sz w:val="21"/>
                <w:szCs w:val="21"/>
              </w:rPr>
              <w:t>已识别法律法规及其它要求的适用条款，并与危险源进行了对应。</w:t>
            </w:r>
          </w:p>
          <w:p>
            <w:pPr>
              <w:spacing w:line="400" w:lineRule="exact"/>
              <w:rPr>
                <w:rFonts w:hint="eastAsia" w:ascii="宋体" w:hAnsi="宋体" w:eastAsia="宋体" w:cs="Times New Roman"/>
                <w:sz w:val="21"/>
                <w:szCs w:val="21"/>
              </w:rPr>
            </w:pPr>
            <w:r>
              <w:rPr>
                <w:rFonts w:hint="eastAsia" w:ascii="宋体" w:hAnsi="宋体" w:eastAsia="宋体" w:cs="Times New Roman"/>
                <w:sz w:val="21"/>
                <w:szCs w:val="21"/>
              </w:rPr>
              <w:t>公司通过培训方式向有关员工传达法律、法规及其它要求的相关要求。</w:t>
            </w:r>
          </w:p>
          <w:p>
            <w:pPr>
              <w:spacing w:line="400" w:lineRule="exact"/>
              <w:rPr>
                <w:rFonts w:hint="eastAsia" w:ascii="宋体" w:hAnsi="宋体" w:eastAsia="宋体" w:cs="Times New Roman"/>
                <w:sz w:val="21"/>
                <w:szCs w:val="21"/>
              </w:rPr>
            </w:pPr>
            <w:r>
              <w:rPr>
                <w:rFonts w:hint="eastAsia" w:ascii="宋体" w:hAnsi="宋体" w:eastAsia="宋体" w:cs="Times New Roman"/>
                <w:sz w:val="21"/>
                <w:szCs w:val="21"/>
              </w:rPr>
              <w:t>2、查“合规性评价报告”，对公司适用的环保及职业健康安全法律法规和其他要求进行了评价，结论：公司各部门能够有效遵循法律法规进行施工，未发生过重大安全事故，未有其它单位和个人投诉，无职业健康安全事件发生。</w:t>
            </w:r>
          </w:p>
          <w:p>
            <w:pPr>
              <w:spacing w:line="40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制定：综合部</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审批：</w:t>
            </w:r>
            <w:r>
              <w:rPr>
                <w:rFonts w:hint="eastAsia" w:ascii="宋体" w:hAnsi="宋体" w:cs="Times New Roman"/>
                <w:sz w:val="21"/>
                <w:szCs w:val="21"/>
                <w:lang w:val="en-US" w:eastAsia="zh-CN"/>
              </w:rPr>
              <w:t>朱卫平</w:t>
            </w:r>
            <w:r>
              <w:rPr>
                <w:rFonts w:hint="eastAsia" w:ascii="宋体" w:hAnsi="宋体" w:eastAsia="宋体" w:cs="Times New Roman"/>
                <w:sz w:val="21"/>
                <w:szCs w:val="21"/>
                <w:lang w:val="en-US" w:eastAsia="zh-CN"/>
              </w:rPr>
              <w:t>，</w:t>
            </w:r>
            <w:r>
              <w:rPr>
                <w:rFonts w:hint="eastAsia" w:ascii="宋体" w:hAnsi="宋体" w:eastAsia="宋体" w:cs="Times New Roman"/>
                <w:sz w:val="21"/>
                <w:szCs w:val="21"/>
              </w:rPr>
              <w:t>日期：2022.</w:t>
            </w:r>
            <w:r>
              <w:rPr>
                <w:rFonts w:hint="eastAsia" w:ascii="宋体" w:hAnsi="宋体" w:cs="Times New Roman"/>
                <w:sz w:val="21"/>
                <w:szCs w:val="21"/>
                <w:lang w:val="en-US" w:eastAsia="zh-CN"/>
              </w:rPr>
              <w:t>6</w:t>
            </w:r>
            <w:r>
              <w:rPr>
                <w:rFonts w:hint="eastAsia" w:ascii="宋体" w:hAnsi="宋体" w:eastAsia="宋体" w:cs="Times New Roman"/>
                <w:sz w:val="21"/>
                <w:szCs w:val="21"/>
                <w:lang w:val="en-US" w:eastAsia="zh-CN"/>
              </w:rPr>
              <w:t>.</w:t>
            </w:r>
            <w:r>
              <w:rPr>
                <w:rFonts w:hint="eastAsia" w:ascii="宋体" w:hAnsi="宋体" w:cs="Times New Roman"/>
                <w:sz w:val="21"/>
                <w:szCs w:val="21"/>
                <w:lang w:val="en-US" w:eastAsia="zh-CN"/>
              </w:rPr>
              <w:t>1</w:t>
            </w:r>
            <w:r>
              <w:rPr>
                <w:rFonts w:hint="eastAsia" w:ascii="宋体" w:hAnsi="宋体" w:eastAsia="宋体" w:cs="Times New Roman"/>
                <w:sz w:val="21"/>
                <w:szCs w:val="21"/>
              </w:rPr>
              <w:t xml:space="preserve">日。 </w:t>
            </w:r>
          </w:p>
        </w:tc>
        <w:tc>
          <w:tcPr>
            <w:tcW w:w="1437" w:type="dxa"/>
          </w:tcPr>
          <w:p>
            <w:pPr>
              <w:spacing w:line="360" w:lineRule="auto"/>
            </w:pPr>
          </w:p>
          <w:p>
            <w:pPr>
              <w:pStyle w:val="2"/>
              <w:rPr>
                <w:rFonts w:ascii="楷体" w:hAnsi="楷体" w:eastAsia="楷体"/>
                <w:sz w:val="24"/>
                <w:szCs w:val="24"/>
              </w:rPr>
            </w:pPr>
          </w:p>
          <w:p>
            <w:pPr>
              <w:pStyle w:val="2"/>
              <w:rPr>
                <w:rFonts w:ascii="楷体" w:hAnsi="楷体" w:eastAsia="楷体"/>
                <w:sz w:val="24"/>
                <w:szCs w:val="24"/>
              </w:rPr>
            </w:pPr>
          </w:p>
          <w:p>
            <w:pPr>
              <w:pStyle w:val="2"/>
              <w:rPr>
                <w:rFonts w:ascii="楷体" w:hAnsi="楷体" w:eastAsia="楷体"/>
                <w:sz w:val="24"/>
                <w:szCs w:val="24"/>
              </w:rPr>
            </w:pPr>
          </w:p>
          <w:p>
            <w:pPr>
              <w:pStyle w:val="2"/>
              <w:rPr>
                <w:rFonts w:ascii="楷体" w:hAnsi="楷体" w:eastAsia="楷体"/>
                <w:sz w:val="24"/>
                <w:szCs w:val="24"/>
              </w:rPr>
            </w:pPr>
          </w:p>
          <w:p>
            <w:pPr>
              <w:pStyle w:val="2"/>
              <w:rPr>
                <w:rFonts w:ascii="楷体" w:hAnsi="楷体" w:eastAsia="楷体"/>
                <w:sz w:val="24"/>
                <w:szCs w:val="24"/>
              </w:rPr>
            </w:pPr>
          </w:p>
          <w:p>
            <w:pPr>
              <w:pStyle w:val="2"/>
              <w:rPr>
                <w:rFonts w:ascii="楷体" w:hAnsi="楷体" w:eastAsia="楷体"/>
                <w:sz w:val="24"/>
                <w:szCs w:val="24"/>
              </w:rPr>
            </w:pPr>
          </w:p>
          <w:p>
            <w:pPr>
              <w:pStyle w:val="2"/>
              <w:rPr>
                <w:rFonts w:ascii="楷体" w:hAnsi="楷体" w:eastAsia="楷体"/>
                <w:sz w:val="24"/>
                <w:szCs w:val="24"/>
              </w:rPr>
            </w:pPr>
          </w:p>
          <w:p>
            <w:pPr>
              <w:pStyle w:val="2"/>
              <w:rPr>
                <w:rFonts w:ascii="楷体" w:hAnsi="楷体" w:eastAsia="楷体"/>
                <w:sz w:val="24"/>
                <w:szCs w:val="24"/>
              </w:rPr>
            </w:pPr>
          </w:p>
          <w:p>
            <w:pPr>
              <w:pStyle w:val="2"/>
              <w:rPr>
                <w:rFonts w:hint="eastAsia" w:ascii="楷体" w:hAnsi="楷体" w:eastAsia="楷体"/>
                <w:sz w:val="24"/>
                <w:szCs w:val="24"/>
                <w:lang w:val="en-US" w:eastAsia="zh-CN"/>
              </w:rPr>
            </w:pPr>
            <w:r>
              <w:rPr>
                <w:rFonts w:hint="eastAsia" w:ascii="楷体" w:hAnsi="楷体" w:eastAsia="楷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top"/>
          </w:tcPr>
          <w:p>
            <w:pPr>
              <w:adjustRightInd w:val="0"/>
              <w:snapToGrid w:val="0"/>
              <w:jc w:val="left"/>
              <w:rPr>
                <w:rFonts w:hint="eastAsia" w:ascii="宋体" w:hAnsi="宋体"/>
                <w:sz w:val="21"/>
                <w:szCs w:val="21"/>
              </w:rPr>
            </w:pPr>
          </w:p>
          <w:p>
            <w:pPr>
              <w:adjustRightInd w:val="0"/>
              <w:snapToGrid w:val="0"/>
              <w:jc w:val="left"/>
              <w:rPr>
                <w:rFonts w:hint="eastAsia" w:ascii="宋体" w:hAnsi="宋体"/>
                <w:sz w:val="21"/>
                <w:szCs w:val="21"/>
              </w:rPr>
            </w:pPr>
          </w:p>
          <w:p>
            <w:pPr>
              <w:adjustRightInd w:val="0"/>
              <w:snapToGrid w:val="0"/>
              <w:jc w:val="left"/>
              <w:rPr>
                <w:rFonts w:hint="eastAsia" w:ascii="宋体" w:hAnsi="宋体"/>
                <w:sz w:val="21"/>
                <w:szCs w:val="21"/>
              </w:rPr>
            </w:pPr>
          </w:p>
          <w:p>
            <w:pPr>
              <w:adjustRightInd w:val="0"/>
              <w:snapToGrid w:val="0"/>
              <w:jc w:val="left"/>
              <w:rPr>
                <w:rFonts w:hint="eastAsia" w:ascii="宋体" w:hAnsi="宋体"/>
                <w:sz w:val="21"/>
                <w:szCs w:val="21"/>
              </w:rPr>
            </w:pPr>
          </w:p>
          <w:p>
            <w:pPr>
              <w:adjustRightInd w:val="0"/>
              <w:snapToGrid w:val="0"/>
              <w:jc w:val="left"/>
              <w:rPr>
                <w:rFonts w:hint="eastAsia" w:ascii="宋体" w:hAnsi="宋体"/>
                <w:sz w:val="21"/>
                <w:szCs w:val="21"/>
              </w:rPr>
            </w:pPr>
          </w:p>
          <w:p>
            <w:pPr>
              <w:adjustRightInd w:val="0"/>
              <w:snapToGrid w:val="0"/>
              <w:jc w:val="left"/>
              <w:rPr>
                <w:rFonts w:hint="eastAsia" w:ascii="宋体" w:hAnsi="宋体"/>
                <w:sz w:val="21"/>
                <w:szCs w:val="21"/>
              </w:rPr>
            </w:pPr>
          </w:p>
          <w:p>
            <w:pPr>
              <w:spacing w:after="0" w:line="360" w:lineRule="auto"/>
              <w:rPr>
                <w:rFonts w:ascii="楷体" w:hAnsi="楷体" w:eastAsia="楷体" w:cs="宋体"/>
                <w:sz w:val="24"/>
                <w:szCs w:val="24"/>
              </w:rPr>
            </w:pPr>
            <w:r>
              <w:rPr>
                <w:rFonts w:hint="eastAsia" w:ascii="楷体" w:hAnsi="楷体" w:eastAsia="楷体" w:cs="宋体"/>
                <w:sz w:val="24"/>
                <w:szCs w:val="24"/>
              </w:rPr>
              <w:t>运行的策划和控制</w:t>
            </w:r>
          </w:p>
          <w:p>
            <w:pPr>
              <w:adjustRightInd w:val="0"/>
              <w:snapToGrid w:val="0"/>
              <w:jc w:val="left"/>
              <w:rPr>
                <w:rFonts w:hint="eastAsia" w:ascii="宋体" w:hAnsi="宋体" w:eastAsia="宋体" w:cs="新宋体"/>
                <w:kern w:val="2"/>
                <w:sz w:val="21"/>
                <w:szCs w:val="21"/>
                <w:lang w:val="en-US" w:eastAsia="zh-CN" w:bidi="ar-SA"/>
              </w:rPr>
            </w:pPr>
          </w:p>
        </w:tc>
        <w:tc>
          <w:tcPr>
            <w:tcW w:w="1311" w:type="dxa"/>
            <w:vAlign w:val="top"/>
          </w:tcPr>
          <w:p>
            <w:pPr>
              <w:adjustRightInd w:val="0"/>
              <w:snapToGrid w:val="0"/>
              <w:rPr>
                <w:rFonts w:hint="eastAsia" w:ascii="宋体" w:hAnsi="宋体"/>
                <w:sz w:val="21"/>
                <w:szCs w:val="21"/>
              </w:rPr>
            </w:pPr>
          </w:p>
          <w:p>
            <w:pPr>
              <w:adjustRightInd w:val="0"/>
              <w:snapToGrid w:val="0"/>
              <w:rPr>
                <w:rFonts w:hint="eastAsia" w:ascii="宋体" w:hAnsi="宋体"/>
                <w:sz w:val="21"/>
                <w:szCs w:val="21"/>
              </w:rPr>
            </w:pPr>
          </w:p>
          <w:p>
            <w:pPr>
              <w:adjustRightInd w:val="0"/>
              <w:snapToGrid w:val="0"/>
              <w:rPr>
                <w:rFonts w:hint="eastAsia" w:ascii="宋体" w:hAnsi="宋体"/>
                <w:sz w:val="21"/>
                <w:szCs w:val="21"/>
              </w:rPr>
            </w:pPr>
          </w:p>
          <w:p>
            <w:pPr>
              <w:adjustRightInd w:val="0"/>
              <w:snapToGrid w:val="0"/>
              <w:rPr>
                <w:rFonts w:hint="eastAsia" w:ascii="宋体" w:hAnsi="宋体"/>
                <w:sz w:val="21"/>
                <w:szCs w:val="21"/>
              </w:rPr>
            </w:pPr>
          </w:p>
          <w:p>
            <w:pPr>
              <w:adjustRightInd w:val="0"/>
              <w:snapToGrid w:val="0"/>
              <w:rPr>
                <w:rFonts w:hint="eastAsia" w:ascii="宋体" w:hAnsi="宋体"/>
                <w:sz w:val="21"/>
                <w:szCs w:val="21"/>
              </w:rPr>
            </w:pPr>
          </w:p>
          <w:p>
            <w:pPr>
              <w:adjustRightInd w:val="0"/>
              <w:snapToGrid w:val="0"/>
              <w:rPr>
                <w:rFonts w:hint="eastAsia" w:ascii="宋体" w:hAnsi="宋体"/>
                <w:sz w:val="21"/>
                <w:szCs w:val="21"/>
              </w:rPr>
            </w:pPr>
          </w:p>
          <w:p>
            <w:pPr>
              <w:adjustRightInd w:val="0"/>
              <w:snapToGrid w:val="0"/>
              <w:rPr>
                <w:rFonts w:hint="eastAsia" w:ascii="宋体" w:hAnsi="宋体"/>
                <w:sz w:val="21"/>
                <w:szCs w:val="21"/>
              </w:rPr>
            </w:pPr>
          </w:p>
          <w:p>
            <w:pPr>
              <w:adjustRightInd w:val="0"/>
              <w:snapToGrid w:val="0"/>
              <w:rPr>
                <w:rFonts w:hint="default" w:ascii="宋体" w:hAnsi="宋体" w:eastAsia="宋体" w:cs="新宋体"/>
                <w:kern w:val="2"/>
                <w:sz w:val="21"/>
                <w:szCs w:val="21"/>
                <w:lang w:val="en-US" w:eastAsia="zh-CN" w:bidi="ar-SA"/>
              </w:rPr>
            </w:pPr>
            <w:r>
              <w:rPr>
                <w:rFonts w:hint="eastAsia" w:ascii="宋体" w:hAnsi="宋体" w:cs="新宋体"/>
                <w:kern w:val="2"/>
                <w:sz w:val="21"/>
                <w:szCs w:val="21"/>
                <w:lang w:val="en-US" w:eastAsia="zh-CN" w:bidi="ar-SA"/>
              </w:rPr>
              <w:t>O8.1</w:t>
            </w:r>
          </w:p>
        </w:tc>
        <w:tc>
          <w:tcPr>
            <w:tcW w:w="10152" w:type="dxa"/>
            <w:vAlign w:val="top"/>
          </w:tcPr>
          <w:p>
            <w:pPr>
              <w:spacing w:line="400" w:lineRule="exact"/>
              <w:rPr>
                <w:rFonts w:hint="eastAsia" w:ascii="宋体" w:hAnsi="宋体" w:cs="宋体"/>
                <w:sz w:val="21"/>
                <w:szCs w:val="21"/>
                <w:lang w:bidi="ar"/>
              </w:rPr>
            </w:pPr>
            <w:r>
              <w:rPr>
                <w:rFonts w:hint="eastAsia" w:ascii="宋体" w:hAnsi="宋体" w:cs="宋体"/>
                <w:sz w:val="21"/>
                <w:szCs w:val="21"/>
                <w:lang w:val="en-US" w:eastAsia="zh-CN" w:bidi="ar"/>
              </w:rPr>
              <w:t xml:space="preserve">    </w:t>
            </w:r>
            <w:r>
              <w:rPr>
                <w:rFonts w:hint="eastAsia" w:ascii="宋体" w:hAnsi="宋体" w:cs="宋体"/>
                <w:sz w:val="21"/>
                <w:szCs w:val="21"/>
                <w:lang w:bidi="ar"/>
              </w:rPr>
              <w:t>组织制定了职业健康安全运行相关的控制程序及相应的控制准则，如劳保用品管理制度、消防管理制度、火灾预防应急准备和响应管理等过程的运行准则。</w:t>
            </w:r>
          </w:p>
          <w:p>
            <w:pPr>
              <w:spacing w:line="400" w:lineRule="exact"/>
              <w:rPr>
                <w:rFonts w:hint="eastAsia" w:ascii="宋体" w:hAnsi="宋体" w:cs="宋体"/>
                <w:sz w:val="21"/>
                <w:szCs w:val="21"/>
                <w:lang w:bidi="ar"/>
              </w:rPr>
            </w:pPr>
            <w:r>
              <w:rPr>
                <w:rFonts w:hint="eastAsia" w:ascii="宋体" w:hAnsi="宋体" w:cs="宋体"/>
                <w:sz w:val="21"/>
                <w:szCs w:val="21"/>
                <w:lang w:val="en-US" w:eastAsia="zh-CN" w:bidi="ar"/>
              </w:rPr>
              <w:t xml:space="preserve">   </w:t>
            </w:r>
            <w:r>
              <w:rPr>
                <w:rFonts w:hint="eastAsia" w:ascii="宋体" w:hAnsi="宋体" w:cs="宋体"/>
                <w:sz w:val="21"/>
                <w:szCs w:val="21"/>
                <w:lang w:bidi="ar"/>
              </w:rPr>
              <w:t>根据过程的运行准则，组织实施资源能源的消耗控制火灾预防、职业健康安全事故防范等过程的控制，避免和减少了环境职业健康安全的损失。</w:t>
            </w:r>
          </w:p>
          <w:p>
            <w:pPr>
              <w:spacing w:line="400" w:lineRule="exact"/>
              <w:rPr>
                <w:rFonts w:hint="eastAsia" w:ascii="宋体" w:hAnsi="宋体" w:cs="宋体"/>
                <w:sz w:val="21"/>
                <w:szCs w:val="21"/>
                <w:lang w:bidi="ar"/>
              </w:rPr>
            </w:pPr>
            <w:r>
              <w:rPr>
                <w:rFonts w:hint="eastAsia" w:ascii="宋体" w:hAnsi="宋体" w:cs="宋体"/>
                <w:sz w:val="21"/>
                <w:szCs w:val="21"/>
                <w:lang w:val="en-US" w:eastAsia="zh-CN" w:bidi="ar"/>
              </w:rPr>
              <w:t xml:space="preserve">   </w:t>
            </w:r>
            <w:r>
              <w:rPr>
                <w:rFonts w:hint="eastAsia" w:ascii="宋体" w:hAnsi="宋体" w:cs="宋体"/>
                <w:sz w:val="21"/>
                <w:szCs w:val="21"/>
                <w:lang w:bidi="ar"/>
              </w:rPr>
              <w:t>消防设施检查运行检查、火灾预防运行检查、安全检查等关键运行控制信息的证据都以记录或文件的方式保留。</w:t>
            </w:r>
          </w:p>
          <w:p>
            <w:pPr>
              <w:spacing w:line="400" w:lineRule="exact"/>
              <w:rPr>
                <w:rFonts w:hint="eastAsia" w:ascii="宋体" w:hAnsi="宋体" w:cs="宋体"/>
                <w:sz w:val="21"/>
                <w:szCs w:val="21"/>
                <w:lang w:bidi="ar"/>
              </w:rPr>
            </w:pPr>
            <w:r>
              <w:rPr>
                <w:rFonts w:hint="eastAsia" w:ascii="宋体" w:hAnsi="宋体" w:cs="宋体"/>
                <w:sz w:val="21"/>
                <w:szCs w:val="21"/>
                <w:lang w:val="en-US" w:eastAsia="zh-CN" w:bidi="ar"/>
              </w:rPr>
              <w:t xml:space="preserve">   </w:t>
            </w:r>
            <w:r>
              <w:rPr>
                <w:rFonts w:hint="eastAsia" w:ascii="宋体" w:hAnsi="宋体" w:cs="宋体"/>
                <w:sz w:val="21"/>
                <w:szCs w:val="21"/>
                <w:lang w:bidi="ar"/>
              </w:rPr>
              <w:t>查见组织的职业健康安全运行控制状况：</w:t>
            </w:r>
          </w:p>
          <w:p>
            <w:pPr>
              <w:spacing w:line="400" w:lineRule="exact"/>
              <w:rPr>
                <w:rFonts w:hint="eastAsia" w:ascii="宋体" w:hAnsi="宋体" w:cs="宋体"/>
                <w:sz w:val="21"/>
                <w:szCs w:val="21"/>
                <w:lang w:bidi="ar"/>
              </w:rPr>
            </w:pPr>
            <w:r>
              <w:rPr>
                <w:rFonts w:hint="eastAsia" w:ascii="宋体" w:hAnsi="宋体" w:cs="宋体"/>
                <w:sz w:val="21"/>
                <w:szCs w:val="21"/>
                <w:lang w:bidi="ar"/>
              </w:rPr>
              <w:t>1）意外火灾控制</w:t>
            </w:r>
          </w:p>
          <w:p>
            <w:pPr>
              <w:spacing w:line="400" w:lineRule="exact"/>
              <w:rPr>
                <w:rFonts w:hint="eastAsia" w:ascii="宋体" w:hAnsi="宋体" w:cs="宋体"/>
                <w:sz w:val="21"/>
                <w:szCs w:val="21"/>
                <w:lang w:bidi="ar"/>
              </w:rPr>
            </w:pPr>
            <w:r>
              <w:rPr>
                <w:rFonts w:hint="eastAsia" w:ascii="宋体" w:hAnsi="宋体" w:cs="宋体"/>
                <w:sz w:val="21"/>
                <w:szCs w:val="21"/>
                <w:lang w:bidi="ar"/>
              </w:rPr>
              <w:t>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和演练。</w:t>
            </w:r>
          </w:p>
          <w:p>
            <w:pPr>
              <w:spacing w:line="400" w:lineRule="exact"/>
              <w:rPr>
                <w:rFonts w:hint="eastAsia" w:ascii="宋体" w:hAnsi="宋体" w:cs="宋体"/>
                <w:sz w:val="21"/>
                <w:szCs w:val="21"/>
                <w:lang w:bidi="ar"/>
              </w:rPr>
            </w:pPr>
            <w:r>
              <w:rPr>
                <w:rFonts w:hint="eastAsia" w:ascii="宋体" w:hAnsi="宋体" w:cs="宋体"/>
                <w:sz w:val="21"/>
                <w:szCs w:val="21"/>
                <w:lang w:bidi="ar"/>
              </w:rPr>
              <w:t>2）意外触电防控</w:t>
            </w:r>
          </w:p>
          <w:p>
            <w:pPr>
              <w:spacing w:line="400" w:lineRule="exact"/>
              <w:rPr>
                <w:rFonts w:hint="eastAsia" w:ascii="宋体" w:hAnsi="宋体" w:cs="宋体"/>
                <w:sz w:val="21"/>
                <w:szCs w:val="21"/>
                <w:lang w:bidi="ar"/>
              </w:rPr>
            </w:pPr>
            <w:r>
              <w:rPr>
                <w:rFonts w:hint="eastAsia" w:ascii="宋体" w:hAnsi="宋体" w:cs="宋体"/>
                <w:sz w:val="21"/>
                <w:szCs w:val="21"/>
                <w:lang w:bidi="ar"/>
              </w:rPr>
              <w:t>各部门经常检查电气设备和线路的安全状况，发现问题及时维修或更换，防止因短路、超负荷等，下班前对用电器具进行检查，防止电源没有切断的情况，配电及用电场所均张贴有明显的警示标志—“禁止触摸，有电危险，当心触电”，电气作业有专业的电工操作，并配有绝缘装置。</w:t>
            </w:r>
          </w:p>
          <w:p>
            <w:pPr>
              <w:spacing w:line="400" w:lineRule="exact"/>
              <w:rPr>
                <w:rFonts w:hint="eastAsia" w:ascii="宋体" w:hAnsi="宋体" w:cs="宋体"/>
                <w:sz w:val="21"/>
                <w:szCs w:val="21"/>
                <w:lang w:bidi="ar"/>
              </w:rPr>
            </w:pPr>
            <w:r>
              <w:rPr>
                <w:rFonts w:hint="eastAsia" w:ascii="宋体" w:hAnsi="宋体" w:cs="宋体"/>
                <w:sz w:val="21"/>
                <w:szCs w:val="21"/>
                <w:lang w:bidi="ar"/>
              </w:rPr>
              <w:t>3）急救应对</w:t>
            </w:r>
            <w:r>
              <w:rPr>
                <w:rFonts w:hint="eastAsia" w:ascii="宋体" w:hAnsi="宋体" w:cs="宋体"/>
                <w:sz w:val="21"/>
                <w:szCs w:val="21"/>
                <w:lang w:bidi="ar"/>
              </w:rPr>
              <w:tab/>
            </w:r>
          </w:p>
          <w:p>
            <w:pPr>
              <w:spacing w:line="400" w:lineRule="exact"/>
              <w:rPr>
                <w:rFonts w:hint="eastAsia" w:ascii="宋体" w:hAnsi="宋体" w:cs="宋体"/>
                <w:sz w:val="21"/>
                <w:szCs w:val="21"/>
                <w:lang w:bidi="ar"/>
              </w:rPr>
            </w:pPr>
            <w:r>
              <w:rPr>
                <w:rFonts w:hint="eastAsia" w:ascii="宋体" w:hAnsi="宋体" w:cs="宋体"/>
                <w:sz w:val="21"/>
                <w:szCs w:val="21"/>
                <w:lang w:bidi="ar"/>
              </w:rPr>
              <w:t>公司现场配备有创口贴、消暑、止痛及纱布等急救用品，并对其数量、保质期等予以跟进管控。</w:t>
            </w:r>
          </w:p>
          <w:p>
            <w:pPr>
              <w:spacing w:line="400" w:lineRule="exact"/>
              <w:rPr>
                <w:rFonts w:hint="eastAsia" w:ascii="宋体" w:hAnsi="宋体" w:cs="宋体"/>
                <w:sz w:val="21"/>
                <w:szCs w:val="21"/>
                <w:lang w:bidi="ar"/>
              </w:rPr>
            </w:pPr>
            <w:r>
              <w:rPr>
                <w:rFonts w:hint="eastAsia" w:ascii="宋体" w:hAnsi="宋体" w:cs="宋体"/>
                <w:sz w:val="21"/>
                <w:szCs w:val="21"/>
                <w:lang w:bidi="ar"/>
              </w:rPr>
              <w:t>4）对相关方施加影响</w:t>
            </w:r>
          </w:p>
          <w:p>
            <w:pPr>
              <w:spacing w:line="360" w:lineRule="auto"/>
              <w:ind w:firstLine="420" w:firstLineChars="200"/>
              <w:rPr>
                <w:rFonts w:hint="eastAsia" w:ascii="宋体" w:hAnsi="宋体" w:cs="宋体"/>
                <w:sz w:val="21"/>
                <w:szCs w:val="21"/>
                <w:lang w:bidi="ar"/>
              </w:rPr>
            </w:pPr>
            <w:r>
              <w:rPr>
                <w:rFonts w:hint="eastAsia" w:ascii="宋体" w:hAnsi="宋体" w:cs="宋体"/>
                <w:sz w:val="21"/>
                <w:szCs w:val="21"/>
                <w:lang w:bidi="ar"/>
              </w:rPr>
              <w:t xml:space="preserve">  组织对进入场所内的供方送货员、访客，视情况由安保人员或受访人提醒、签订安全协议等方式，告知相关遵守相应的运行准则，以防止外来人员受到人身伤害或职业健康安危害。</w:t>
            </w:r>
          </w:p>
          <w:p>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查到2</w:t>
            </w:r>
            <w:r>
              <w:rPr>
                <w:rFonts w:hint="eastAsia" w:ascii="宋体" w:hAnsi="宋体" w:cs="宋体"/>
                <w:sz w:val="21"/>
                <w:szCs w:val="21"/>
                <w:lang w:val="en-US" w:eastAsia="zh-CN" w:bidi="ar"/>
              </w:rPr>
              <w:t>022.1.15</w:t>
            </w:r>
            <w:r>
              <w:rPr>
                <w:rFonts w:hint="eastAsia" w:ascii="宋体" w:hAnsi="宋体" w:eastAsia="宋体" w:cs="宋体"/>
                <w:sz w:val="21"/>
                <w:szCs w:val="21"/>
                <w:lang w:bidi="ar"/>
              </w:rPr>
              <w:t>日《劳保用品发放</w:t>
            </w:r>
            <w:r>
              <w:rPr>
                <w:rFonts w:hint="eastAsia" w:ascii="宋体" w:hAnsi="宋体" w:cs="宋体"/>
                <w:sz w:val="21"/>
                <w:szCs w:val="21"/>
                <w:lang w:val="en-US" w:eastAsia="zh-CN" w:bidi="ar"/>
              </w:rPr>
              <w:t>标准</w:t>
            </w:r>
            <w:r>
              <w:rPr>
                <w:rFonts w:hint="eastAsia" w:ascii="宋体" w:hAnsi="宋体" w:eastAsia="宋体" w:cs="宋体"/>
                <w:sz w:val="21"/>
                <w:szCs w:val="21"/>
                <w:lang w:bidi="ar"/>
              </w:rPr>
              <w:t>》记录了劳保用品名称：</w:t>
            </w:r>
            <w:r>
              <w:rPr>
                <w:rFonts w:hint="eastAsia" w:ascii="宋体" w:hAnsi="宋体" w:cs="宋体"/>
                <w:sz w:val="21"/>
                <w:szCs w:val="21"/>
                <w:lang w:val="en-US" w:eastAsia="zh-CN" w:bidi="ar"/>
              </w:rPr>
              <w:t>冬服、夏服、胶皮</w:t>
            </w:r>
            <w:r>
              <w:rPr>
                <w:rFonts w:hint="eastAsia" w:ascii="宋体" w:hAnsi="宋体" w:eastAsia="宋体" w:cs="宋体"/>
                <w:sz w:val="21"/>
                <w:szCs w:val="21"/>
                <w:lang w:bidi="ar"/>
              </w:rPr>
              <w:t>手套、</w:t>
            </w:r>
            <w:r>
              <w:rPr>
                <w:rFonts w:hint="eastAsia" w:ascii="宋体" w:hAnsi="宋体" w:cs="宋体"/>
                <w:sz w:val="21"/>
                <w:szCs w:val="21"/>
                <w:lang w:val="en-US" w:eastAsia="zh-CN" w:bidi="ar"/>
              </w:rPr>
              <w:t>橡胶鞋、</w:t>
            </w:r>
            <w:r>
              <w:rPr>
                <w:rFonts w:hint="eastAsia" w:ascii="宋体" w:hAnsi="宋体" w:eastAsia="宋体" w:cs="宋体"/>
                <w:sz w:val="21"/>
                <w:szCs w:val="21"/>
                <w:lang w:bidi="ar"/>
              </w:rPr>
              <w:t>口罩；</w:t>
            </w:r>
            <w:r>
              <w:rPr>
                <w:rFonts w:hint="eastAsia" w:ascii="宋体" w:hAnsi="宋体" w:cs="宋体"/>
                <w:sz w:val="21"/>
                <w:szCs w:val="21"/>
                <w:lang w:val="en-US" w:eastAsia="zh-CN" w:bidi="ar"/>
              </w:rPr>
              <w:t>洗手液等</w:t>
            </w:r>
            <w:r>
              <w:rPr>
                <w:rFonts w:hint="eastAsia" w:ascii="宋体" w:hAnsi="宋体" w:eastAsia="宋体" w:cs="宋体"/>
                <w:sz w:val="21"/>
                <w:szCs w:val="21"/>
                <w:lang w:bidi="ar"/>
              </w:rPr>
              <w:t>。</w:t>
            </w:r>
          </w:p>
          <w:p>
            <w:pPr>
              <w:spacing w:line="360" w:lineRule="auto"/>
              <w:ind w:firstLine="420" w:firstLineChars="200"/>
              <w:rPr>
                <w:rFonts w:hint="eastAsia" w:ascii="宋体" w:hAnsi="宋体" w:eastAsia="宋体" w:cs="Times New Roman"/>
                <w:color w:val="00B050"/>
                <w:kern w:val="2"/>
                <w:sz w:val="21"/>
                <w:szCs w:val="21"/>
                <w:lang w:val="en-US" w:eastAsia="zh-CN" w:bidi="ar-SA"/>
              </w:rPr>
            </w:pPr>
            <w:r>
              <w:rPr>
                <w:rFonts w:hint="eastAsia" w:ascii="宋体" w:hAnsi="宋体" w:eastAsia="宋体" w:cs="宋体"/>
                <w:sz w:val="21"/>
                <w:szCs w:val="21"/>
                <w:lang w:bidi="ar"/>
              </w:rPr>
              <w:t>按公司要求人走关灯，</w:t>
            </w:r>
            <w:r>
              <w:rPr>
                <w:rFonts w:hint="eastAsia" w:ascii="宋体" w:hAnsi="宋体" w:cs="宋体"/>
                <w:sz w:val="21"/>
                <w:szCs w:val="21"/>
                <w:lang w:eastAsia="zh-CN" w:bidi="ar"/>
              </w:rPr>
              <w:t>综合部</w:t>
            </w:r>
            <w:r>
              <w:rPr>
                <w:rFonts w:hint="eastAsia" w:ascii="宋体" w:hAnsi="宋体" w:eastAsia="宋体" w:cs="宋体"/>
                <w:sz w:val="21"/>
                <w:szCs w:val="21"/>
                <w:lang w:bidi="ar"/>
              </w:rPr>
              <w:t>电脑要求人走后电源切断。</w:t>
            </w:r>
            <w:r>
              <w:rPr>
                <w:rFonts w:hint="eastAsia" w:ascii="宋体" w:hAnsi="宋体" w:cs="宋体"/>
                <w:sz w:val="21"/>
                <w:szCs w:val="21"/>
                <w:lang w:eastAsia="zh-CN" w:bidi="ar"/>
              </w:rPr>
              <w:t>综合部</w:t>
            </w:r>
            <w:r>
              <w:rPr>
                <w:rFonts w:hint="eastAsia" w:ascii="宋体" w:hAnsi="宋体" w:eastAsia="宋体" w:cs="宋体"/>
                <w:sz w:val="21"/>
                <w:szCs w:val="21"/>
                <w:lang w:bidi="ar"/>
              </w:rPr>
              <w:t>垃圾主要包含可回收垃圾、硒鼓、废纸。公司配置了垃圾箱，</w:t>
            </w:r>
            <w:r>
              <w:rPr>
                <w:rFonts w:hint="eastAsia" w:ascii="宋体" w:hAnsi="宋体" w:cs="宋体"/>
                <w:sz w:val="21"/>
                <w:szCs w:val="21"/>
                <w:lang w:eastAsia="zh-CN" w:bidi="ar"/>
              </w:rPr>
              <w:t>综合部</w:t>
            </w:r>
            <w:r>
              <w:rPr>
                <w:rFonts w:hint="eastAsia" w:ascii="宋体" w:hAnsi="宋体" w:eastAsia="宋体" w:cs="宋体"/>
                <w:sz w:val="21"/>
                <w:szCs w:val="21"/>
                <w:lang w:bidi="ar"/>
              </w:rPr>
              <w:t xml:space="preserve"> 统一处理</w:t>
            </w:r>
          </w:p>
        </w:tc>
        <w:tc>
          <w:tcPr>
            <w:tcW w:w="1437"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9" w:type="dxa"/>
            <w:vAlign w:val="center"/>
          </w:tcPr>
          <w:p>
            <w:pPr>
              <w:spacing w:line="400" w:lineRule="atLeast"/>
              <w:rPr>
                <w:rFonts w:hint="eastAsia" w:ascii="宋体" w:hAnsi="宋体" w:eastAsia="宋体" w:cs="Times New Roman"/>
                <w:sz w:val="21"/>
                <w:szCs w:val="21"/>
                <w:lang w:val="en-US" w:eastAsia="zh-CN"/>
              </w:rPr>
            </w:pPr>
            <w:r>
              <w:rPr>
                <w:rFonts w:hint="eastAsia" w:ascii="宋体" w:hAnsi="宋体" w:eastAsia="宋体" w:cs="Times New Roman"/>
                <w:sz w:val="21"/>
                <w:szCs w:val="21"/>
              </w:rPr>
              <w:t>应急准备和响应</w:t>
            </w:r>
          </w:p>
        </w:tc>
        <w:tc>
          <w:tcPr>
            <w:tcW w:w="1311" w:type="dxa"/>
            <w:vAlign w:val="center"/>
          </w:tcPr>
          <w:p>
            <w:pPr>
              <w:spacing w:line="400" w:lineRule="atLeast"/>
              <w:rPr>
                <w:rFonts w:hint="eastAsia" w:ascii="宋体" w:hAnsi="宋体" w:eastAsia="宋体" w:cs="Times New Roman"/>
                <w:sz w:val="21"/>
                <w:szCs w:val="21"/>
                <w:lang w:val="en-US" w:eastAsia="zh-CN"/>
              </w:rPr>
            </w:pPr>
            <w:r>
              <w:rPr>
                <w:rFonts w:hint="eastAsia" w:ascii="宋体" w:hAnsi="宋体" w:eastAsia="宋体" w:cs="Times New Roman"/>
                <w:sz w:val="21"/>
                <w:szCs w:val="21"/>
              </w:rPr>
              <w:t>O:8.2</w:t>
            </w:r>
          </w:p>
        </w:tc>
        <w:tc>
          <w:tcPr>
            <w:tcW w:w="10152" w:type="dxa"/>
            <w:vAlign w:val="center"/>
          </w:tcPr>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公司编制针对不同的紧急情况或潜在的事故，制定了《应急准备和响应控制程序</w:t>
            </w:r>
            <w:r>
              <w:rPr>
                <w:rFonts w:hint="eastAsia" w:ascii="宋体" w:hAnsi="宋体" w:eastAsia="宋体" w:cs="Times New Roman"/>
                <w:sz w:val="21"/>
                <w:szCs w:val="21"/>
                <w:lang w:val="en-US" w:eastAsia="zh-CN"/>
              </w:rPr>
              <w:t xml:space="preserve"> </w:t>
            </w:r>
            <w:r>
              <w:rPr>
                <w:rFonts w:hint="eastAsia" w:ascii="宋体" w:hAnsi="宋体" w:eastAsia="宋体" w:cs="Times New Roman"/>
                <w:sz w:val="21"/>
                <w:szCs w:val="21"/>
              </w:rPr>
              <w:tab/>
            </w:r>
            <w:r>
              <w:rPr>
                <w:rFonts w:hint="eastAsia" w:ascii="宋体" w:hAnsi="宋体" w:cs="Times New Roman"/>
                <w:sz w:val="21"/>
                <w:szCs w:val="21"/>
                <w:lang w:eastAsia="zh-CN"/>
              </w:rPr>
              <w:t>NTSY</w:t>
            </w:r>
            <w:r>
              <w:rPr>
                <w:rFonts w:hint="eastAsia" w:ascii="宋体" w:hAnsi="宋体" w:eastAsia="宋体" w:cs="Times New Roman"/>
                <w:sz w:val="21"/>
                <w:szCs w:val="21"/>
              </w:rPr>
              <w:t>-QO/CX-23》</w:t>
            </w:r>
            <w:r>
              <w:rPr>
                <w:rFonts w:hint="eastAsia" w:ascii="宋体" w:hAnsi="宋体" w:eastAsia="宋体" w:cs="Times New Roman"/>
                <w:sz w:val="21"/>
                <w:szCs w:val="21"/>
                <w:lang w:eastAsia="zh-CN"/>
              </w:rPr>
              <w:t>，</w:t>
            </w:r>
            <w:r>
              <w:rPr>
                <w:rFonts w:hint="eastAsia" w:ascii="宋体" w:hAnsi="宋体" w:eastAsia="宋体" w:cs="Times New Roman"/>
                <w:sz w:val="21"/>
                <w:szCs w:val="21"/>
              </w:rPr>
              <w:t>按《触电应急预案》、《火灾应急预案》和《</w:t>
            </w:r>
            <w:r>
              <w:rPr>
                <w:rFonts w:hint="eastAsia" w:ascii="宋体" w:hAnsi="宋体" w:eastAsia="宋体" w:cs="Times New Roman"/>
                <w:sz w:val="21"/>
                <w:szCs w:val="21"/>
                <w:lang w:val="en-US" w:eastAsia="zh-CN"/>
              </w:rPr>
              <w:t>机械伤害</w:t>
            </w:r>
            <w:r>
              <w:rPr>
                <w:rFonts w:hint="eastAsia" w:ascii="宋体" w:hAnsi="宋体" w:eastAsia="宋体" w:cs="Times New Roman"/>
                <w:sz w:val="21"/>
                <w:szCs w:val="21"/>
              </w:rPr>
              <w:t>应急预案》等制定应急预案，定期演练。现场观察，规定了应急小组成员、成立应急救援队、小组分工、应急演练等内容。经查符合要求。</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提供了触电应急演练记录，实施时间为202</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年</w:t>
            </w:r>
            <w:r>
              <w:rPr>
                <w:rFonts w:hint="eastAsia" w:ascii="宋体" w:hAnsi="宋体" w:cs="Times New Roman"/>
                <w:sz w:val="21"/>
                <w:szCs w:val="21"/>
                <w:lang w:val="en-US" w:eastAsia="zh-CN"/>
              </w:rPr>
              <w:t>4</w:t>
            </w:r>
            <w:r>
              <w:rPr>
                <w:rFonts w:hint="eastAsia" w:ascii="宋体" w:hAnsi="宋体" w:eastAsia="宋体" w:cs="Times New Roman"/>
                <w:sz w:val="21"/>
                <w:szCs w:val="21"/>
              </w:rPr>
              <w:t>月</w:t>
            </w:r>
            <w:r>
              <w:rPr>
                <w:rFonts w:hint="eastAsia" w:ascii="宋体" w:hAnsi="宋体" w:cs="Times New Roman"/>
                <w:sz w:val="21"/>
                <w:szCs w:val="21"/>
                <w:lang w:val="en-US" w:eastAsia="zh-CN"/>
              </w:rPr>
              <w:t>22</w:t>
            </w:r>
            <w:r>
              <w:rPr>
                <w:rFonts w:hint="eastAsia" w:ascii="宋体" w:hAnsi="宋体" w:eastAsia="宋体" w:cs="Times New Roman"/>
                <w:sz w:val="21"/>
                <w:szCs w:val="21"/>
              </w:rPr>
              <w:t>日，提供了演练记录及效果评估表，对应急准备和响应预案的可行性进行评审。</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提供了</w:t>
            </w:r>
            <w:r>
              <w:rPr>
                <w:rFonts w:hint="eastAsia" w:ascii="宋体" w:hAnsi="宋体" w:eastAsia="宋体" w:cs="Times New Roman"/>
                <w:sz w:val="21"/>
                <w:szCs w:val="21"/>
                <w:lang w:val="en-US" w:eastAsia="zh-CN"/>
              </w:rPr>
              <w:t>机械伤害</w:t>
            </w:r>
            <w:r>
              <w:rPr>
                <w:rFonts w:hint="eastAsia" w:ascii="宋体" w:hAnsi="宋体" w:eastAsia="宋体" w:cs="Times New Roman"/>
                <w:sz w:val="21"/>
                <w:szCs w:val="21"/>
              </w:rPr>
              <w:t>应急演练记录，实施时间为202</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年</w:t>
            </w:r>
            <w:r>
              <w:rPr>
                <w:rFonts w:hint="eastAsia" w:ascii="宋体" w:hAnsi="宋体" w:cs="Times New Roman"/>
                <w:sz w:val="21"/>
                <w:szCs w:val="21"/>
                <w:lang w:val="en-US" w:eastAsia="zh-CN"/>
              </w:rPr>
              <w:t>4</w:t>
            </w:r>
            <w:r>
              <w:rPr>
                <w:rFonts w:hint="eastAsia" w:ascii="宋体" w:hAnsi="宋体" w:eastAsia="宋体" w:cs="Times New Roman"/>
                <w:sz w:val="21"/>
                <w:szCs w:val="21"/>
              </w:rPr>
              <w:t>月</w:t>
            </w:r>
            <w:r>
              <w:rPr>
                <w:rFonts w:hint="eastAsia" w:ascii="宋体" w:hAnsi="宋体" w:cs="Times New Roman"/>
                <w:sz w:val="21"/>
                <w:szCs w:val="21"/>
                <w:lang w:val="en-US" w:eastAsia="zh-CN"/>
              </w:rPr>
              <w:t>22</w:t>
            </w:r>
            <w:r>
              <w:rPr>
                <w:rFonts w:hint="eastAsia" w:ascii="宋体" w:hAnsi="宋体" w:eastAsia="宋体" w:cs="Times New Roman"/>
                <w:sz w:val="21"/>
                <w:szCs w:val="21"/>
              </w:rPr>
              <w:t>日，提供了演练记录及效果评估表，对应急准备和响应预案的可行性进行评审。</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提供了火灾应急演练实施记录，查；202</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年</w:t>
            </w:r>
            <w:r>
              <w:rPr>
                <w:rFonts w:hint="eastAsia" w:ascii="宋体" w:hAnsi="宋体" w:cs="Times New Roman"/>
                <w:sz w:val="21"/>
                <w:szCs w:val="21"/>
                <w:lang w:val="en-US" w:eastAsia="zh-CN"/>
              </w:rPr>
              <w:t>4</w:t>
            </w:r>
            <w:r>
              <w:rPr>
                <w:rFonts w:hint="eastAsia" w:ascii="宋体" w:hAnsi="宋体" w:eastAsia="宋体" w:cs="Times New Roman"/>
                <w:sz w:val="21"/>
                <w:szCs w:val="21"/>
              </w:rPr>
              <w:t>月</w:t>
            </w:r>
            <w:r>
              <w:rPr>
                <w:rFonts w:hint="eastAsia" w:ascii="宋体" w:hAnsi="宋体" w:cs="Times New Roman"/>
                <w:sz w:val="21"/>
                <w:szCs w:val="21"/>
                <w:lang w:val="en-US" w:eastAsia="zh-CN"/>
              </w:rPr>
              <w:t>22</w:t>
            </w:r>
            <w:r>
              <w:rPr>
                <w:rFonts w:hint="eastAsia" w:ascii="宋体" w:hAnsi="宋体" w:eastAsia="宋体" w:cs="Times New Roman"/>
                <w:sz w:val="21"/>
                <w:szCs w:val="21"/>
              </w:rPr>
              <w:t>日，提供了演练记录及效果评估表，对应急准备和响应预案的可行性进行评审。</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定期对灭火器进行了检查，</w:t>
            </w:r>
          </w:p>
          <w:p>
            <w:pPr>
              <w:spacing w:line="400" w:lineRule="atLeast"/>
              <w:rPr>
                <w:rFonts w:hint="eastAsia" w:ascii="宋体" w:hAnsi="宋体" w:eastAsia="宋体" w:cs="Times New Roman"/>
                <w:sz w:val="21"/>
                <w:szCs w:val="21"/>
                <w:lang w:val="en-US" w:eastAsia="zh-CN"/>
              </w:rPr>
            </w:pPr>
            <w:r>
              <w:rPr>
                <w:rFonts w:hint="eastAsia" w:ascii="宋体" w:hAnsi="宋体" w:eastAsia="宋体" w:cs="Times New Roman"/>
                <w:sz w:val="21"/>
                <w:szCs w:val="21"/>
              </w:rPr>
              <w:t>自体系运行以来尚未发生紧急情况。</w:t>
            </w:r>
          </w:p>
        </w:tc>
        <w:tc>
          <w:tcPr>
            <w:tcW w:w="1437" w:type="dxa"/>
          </w:tcPr>
          <w:p>
            <w:pPr>
              <w:spacing w:line="400" w:lineRule="atLeast"/>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809" w:type="dxa"/>
            <w:vAlign w:val="center"/>
          </w:tcPr>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监测总则</w:t>
            </w:r>
          </w:p>
          <w:p>
            <w:pPr>
              <w:spacing w:line="400" w:lineRule="atLeast"/>
              <w:rPr>
                <w:rFonts w:hint="eastAsia" w:ascii="宋体" w:hAnsi="宋体" w:eastAsia="宋体" w:cs="Times New Roman"/>
                <w:sz w:val="21"/>
                <w:szCs w:val="21"/>
                <w:lang w:val="en-US" w:eastAsia="zh-CN"/>
              </w:rPr>
            </w:pPr>
          </w:p>
        </w:tc>
        <w:tc>
          <w:tcPr>
            <w:tcW w:w="1311" w:type="dxa"/>
            <w:vAlign w:val="center"/>
          </w:tcPr>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QO9.1.1</w:t>
            </w:r>
          </w:p>
          <w:p>
            <w:pPr>
              <w:spacing w:line="400" w:lineRule="atLeast"/>
              <w:rPr>
                <w:rFonts w:hint="eastAsia" w:ascii="宋体" w:hAnsi="宋体" w:eastAsia="宋体" w:cs="Times New Roman"/>
                <w:sz w:val="21"/>
                <w:szCs w:val="21"/>
                <w:lang w:val="en-US" w:eastAsia="zh-CN"/>
              </w:rPr>
            </w:pPr>
          </w:p>
        </w:tc>
        <w:tc>
          <w:tcPr>
            <w:tcW w:w="10152" w:type="dxa"/>
            <w:vAlign w:val="center"/>
          </w:tcPr>
          <w:p>
            <w:pPr>
              <w:spacing w:line="400" w:lineRule="atLeast"/>
              <w:rPr>
                <w:rFonts w:hint="eastAsia"/>
              </w:rPr>
            </w:pPr>
            <w:r>
              <w:rPr>
                <w:rFonts w:hint="eastAsia"/>
              </w:rPr>
              <w:t>公司通过质量目标考核、内审、管理评审等对体系的有效性进行评价。</w:t>
            </w:r>
          </w:p>
          <w:p>
            <w:pPr>
              <w:spacing w:line="400" w:lineRule="atLeast"/>
              <w:rPr>
                <w:rFonts w:hint="eastAsia"/>
              </w:rPr>
            </w:pPr>
            <w:r>
              <w:rPr>
                <w:rFonts w:hint="eastAsia"/>
              </w:rPr>
              <w:t>1）提供了顾客满意调查表，并进行了分析。</w:t>
            </w:r>
          </w:p>
          <w:p>
            <w:pPr>
              <w:spacing w:line="400" w:lineRule="atLeast"/>
              <w:rPr>
                <w:rFonts w:hint="eastAsia"/>
              </w:rPr>
            </w:pPr>
            <w:r>
              <w:rPr>
                <w:rFonts w:hint="eastAsia"/>
              </w:rPr>
              <w:t>2）对过程服务质量进行了统计分析</w:t>
            </w:r>
          </w:p>
          <w:p>
            <w:pPr>
              <w:spacing w:line="400" w:lineRule="atLeast"/>
              <w:rPr>
                <w:rFonts w:hint="eastAsia"/>
              </w:rPr>
            </w:pPr>
            <w:r>
              <w:rPr>
                <w:rFonts w:hint="eastAsia"/>
              </w:rPr>
              <w:t>3）对采购物资进行验证。根据验收结果，证明供方提供的服务质量是稳定的.</w:t>
            </w:r>
          </w:p>
          <w:p>
            <w:pPr>
              <w:spacing w:line="400" w:lineRule="atLeast"/>
              <w:rPr>
                <w:rFonts w:hint="eastAsia"/>
              </w:rPr>
            </w:pPr>
            <w:r>
              <w:rPr>
                <w:rFonts w:hint="eastAsia"/>
              </w:rPr>
              <w:t>4）通过内审中发现的不符合，确定改进措施并实施。</w:t>
            </w:r>
          </w:p>
          <w:p>
            <w:pPr>
              <w:spacing w:line="400" w:lineRule="atLeast"/>
              <w:rPr>
                <w:rFonts w:hint="eastAsia"/>
              </w:rPr>
            </w:pPr>
            <w:r>
              <w:rPr>
                <w:rFonts w:hint="eastAsia"/>
              </w:rPr>
              <w:t>5）通过管理评审，提出改进措施，以便发现改进方向。</w:t>
            </w:r>
          </w:p>
          <w:p>
            <w:pPr>
              <w:spacing w:line="400" w:lineRule="atLeast"/>
              <w:rPr>
                <w:rFonts w:hint="eastAsia"/>
              </w:rPr>
            </w:pPr>
            <w:r>
              <w:rPr>
                <w:rFonts w:hint="eastAsia"/>
              </w:rPr>
              <w:t>各部门通过日常检查、考勤、目标监测、会议监测、内审、管理评审等等实施监视和测量。</w:t>
            </w:r>
          </w:p>
          <w:p>
            <w:pPr>
              <w:pStyle w:val="2"/>
              <w:rPr>
                <w:rFonts w:hint="eastAsia" w:ascii="宋体" w:hAnsi="宋体" w:cs="Times New Roman"/>
                <w:sz w:val="21"/>
                <w:szCs w:val="21"/>
                <w:lang w:val="en-US" w:eastAsia="zh-CN"/>
              </w:rPr>
            </w:pPr>
            <w:r>
              <w:rPr>
                <w:rFonts w:hint="eastAsia" w:ascii="宋体" w:hAnsi="宋体" w:cs="Times New Roman"/>
                <w:sz w:val="21"/>
                <w:szCs w:val="21"/>
                <w:lang w:val="en-US" w:eastAsia="zh-CN"/>
              </w:rPr>
              <w:t>查企业员工体检情况：</w:t>
            </w:r>
          </w:p>
          <w:p>
            <w:pPr>
              <w:pStyle w:val="2"/>
              <w:rPr>
                <w:rFonts w:hint="eastAsia" w:ascii="宋体" w:hAnsi="宋体" w:cs="Times New Roman"/>
                <w:sz w:val="21"/>
                <w:szCs w:val="21"/>
                <w:lang w:val="en-US" w:eastAsia="zh-CN"/>
              </w:rPr>
            </w:pPr>
            <w:r>
              <w:rPr>
                <w:rFonts w:hint="eastAsia" w:ascii="宋体" w:hAnsi="宋体" w:cs="Times New Roman"/>
                <w:sz w:val="21"/>
                <w:szCs w:val="21"/>
                <w:lang w:val="en-US" w:eastAsia="zh-CN"/>
              </w:rPr>
              <w:t>抽查车间员工：羌志宁，于2021.11.5在南通开发区博荣健康体检中心进行了职业病体检，结果为未发现职业禁忌或疑似职业病。</w:t>
            </w:r>
          </w:p>
          <w:p>
            <w:pPr>
              <w:pStyle w:val="2"/>
              <w:rPr>
                <w:rFonts w:hint="default" w:ascii="宋体" w:hAnsi="宋体" w:cs="Times New Roman"/>
                <w:sz w:val="21"/>
                <w:szCs w:val="21"/>
                <w:lang w:val="en-US" w:eastAsia="zh-CN"/>
              </w:rPr>
            </w:pPr>
            <w:r>
              <w:rPr>
                <w:rFonts w:hint="eastAsia" w:ascii="宋体" w:hAnsi="宋体" w:cs="Times New Roman"/>
                <w:sz w:val="21"/>
                <w:szCs w:val="21"/>
                <w:lang w:val="en-US" w:eastAsia="zh-CN"/>
              </w:rPr>
              <w:t>再抽车间员工：赵拥均，于2021.11.4在南通开发区博荣健康体检中心进行了职业病体检，结果为未发现职业禁忌或疑似职业病。</w:t>
            </w:r>
          </w:p>
        </w:tc>
        <w:tc>
          <w:tcPr>
            <w:tcW w:w="1437" w:type="dxa"/>
          </w:tcPr>
          <w:p>
            <w:pPr>
              <w:spacing w:line="360"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trPr>
        <w:tc>
          <w:tcPr>
            <w:tcW w:w="1809" w:type="dxa"/>
            <w:vAlign w:val="top"/>
          </w:tcPr>
          <w:p>
            <w:pPr>
              <w:spacing w:line="400" w:lineRule="atLeast"/>
              <w:rPr>
                <w:rFonts w:hint="eastAsia" w:ascii="宋体" w:hAnsi="宋体" w:eastAsia="宋体" w:cs="Times New Roman"/>
                <w:sz w:val="21"/>
                <w:szCs w:val="21"/>
              </w:rPr>
            </w:pPr>
          </w:p>
          <w:p>
            <w:pPr>
              <w:spacing w:line="400" w:lineRule="atLeast"/>
              <w:rPr>
                <w:rFonts w:hint="eastAsia" w:ascii="宋体" w:hAnsi="宋体" w:eastAsia="宋体" w:cs="Times New Roman"/>
                <w:sz w:val="21"/>
                <w:szCs w:val="21"/>
                <w:lang w:val="en-US" w:eastAsia="zh-CN"/>
              </w:rPr>
            </w:pPr>
            <w:r>
              <w:rPr>
                <w:rFonts w:hint="eastAsia" w:ascii="宋体" w:hAnsi="宋体" w:eastAsia="宋体" w:cs="Times New Roman"/>
                <w:sz w:val="21"/>
                <w:szCs w:val="21"/>
              </w:rPr>
              <w:t>分析与评价</w:t>
            </w:r>
          </w:p>
        </w:tc>
        <w:tc>
          <w:tcPr>
            <w:tcW w:w="1311" w:type="dxa"/>
            <w:vAlign w:val="top"/>
          </w:tcPr>
          <w:p>
            <w:pPr>
              <w:spacing w:line="400" w:lineRule="atLeast"/>
              <w:rPr>
                <w:rFonts w:hint="eastAsia" w:ascii="宋体" w:hAnsi="宋体" w:eastAsia="宋体" w:cs="Times New Roman"/>
                <w:sz w:val="21"/>
                <w:szCs w:val="21"/>
              </w:rPr>
            </w:pPr>
          </w:p>
          <w:p>
            <w:pPr>
              <w:spacing w:line="400" w:lineRule="atLeast"/>
              <w:rPr>
                <w:rFonts w:hint="eastAsia" w:ascii="宋体" w:hAnsi="宋体" w:eastAsia="宋体" w:cs="Times New Roman"/>
                <w:sz w:val="21"/>
                <w:szCs w:val="21"/>
                <w:lang w:val="en-US" w:eastAsia="zh-CN"/>
              </w:rPr>
            </w:pPr>
            <w:r>
              <w:rPr>
                <w:rFonts w:hint="eastAsia" w:ascii="宋体" w:hAnsi="宋体" w:eastAsia="宋体" w:cs="Times New Roman"/>
                <w:sz w:val="21"/>
                <w:szCs w:val="21"/>
              </w:rPr>
              <w:t>Q:9.1.3</w:t>
            </w:r>
          </w:p>
        </w:tc>
        <w:tc>
          <w:tcPr>
            <w:tcW w:w="10152" w:type="dxa"/>
            <w:vAlign w:val="top"/>
          </w:tcPr>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1、公司组织各部门策划和实施必要的监视和测量活动，确保产品、体系和过程的符合性，以持续改进质量管理体系的有效性。</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2、对目标完成情况进行绩效考核，考核人：</w:t>
            </w:r>
            <w:r>
              <w:rPr>
                <w:rFonts w:hint="eastAsia" w:ascii="宋体" w:hAnsi="宋体" w:cs="Times New Roman"/>
                <w:sz w:val="21"/>
                <w:szCs w:val="21"/>
                <w:lang w:eastAsia="zh-CN"/>
              </w:rPr>
              <w:t>王建均</w:t>
            </w:r>
            <w:r>
              <w:rPr>
                <w:rFonts w:hint="eastAsia" w:ascii="宋体" w:hAnsi="宋体" w:eastAsia="宋体" w:cs="Times New Roman"/>
                <w:sz w:val="21"/>
                <w:szCs w:val="21"/>
              </w:rPr>
              <w:t>，考核时间2022年</w:t>
            </w:r>
            <w:r>
              <w:rPr>
                <w:rFonts w:hint="eastAsia" w:ascii="宋体" w:hAnsi="宋体" w:eastAsia="宋体" w:cs="Times New Roman"/>
                <w:sz w:val="21"/>
                <w:szCs w:val="21"/>
                <w:lang w:val="en-US" w:eastAsia="zh-CN"/>
              </w:rPr>
              <w:t>4</w:t>
            </w:r>
            <w:r>
              <w:rPr>
                <w:rFonts w:hint="eastAsia" w:ascii="宋体" w:hAnsi="宋体" w:eastAsia="宋体" w:cs="Times New Roman"/>
                <w:sz w:val="21"/>
                <w:szCs w:val="21"/>
              </w:rPr>
              <w:t>月</w:t>
            </w:r>
            <w:r>
              <w:rPr>
                <w:rFonts w:hint="eastAsia" w:ascii="宋体" w:hAnsi="宋体" w:eastAsia="宋体" w:cs="Times New Roman"/>
                <w:sz w:val="21"/>
                <w:szCs w:val="21"/>
                <w:lang w:val="en-US" w:eastAsia="zh-CN"/>
              </w:rPr>
              <w:t>5</w:t>
            </w:r>
            <w:r>
              <w:rPr>
                <w:rFonts w:hint="eastAsia" w:ascii="宋体" w:hAnsi="宋体" w:eastAsia="宋体" w:cs="Times New Roman"/>
                <w:sz w:val="21"/>
                <w:szCs w:val="21"/>
              </w:rPr>
              <w:t>日。</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3、</w:t>
            </w:r>
            <w:r>
              <w:rPr>
                <w:rFonts w:hint="eastAsia" w:ascii="宋体" w:hAnsi="宋体" w:eastAsia="宋体" w:cs="Times New Roman"/>
                <w:sz w:val="21"/>
                <w:szCs w:val="21"/>
                <w:lang w:eastAsia="zh-CN"/>
              </w:rPr>
              <w:t>供销部</w:t>
            </w:r>
            <w:r>
              <w:rPr>
                <w:rFonts w:hint="eastAsia" w:ascii="宋体" w:hAnsi="宋体" w:eastAsia="宋体" w:cs="Times New Roman"/>
                <w:sz w:val="21"/>
                <w:szCs w:val="21"/>
              </w:rPr>
              <w:t>负责对供方予以评价，对供方实施了监视和测量；对产品销售过程的监视和测量活动进行了策划和实施；对顾客满意度进行了定期评价和分析。</w:t>
            </w:r>
          </w:p>
          <w:p>
            <w:pPr>
              <w:rPr>
                <w:rFonts w:hint="eastAsia" w:ascii="宋体" w:hAnsi="宋体" w:eastAsia="宋体" w:cs="Times New Roman"/>
                <w:sz w:val="21"/>
                <w:szCs w:val="21"/>
              </w:rPr>
            </w:pPr>
            <w:r>
              <w:rPr>
                <w:rFonts w:hint="eastAsia" w:ascii="宋体" w:hAnsi="宋体" w:eastAsia="宋体" w:cs="Times New Roman"/>
                <w:sz w:val="21"/>
                <w:szCs w:val="21"/>
              </w:rPr>
              <w:t>4、</w:t>
            </w:r>
            <w:r>
              <w:rPr>
                <w:rFonts w:hint="eastAsia" w:ascii="宋体" w:hAnsi="宋体" w:eastAsia="宋体" w:cs="Times New Roman"/>
                <w:sz w:val="21"/>
                <w:szCs w:val="21"/>
                <w:lang w:eastAsia="zh-CN"/>
              </w:rPr>
              <w:t>生产技术部</w:t>
            </w:r>
            <w:r>
              <w:rPr>
                <w:rFonts w:hint="eastAsia" w:ascii="宋体" w:hAnsi="宋体" w:eastAsia="宋体" w:cs="Times New Roman"/>
                <w:sz w:val="21"/>
                <w:szCs w:val="21"/>
              </w:rPr>
              <w:t>对</w:t>
            </w:r>
            <w:r>
              <w:rPr>
                <w:rFonts w:hint="eastAsia"/>
                <w:sz w:val="20"/>
                <w:lang w:eastAsia="zh-CN"/>
              </w:rPr>
              <w:t>定转子铁芯、转子</w:t>
            </w:r>
            <w:r>
              <w:rPr>
                <w:sz w:val="20"/>
              </w:rPr>
              <w:t>的制造</w:t>
            </w:r>
            <w:r>
              <w:rPr>
                <w:rFonts w:hint="eastAsia" w:ascii="宋体" w:hAnsi="宋体" w:eastAsia="宋体" w:cs="Times New Roman"/>
                <w:sz w:val="21"/>
                <w:szCs w:val="21"/>
              </w:rPr>
              <w:t>过程产品实现各过程进行监督检查、分析与评价。</w:t>
            </w:r>
          </w:p>
          <w:p>
            <w:pPr>
              <w:spacing w:line="400" w:lineRule="atLeast"/>
              <w:rPr>
                <w:rFonts w:hint="eastAsia" w:ascii="宋体" w:hAnsi="宋体" w:eastAsia="宋体" w:cs="Times New Roman"/>
                <w:sz w:val="21"/>
                <w:szCs w:val="21"/>
                <w:lang w:val="en-US" w:eastAsia="zh-CN"/>
              </w:rPr>
            </w:pPr>
            <w:r>
              <w:rPr>
                <w:rFonts w:hint="eastAsia" w:ascii="宋体" w:hAnsi="宋体" w:eastAsia="宋体" w:cs="Times New Roman"/>
                <w:sz w:val="21"/>
                <w:szCs w:val="21"/>
              </w:rPr>
              <w:t>部门介绍企业对其他方面收集的信息也进行了简单分析利用，但是未能提供相关证据。</w:t>
            </w:r>
          </w:p>
        </w:tc>
        <w:tc>
          <w:tcPr>
            <w:tcW w:w="1437" w:type="dxa"/>
          </w:tcPr>
          <w:p>
            <w:pPr>
              <w:spacing w:line="360" w:lineRule="auto"/>
              <w:rPr>
                <w:rFonts w:hint="eastAsia" w:ascii="楷体" w:hAnsi="楷体" w:eastAsia="楷体"/>
                <w:sz w:val="24"/>
                <w:szCs w:val="24"/>
                <w:lang w:val="en-US" w:eastAsia="zh-CN"/>
              </w:rPr>
            </w:pPr>
            <w:r>
              <w:rPr>
                <w:rFonts w:hint="eastAsia" w:ascii="宋体" w:hAnsi="宋体" w:eastAsia="宋体" w:cs="Times New Roman"/>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top"/>
          </w:tcPr>
          <w:p>
            <w:pPr>
              <w:widowControl/>
              <w:spacing w:line="400" w:lineRule="exact"/>
              <w:jc w:val="left"/>
              <w:rPr>
                <w:rFonts w:hint="eastAsia" w:ascii="宋体" w:hAnsi="宋体" w:eastAsia="宋体" w:cs="Times New Roman"/>
                <w:sz w:val="21"/>
                <w:szCs w:val="21"/>
              </w:rPr>
            </w:pPr>
          </w:p>
          <w:p>
            <w:pPr>
              <w:widowControl/>
              <w:spacing w:line="400" w:lineRule="exact"/>
              <w:jc w:val="left"/>
              <w:rPr>
                <w:rFonts w:hint="eastAsia" w:ascii="宋体" w:hAnsi="宋体" w:eastAsia="宋体" w:cs="Times New Roman"/>
                <w:sz w:val="21"/>
                <w:szCs w:val="21"/>
              </w:rPr>
            </w:pPr>
          </w:p>
          <w:p>
            <w:pPr>
              <w:widowControl/>
              <w:spacing w:line="400" w:lineRule="exact"/>
              <w:jc w:val="left"/>
              <w:rPr>
                <w:rFonts w:hint="eastAsia" w:ascii="宋体" w:hAnsi="宋体" w:eastAsia="宋体" w:cs="Times New Roman"/>
                <w:sz w:val="21"/>
                <w:szCs w:val="21"/>
              </w:rPr>
            </w:pPr>
          </w:p>
          <w:p>
            <w:pPr>
              <w:widowControl/>
              <w:spacing w:line="400" w:lineRule="exact"/>
              <w:jc w:val="left"/>
              <w:rPr>
                <w:rFonts w:hint="eastAsia" w:ascii="宋体" w:hAnsi="宋体" w:eastAsia="宋体" w:cs="Times New Roman"/>
                <w:sz w:val="21"/>
                <w:szCs w:val="21"/>
                <w:lang w:val="en-US" w:eastAsia="zh-CN"/>
              </w:rPr>
            </w:pPr>
          </w:p>
          <w:p>
            <w:pPr>
              <w:widowControl/>
              <w:spacing w:line="400" w:lineRule="exact"/>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不合格、事件、不符合和纠正措施</w:t>
            </w:r>
          </w:p>
        </w:tc>
        <w:tc>
          <w:tcPr>
            <w:tcW w:w="1311" w:type="dxa"/>
            <w:vAlign w:val="top"/>
          </w:tcPr>
          <w:p>
            <w:pPr>
              <w:widowControl/>
              <w:spacing w:line="400" w:lineRule="exact"/>
              <w:jc w:val="left"/>
              <w:rPr>
                <w:rFonts w:hint="eastAsia" w:ascii="宋体" w:hAnsi="宋体" w:eastAsia="宋体" w:cs="Times New Roman"/>
                <w:sz w:val="21"/>
                <w:szCs w:val="21"/>
              </w:rPr>
            </w:pPr>
          </w:p>
          <w:p>
            <w:pPr>
              <w:widowControl/>
              <w:spacing w:line="400" w:lineRule="exact"/>
              <w:jc w:val="left"/>
              <w:rPr>
                <w:rFonts w:hint="eastAsia" w:ascii="宋体" w:hAnsi="宋体" w:eastAsia="宋体" w:cs="Times New Roman"/>
                <w:sz w:val="21"/>
                <w:szCs w:val="21"/>
              </w:rPr>
            </w:pPr>
          </w:p>
          <w:p>
            <w:pPr>
              <w:widowControl/>
              <w:spacing w:line="400" w:lineRule="exact"/>
              <w:jc w:val="left"/>
              <w:rPr>
                <w:rFonts w:hint="eastAsia" w:ascii="宋体" w:hAnsi="宋体" w:eastAsia="宋体" w:cs="Times New Roman"/>
                <w:sz w:val="21"/>
                <w:szCs w:val="21"/>
              </w:rPr>
            </w:pPr>
          </w:p>
          <w:p>
            <w:pPr>
              <w:widowControl/>
              <w:spacing w:line="400" w:lineRule="exact"/>
              <w:jc w:val="left"/>
              <w:rPr>
                <w:rFonts w:hint="eastAsia" w:ascii="宋体" w:hAnsi="宋体" w:eastAsia="宋体" w:cs="Times New Roman"/>
                <w:sz w:val="21"/>
                <w:szCs w:val="21"/>
              </w:rPr>
            </w:pPr>
          </w:p>
          <w:p>
            <w:pPr>
              <w:widowControl/>
              <w:spacing w:line="400" w:lineRule="exact"/>
              <w:jc w:val="left"/>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QO10.2</w:t>
            </w:r>
          </w:p>
        </w:tc>
        <w:tc>
          <w:tcPr>
            <w:tcW w:w="10152" w:type="dxa"/>
            <w:vAlign w:val="top"/>
          </w:tcPr>
          <w:p>
            <w:pPr>
              <w:widowControl/>
              <w:spacing w:line="400" w:lineRule="exact"/>
              <w:jc w:val="left"/>
              <w:rPr>
                <w:rFonts w:hint="eastAsia" w:ascii="宋体" w:hAnsi="宋体" w:eastAsia="宋体" w:cs="Times New Roman"/>
                <w:sz w:val="21"/>
                <w:szCs w:val="21"/>
              </w:rPr>
            </w:pPr>
            <w:r>
              <w:rPr>
                <w:rFonts w:hint="eastAsia" w:ascii="宋体" w:hAnsi="宋体" w:eastAsia="宋体" w:cs="Times New Roman"/>
                <w:sz w:val="21"/>
                <w:szCs w:val="21"/>
              </w:rPr>
              <w:t>公司制定了《</w:t>
            </w:r>
            <w:r>
              <w:rPr>
                <w:rFonts w:hint="eastAsia" w:ascii="宋体" w:hAnsi="宋体" w:cs="仿宋_GB2312"/>
                <w:kern w:val="0"/>
              </w:rPr>
              <w:t>纠正预防措施控制程序</w:t>
            </w:r>
            <w:bookmarkStart w:id="1" w:name="_Hlk530654065"/>
            <w:r>
              <w:rPr>
                <w:rFonts w:hint="eastAsia" w:ascii="宋体" w:hAnsi="宋体" w:cs="仿宋_GB2312"/>
                <w:kern w:val="0"/>
                <w:lang w:val="en-US" w:eastAsia="zh-CN"/>
              </w:rPr>
              <w:t xml:space="preserve">  </w:t>
            </w:r>
            <w:r>
              <w:rPr>
                <w:rFonts w:hint="eastAsia" w:ascii="宋体" w:hAnsi="宋体" w:cs="仿宋_GB2312"/>
                <w:kern w:val="0"/>
                <w:lang w:eastAsia="zh-CN"/>
              </w:rPr>
              <w:t>NTSY</w:t>
            </w:r>
            <w:r>
              <w:rPr>
                <w:rFonts w:ascii="宋体" w:hAnsi="宋体" w:cs="仿宋_GB2312"/>
                <w:kern w:val="0"/>
              </w:rPr>
              <w:t>-QO/CX-19</w:t>
            </w:r>
            <w:bookmarkEnd w:id="1"/>
            <w:r>
              <w:rPr>
                <w:rFonts w:hint="eastAsia" w:ascii="宋体" w:hAnsi="宋体" w:eastAsia="宋体" w:cs="Times New Roman"/>
                <w:sz w:val="21"/>
                <w:szCs w:val="21"/>
              </w:rPr>
              <w:t>》、《</w:t>
            </w:r>
            <w:r>
              <w:rPr>
                <w:rFonts w:hint="eastAsia" w:ascii="宋体" w:hAnsi="宋体" w:cs="仿宋_GB2312"/>
                <w:kern w:val="0"/>
                <w:lang w:eastAsia="zh-CN"/>
              </w:rPr>
              <w:t>NTSY</w:t>
            </w:r>
            <w:r>
              <w:rPr>
                <w:rFonts w:ascii="宋体" w:hAnsi="宋体" w:cs="仿宋_GB2312"/>
                <w:kern w:val="0"/>
              </w:rPr>
              <w:t>-QO/CX-2</w:t>
            </w:r>
            <w:r>
              <w:rPr>
                <w:rFonts w:hint="eastAsia" w:ascii="宋体" w:hAnsi="宋体" w:cs="仿宋_GB2312"/>
                <w:kern w:val="0"/>
              </w:rPr>
              <w:t>6</w:t>
            </w:r>
            <w:r>
              <w:rPr>
                <w:rFonts w:hint="eastAsia" w:ascii="宋体" w:hAnsi="宋体" w:cs="仿宋_GB2312"/>
                <w:kern w:val="0"/>
                <w:lang w:val="en-US" w:eastAsia="zh-CN"/>
              </w:rPr>
              <w:t xml:space="preserve"> </w:t>
            </w:r>
            <w:r>
              <w:rPr>
                <w:rFonts w:hint="eastAsia" w:ascii="宋体" w:hAnsi="宋体" w:cs="仿宋_GB2312"/>
                <w:kern w:val="0"/>
              </w:rPr>
              <w:t>事故、事件控制程序</w:t>
            </w:r>
            <w:r>
              <w:rPr>
                <w:rFonts w:hint="eastAsia" w:ascii="宋体" w:hAnsi="宋体" w:eastAsia="宋体" w:cs="Times New Roman"/>
                <w:sz w:val="21"/>
                <w:szCs w:val="21"/>
              </w:rPr>
              <w:t>》，对纠正预防措施识别、评审、验证，事故报告、调查、处理等进行了策划，为消除不合格、不符合原因，防止不合格或不符合的再发生。</w:t>
            </w:r>
          </w:p>
          <w:p>
            <w:pPr>
              <w:widowControl/>
              <w:spacing w:line="400" w:lineRule="exact"/>
              <w:jc w:val="left"/>
              <w:rPr>
                <w:rFonts w:hint="eastAsia" w:ascii="宋体" w:hAnsi="宋体" w:eastAsia="宋体" w:cs="Times New Roman"/>
                <w:sz w:val="21"/>
                <w:szCs w:val="21"/>
              </w:rPr>
            </w:pPr>
            <w:r>
              <w:rPr>
                <w:rFonts w:hint="eastAsia" w:ascii="宋体" w:hAnsi="宋体" w:eastAsia="宋体" w:cs="Times New Roman"/>
                <w:sz w:val="21"/>
                <w:szCs w:val="21"/>
              </w:rPr>
              <w:t>对过程或成品检查、内审、管理评审中提出的不合格项进行了原因分析，并策划纠正措施并实施，对所采取的纠正措施进行验证，具体见相关条款审核记录。</w:t>
            </w:r>
          </w:p>
          <w:p>
            <w:pPr>
              <w:widowControl/>
              <w:spacing w:line="400" w:lineRule="exact"/>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rPr>
              <w:t>体系运行以来公司按照体系的要求，通过运行控制、加强培训，以及开展管理评审活动等方式采取预防措施，防止不符合/不合格的发生，不符合得到了有效控制。基本符合标准规定要求。</w:t>
            </w:r>
          </w:p>
        </w:tc>
        <w:tc>
          <w:tcPr>
            <w:tcW w:w="1437"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top"/>
          </w:tcPr>
          <w:p>
            <w:pPr>
              <w:adjustRightInd w:val="0"/>
              <w:snapToGrid w:val="0"/>
              <w:spacing w:line="360" w:lineRule="auto"/>
              <w:jc w:val="left"/>
              <w:rPr>
                <w:rFonts w:hint="eastAsia" w:ascii="宋体" w:hAnsi="宋体" w:eastAsia="宋体" w:cs="新宋体"/>
                <w:kern w:val="2"/>
                <w:sz w:val="21"/>
                <w:szCs w:val="21"/>
                <w:lang w:val="en-US" w:eastAsia="zh-CN" w:bidi="ar-SA"/>
              </w:rPr>
            </w:pPr>
            <w:r>
              <w:rPr>
                <w:rFonts w:hint="eastAsia" w:ascii="宋体" w:hAnsi="宋体" w:eastAsia="宋体" w:cs="宋体"/>
                <w:sz w:val="21"/>
                <w:szCs w:val="21"/>
                <w:lang w:val="en-US" w:eastAsia="zh-CN" w:bidi="ar"/>
              </w:rPr>
              <w:t>OHSMS运行控制相关财务支出证据</w:t>
            </w:r>
          </w:p>
        </w:tc>
        <w:tc>
          <w:tcPr>
            <w:tcW w:w="1311" w:type="dxa"/>
            <w:vAlign w:val="top"/>
          </w:tcPr>
          <w:p>
            <w:pPr>
              <w:adjustRightInd w:val="0"/>
              <w:snapToGrid w:val="0"/>
              <w:rPr>
                <w:rFonts w:hint="eastAsia" w:ascii="宋体" w:hAnsi="宋体" w:eastAsia="宋体" w:cs="新宋体"/>
                <w:kern w:val="2"/>
                <w:sz w:val="21"/>
                <w:szCs w:val="21"/>
                <w:lang w:val="en-US" w:eastAsia="zh-CN" w:bidi="ar-SA"/>
              </w:rPr>
            </w:pPr>
          </w:p>
        </w:tc>
        <w:tc>
          <w:tcPr>
            <w:tcW w:w="10152" w:type="dxa"/>
            <w:vAlign w:val="top"/>
          </w:tcPr>
          <w:p>
            <w:pPr>
              <w:widowControl/>
              <w:spacing w:line="400" w:lineRule="exact"/>
              <w:jc w:val="left"/>
              <w:rPr>
                <w:rFonts w:hint="eastAsia" w:ascii="宋体" w:hAnsi="宋体" w:eastAsia="宋体" w:cs="Times New Roman"/>
                <w:kern w:val="2"/>
                <w:sz w:val="21"/>
                <w:szCs w:val="21"/>
                <w:highlight w:val="yellow"/>
                <w:lang w:val="en-US" w:eastAsia="zh-CN" w:bidi="ar-SA"/>
              </w:rPr>
            </w:pPr>
            <w:r>
              <w:rPr>
                <w:rFonts w:hint="eastAsia" w:ascii="宋体" w:hAnsi="宋体" w:eastAsia="宋体" w:cs="Times New Roman"/>
                <w:sz w:val="21"/>
                <w:szCs w:val="21"/>
              </w:rPr>
              <w:t>202</w:t>
            </w: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年</w:t>
            </w:r>
            <w:r>
              <w:rPr>
                <w:rFonts w:hint="eastAsia" w:ascii="宋体" w:hAnsi="宋体" w:eastAsia="宋体" w:cs="Times New Roman"/>
                <w:sz w:val="21"/>
                <w:szCs w:val="21"/>
                <w:lang w:val="en-US" w:eastAsia="zh-CN"/>
              </w:rPr>
              <w:t>6</w:t>
            </w:r>
            <w:r>
              <w:rPr>
                <w:rFonts w:hint="eastAsia" w:ascii="宋体" w:hAnsi="宋体" w:eastAsia="宋体" w:cs="Times New Roman"/>
                <w:sz w:val="21"/>
                <w:szCs w:val="21"/>
              </w:rPr>
              <w:t>月</w:t>
            </w:r>
            <w:r>
              <w:rPr>
                <w:rFonts w:hint="eastAsia" w:ascii="宋体" w:hAnsi="宋体" w:eastAsia="宋体" w:cs="Times New Roman"/>
                <w:sz w:val="21"/>
                <w:szCs w:val="21"/>
                <w:lang w:val="en-US" w:eastAsia="zh-CN"/>
              </w:rPr>
              <w:t>-2022年5月</w:t>
            </w:r>
            <w:r>
              <w:rPr>
                <w:rFonts w:hint="eastAsia" w:ascii="宋体" w:hAnsi="宋体" w:eastAsia="宋体" w:cs="Times New Roman"/>
                <w:sz w:val="21"/>
                <w:szCs w:val="21"/>
              </w:rPr>
              <w:t>份关于环境、职业健康安全资金预算及投入情况：公司用于环境、职业健康安全的资金主要用于职工保险、消防器材配备和维修、安全帽等防护用品的购买、员工的体检、应急演练、职员培训、环境绿化、垃圾清理等共计约</w:t>
            </w: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0000元。</w:t>
            </w:r>
          </w:p>
        </w:tc>
        <w:tc>
          <w:tcPr>
            <w:tcW w:w="1437"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bl>
    <w:p>
      <w:pPr>
        <w:spacing w:line="360" w:lineRule="auto"/>
        <w:rPr>
          <w:rFonts w:ascii="楷体" w:hAnsi="楷体" w:eastAsia="楷体"/>
          <w:sz w:val="24"/>
          <w:szCs w:val="24"/>
        </w:rPr>
      </w:pPr>
      <w:r>
        <w:rPr>
          <w:rFonts w:hint="eastAsia" w:ascii="楷体" w:hAnsi="楷体" w:eastAsia="楷体"/>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499EC"/>
    <w:multiLevelType w:val="singleLevel"/>
    <w:tmpl w:val="CA2499E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9973B4"/>
    <w:rsid w:val="00004817"/>
    <w:rsid w:val="000214B6"/>
    <w:rsid w:val="0002531E"/>
    <w:rsid w:val="0003033D"/>
    <w:rsid w:val="0003373A"/>
    <w:rsid w:val="00040870"/>
    <w:rsid w:val="000412F6"/>
    <w:rsid w:val="000509DA"/>
    <w:rsid w:val="0005199E"/>
    <w:rsid w:val="0005359F"/>
    <w:rsid w:val="0005697E"/>
    <w:rsid w:val="000579CF"/>
    <w:rsid w:val="000801F3"/>
    <w:rsid w:val="00082216"/>
    <w:rsid w:val="00082398"/>
    <w:rsid w:val="000849D2"/>
    <w:rsid w:val="000877AB"/>
    <w:rsid w:val="00093FDD"/>
    <w:rsid w:val="00095268"/>
    <w:rsid w:val="000A3D3F"/>
    <w:rsid w:val="000A5E44"/>
    <w:rsid w:val="000B1394"/>
    <w:rsid w:val="000B40BD"/>
    <w:rsid w:val="000B72B6"/>
    <w:rsid w:val="000C123B"/>
    <w:rsid w:val="000D5401"/>
    <w:rsid w:val="000D697A"/>
    <w:rsid w:val="000E2B69"/>
    <w:rsid w:val="000E4FBB"/>
    <w:rsid w:val="000E7EF7"/>
    <w:rsid w:val="000F35F1"/>
    <w:rsid w:val="001022F1"/>
    <w:rsid w:val="001037D5"/>
    <w:rsid w:val="001100F4"/>
    <w:rsid w:val="00124A3B"/>
    <w:rsid w:val="00145688"/>
    <w:rsid w:val="00151406"/>
    <w:rsid w:val="00156AF7"/>
    <w:rsid w:val="001677C1"/>
    <w:rsid w:val="00176411"/>
    <w:rsid w:val="00180285"/>
    <w:rsid w:val="00181073"/>
    <w:rsid w:val="001918ED"/>
    <w:rsid w:val="00192A7F"/>
    <w:rsid w:val="001A2D7F"/>
    <w:rsid w:val="001A3DF8"/>
    <w:rsid w:val="001A572D"/>
    <w:rsid w:val="001D4AD8"/>
    <w:rsid w:val="001D54FF"/>
    <w:rsid w:val="001E1974"/>
    <w:rsid w:val="001F581C"/>
    <w:rsid w:val="001F5A0E"/>
    <w:rsid w:val="00202BC2"/>
    <w:rsid w:val="00214113"/>
    <w:rsid w:val="00215081"/>
    <w:rsid w:val="002221D5"/>
    <w:rsid w:val="00222532"/>
    <w:rsid w:val="00233B02"/>
    <w:rsid w:val="00234FA5"/>
    <w:rsid w:val="00237445"/>
    <w:rsid w:val="00260151"/>
    <w:rsid w:val="002651A6"/>
    <w:rsid w:val="0028428D"/>
    <w:rsid w:val="002973F0"/>
    <w:rsid w:val="002975C1"/>
    <w:rsid w:val="002A0E6E"/>
    <w:rsid w:val="002A33CC"/>
    <w:rsid w:val="002B1808"/>
    <w:rsid w:val="002C1ACE"/>
    <w:rsid w:val="002C3E0D"/>
    <w:rsid w:val="002C4682"/>
    <w:rsid w:val="002D41FB"/>
    <w:rsid w:val="002E0587"/>
    <w:rsid w:val="002E0FDE"/>
    <w:rsid w:val="002E1E1D"/>
    <w:rsid w:val="002F47F4"/>
    <w:rsid w:val="00306C8C"/>
    <w:rsid w:val="00313D57"/>
    <w:rsid w:val="00321444"/>
    <w:rsid w:val="003224A1"/>
    <w:rsid w:val="00326FC1"/>
    <w:rsid w:val="00331CC3"/>
    <w:rsid w:val="00337922"/>
    <w:rsid w:val="00340867"/>
    <w:rsid w:val="00342857"/>
    <w:rsid w:val="0034579A"/>
    <w:rsid w:val="003466A4"/>
    <w:rsid w:val="00355BF0"/>
    <w:rsid w:val="003608CB"/>
    <w:rsid w:val="0036159B"/>
    <w:rsid w:val="003627B6"/>
    <w:rsid w:val="003708D5"/>
    <w:rsid w:val="003777AD"/>
    <w:rsid w:val="0038061A"/>
    <w:rsid w:val="0038063B"/>
    <w:rsid w:val="00380837"/>
    <w:rsid w:val="003812DF"/>
    <w:rsid w:val="00382ED0"/>
    <w:rsid w:val="00382EDD"/>
    <w:rsid w:val="003836CA"/>
    <w:rsid w:val="00385573"/>
    <w:rsid w:val="00386A98"/>
    <w:rsid w:val="00394C7B"/>
    <w:rsid w:val="003A1E9C"/>
    <w:rsid w:val="003A7C94"/>
    <w:rsid w:val="003D0E86"/>
    <w:rsid w:val="003D386A"/>
    <w:rsid w:val="003D60E0"/>
    <w:rsid w:val="003D6BE3"/>
    <w:rsid w:val="003E0E52"/>
    <w:rsid w:val="003F20A5"/>
    <w:rsid w:val="00400B96"/>
    <w:rsid w:val="00405D5F"/>
    <w:rsid w:val="00410914"/>
    <w:rsid w:val="00415AA3"/>
    <w:rsid w:val="00420C60"/>
    <w:rsid w:val="00430432"/>
    <w:rsid w:val="00433759"/>
    <w:rsid w:val="0043494E"/>
    <w:rsid w:val="004414A5"/>
    <w:rsid w:val="00456697"/>
    <w:rsid w:val="00465FE1"/>
    <w:rsid w:val="00472E17"/>
    <w:rsid w:val="004750FD"/>
    <w:rsid w:val="00475491"/>
    <w:rsid w:val="004869FB"/>
    <w:rsid w:val="00491735"/>
    <w:rsid w:val="00494A46"/>
    <w:rsid w:val="004B217F"/>
    <w:rsid w:val="004B3E7F"/>
    <w:rsid w:val="004C07FE"/>
    <w:rsid w:val="004C1E54"/>
    <w:rsid w:val="004C3A5F"/>
    <w:rsid w:val="004D3E4C"/>
    <w:rsid w:val="004D4458"/>
    <w:rsid w:val="004E59CF"/>
    <w:rsid w:val="004E5BD5"/>
    <w:rsid w:val="004F185D"/>
    <w:rsid w:val="005056ED"/>
    <w:rsid w:val="00517E4C"/>
    <w:rsid w:val="00521CF0"/>
    <w:rsid w:val="0053208B"/>
    <w:rsid w:val="00534814"/>
    <w:rsid w:val="00536930"/>
    <w:rsid w:val="00551F02"/>
    <w:rsid w:val="00560A2A"/>
    <w:rsid w:val="00564E53"/>
    <w:rsid w:val="00583277"/>
    <w:rsid w:val="00592C3E"/>
    <w:rsid w:val="005A000F"/>
    <w:rsid w:val="005B173D"/>
    <w:rsid w:val="005B6888"/>
    <w:rsid w:val="005C0D1F"/>
    <w:rsid w:val="005C2244"/>
    <w:rsid w:val="005D0D01"/>
    <w:rsid w:val="005D22A5"/>
    <w:rsid w:val="005F6C65"/>
    <w:rsid w:val="00600F02"/>
    <w:rsid w:val="0060444D"/>
    <w:rsid w:val="006162F1"/>
    <w:rsid w:val="006361FB"/>
    <w:rsid w:val="00637D1A"/>
    <w:rsid w:val="00642776"/>
    <w:rsid w:val="00644FE2"/>
    <w:rsid w:val="00645FB8"/>
    <w:rsid w:val="0064730A"/>
    <w:rsid w:val="00651986"/>
    <w:rsid w:val="006545E8"/>
    <w:rsid w:val="00664736"/>
    <w:rsid w:val="00665980"/>
    <w:rsid w:val="0067640C"/>
    <w:rsid w:val="006836D9"/>
    <w:rsid w:val="00695256"/>
    <w:rsid w:val="00695570"/>
    <w:rsid w:val="00696AF1"/>
    <w:rsid w:val="006A017F"/>
    <w:rsid w:val="006A3B31"/>
    <w:rsid w:val="006A68F3"/>
    <w:rsid w:val="006B4127"/>
    <w:rsid w:val="006C24BF"/>
    <w:rsid w:val="006C40B9"/>
    <w:rsid w:val="006D2E8F"/>
    <w:rsid w:val="006E407E"/>
    <w:rsid w:val="006E678B"/>
    <w:rsid w:val="0070367F"/>
    <w:rsid w:val="00712F3C"/>
    <w:rsid w:val="00714173"/>
    <w:rsid w:val="0071649B"/>
    <w:rsid w:val="007170AA"/>
    <w:rsid w:val="00732B66"/>
    <w:rsid w:val="00737C8F"/>
    <w:rsid w:val="007406DE"/>
    <w:rsid w:val="00743E79"/>
    <w:rsid w:val="00744BEA"/>
    <w:rsid w:val="00751532"/>
    <w:rsid w:val="00751C37"/>
    <w:rsid w:val="0075769B"/>
    <w:rsid w:val="0076714E"/>
    <w:rsid w:val="007757F3"/>
    <w:rsid w:val="007815DC"/>
    <w:rsid w:val="007A47FB"/>
    <w:rsid w:val="007A621C"/>
    <w:rsid w:val="007A637D"/>
    <w:rsid w:val="007B106B"/>
    <w:rsid w:val="007B275D"/>
    <w:rsid w:val="007D25A2"/>
    <w:rsid w:val="007E6AEB"/>
    <w:rsid w:val="007F01EC"/>
    <w:rsid w:val="007F7DF2"/>
    <w:rsid w:val="008079FA"/>
    <w:rsid w:val="00810D58"/>
    <w:rsid w:val="008252FE"/>
    <w:rsid w:val="00832BCD"/>
    <w:rsid w:val="00835B31"/>
    <w:rsid w:val="00841149"/>
    <w:rsid w:val="008646DE"/>
    <w:rsid w:val="00864902"/>
    <w:rsid w:val="00864BE7"/>
    <w:rsid w:val="00865200"/>
    <w:rsid w:val="00871695"/>
    <w:rsid w:val="00891C25"/>
    <w:rsid w:val="008942F3"/>
    <w:rsid w:val="008973EE"/>
    <w:rsid w:val="008D089D"/>
    <w:rsid w:val="008E097E"/>
    <w:rsid w:val="008F0B04"/>
    <w:rsid w:val="008F7C55"/>
    <w:rsid w:val="00903996"/>
    <w:rsid w:val="00912EC2"/>
    <w:rsid w:val="00930694"/>
    <w:rsid w:val="0093521F"/>
    <w:rsid w:val="0094313D"/>
    <w:rsid w:val="00945042"/>
    <w:rsid w:val="00945677"/>
    <w:rsid w:val="00955B84"/>
    <w:rsid w:val="00962F78"/>
    <w:rsid w:val="009635D2"/>
    <w:rsid w:val="00965D5E"/>
    <w:rsid w:val="0096609F"/>
    <w:rsid w:val="009666D5"/>
    <w:rsid w:val="00971600"/>
    <w:rsid w:val="00984342"/>
    <w:rsid w:val="009973B4"/>
    <w:rsid w:val="00997ED5"/>
    <w:rsid w:val="009A1F39"/>
    <w:rsid w:val="009A2CBA"/>
    <w:rsid w:val="009B7EB8"/>
    <w:rsid w:val="009C6506"/>
    <w:rsid w:val="009E30DA"/>
    <w:rsid w:val="009E6193"/>
    <w:rsid w:val="009E7DD1"/>
    <w:rsid w:val="009F7EED"/>
    <w:rsid w:val="00A138EC"/>
    <w:rsid w:val="00A16BEC"/>
    <w:rsid w:val="00A207A9"/>
    <w:rsid w:val="00A229DB"/>
    <w:rsid w:val="00A40681"/>
    <w:rsid w:val="00A41ECE"/>
    <w:rsid w:val="00A74274"/>
    <w:rsid w:val="00A801DE"/>
    <w:rsid w:val="00A90A22"/>
    <w:rsid w:val="00A971DB"/>
    <w:rsid w:val="00A97734"/>
    <w:rsid w:val="00AA5AAA"/>
    <w:rsid w:val="00AA7F40"/>
    <w:rsid w:val="00AB41FC"/>
    <w:rsid w:val="00AB7D2F"/>
    <w:rsid w:val="00AD1550"/>
    <w:rsid w:val="00AD1604"/>
    <w:rsid w:val="00AD6F34"/>
    <w:rsid w:val="00AE25B0"/>
    <w:rsid w:val="00AF0AAB"/>
    <w:rsid w:val="00AF616B"/>
    <w:rsid w:val="00B01BD1"/>
    <w:rsid w:val="00B0458E"/>
    <w:rsid w:val="00B0685B"/>
    <w:rsid w:val="00B12AD8"/>
    <w:rsid w:val="00B17BD9"/>
    <w:rsid w:val="00B23030"/>
    <w:rsid w:val="00B237B9"/>
    <w:rsid w:val="00B23CAA"/>
    <w:rsid w:val="00B31564"/>
    <w:rsid w:val="00B410EE"/>
    <w:rsid w:val="00B46334"/>
    <w:rsid w:val="00B72B4C"/>
    <w:rsid w:val="00B8202D"/>
    <w:rsid w:val="00B929FD"/>
    <w:rsid w:val="00B94D34"/>
    <w:rsid w:val="00B95B99"/>
    <w:rsid w:val="00B95F69"/>
    <w:rsid w:val="00BC2015"/>
    <w:rsid w:val="00BC5975"/>
    <w:rsid w:val="00BC71B0"/>
    <w:rsid w:val="00BD6B80"/>
    <w:rsid w:val="00BD6CAC"/>
    <w:rsid w:val="00BE073B"/>
    <w:rsid w:val="00BF597E"/>
    <w:rsid w:val="00C003E3"/>
    <w:rsid w:val="00C03098"/>
    <w:rsid w:val="00C14685"/>
    <w:rsid w:val="00C17048"/>
    <w:rsid w:val="00C246F0"/>
    <w:rsid w:val="00C31C73"/>
    <w:rsid w:val="00C43C47"/>
    <w:rsid w:val="00C51A36"/>
    <w:rsid w:val="00C52C62"/>
    <w:rsid w:val="00C548BE"/>
    <w:rsid w:val="00C55228"/>
    <w:rsid w:val="00C65FC6"/>
    <w:rsid w:val="00C67E19"/>
    <w:rsid w:val="00C67E47"/>
    <w:rsid w:val="00C71E85"/>
    <w:rsid w:val="00C80D44"/>
    <w:rsid w:val="00C86F9B"/>
    <w:rsid w:val="00C87FEE"/>
    <w:rsid w:val="00C920A9"/>
    <w:rsid w:val="00CB0B65"/>
    <w:rsid w:val="00CB260B"/>
    <w:rsid w:val="00CC2593"/>
    <w:rsid w:val="00CC3579"/>
    <w:rsid w:val="00CE2A9E"/>
    <w:rsid w:val="00CE315A"/>
    <w:rsid w:val="00CE7BE1"/>
    <w:rsid w:val="00CF147A"/>
    <w:rsid w:val="00CF1726"/>
    <w:rsid w:val="00CF5BEE"/>
    <w:rsid w:val="00CF6C5C"/>
    <w:rsid w:val="00D06F59"/>
    <w:rsid w:val="00D10EED"/>
    <w:rsid w:val="00D21450"/>
    <w:rsid w:val="00D32C89"/>
    <w:rsid w:val="00D3392D"/>
    <w:rsid w:val="00D427D2"/>
    <w:rsid w:val="00D429D7"/>
    <w:rsid w:val="00D5266A"/>
    <w:rsid w:val="00D55E69"/>
    <w:rsid w:val="00D562F6"/>
    <w:rsid w:val="00D6092B"/>
    <w:rsid w:val="00D6471C"/>
    <w:rsid w:val="00D8388C"/>
    <w:rsid w:val="00D93BCF"/>
    <w:rsid w:val="00D93CE5"/>
    <w:rsid w:val="00DA0605"/>
    <w:rsid w:val="00DA0DF0"/>
    <w:rsid w:val="00DA15B3"/>
    <w:rsid w:val="00DB30A0"/>
    <w:rsid w:val="00DB3A7B"/>
    <w:rsid w:val="00DB49C7"/>
    <w:rsid w:val="00DB6C13"/>
    <w:rsid w:val="00DB7048"/>
    <w:rsid w:val="00DC5D24"/>
    <w:rsid w:val="00DD3D68"/>
    <w:rsid w:val="00DE053D"/>
    <w:rsid w:val="00DE146D"/>
    <w:rsid w:val="00DE2D80"/>
    <w:rsid w:val="00DE6FCE"/>
    <w:rsid w:val="00DF4E02"/>
    <w:rsid w:val="00DF766A"/>
    <w:rsid w:val="00DF76DB"/>
    <w:rsid w:val="00E038E4"/>
    <w:rsid w:val="00E13D9A"/>
    <w:rsid w:val="00E15335"/>
    <w:rsid w:val="00E165C5"/>
    <w:rsid w:val="00E20B39"/>
    <w:rsid w:val="00E2412D"/>
    <w:rsid w:val="00E32D13"/>
    <w:rsid w:val="00E43822"/>
    <w:rsid w:val="00E43B4F"/>
    <w:rsid w:val="00E456D8"/>
    <w:rsid w:val="00E54035"/>
    <w:rsid w:val="00E62996"/>
    <w:rsid w:val="00E63714"/>
    <w:rsid w:val="00E64A51"/>
    <w:rsid w:val="00E910C0"/>
    <w:rsid w:val="00E97424"/>
    <w:rsid w:val="00EA105E"/>
    <w:rsid w:val="00EA55F7"/>
    <w:rsid w:val="00EB0164"/>
    <w:rsid w:val="00EB65F7"/>
    <w:rsid w:val="00EC42F5"/>
    <w:rsid w:val="00ED0F62"/>
    <w:rsid w:val="00EE31A4"/>
    <w:rsid w:val="00EE4E99"/>
    <w:rsid w:val="00EF36E7"/>
    <w:rsid w:val="00EF7613"/>
    <w:rsid w:val="00F013BB"/>
    <w:rsid w:val="00F06D09"/>
    <w:rsid w:val="00F11201"/>
    <w:rsid w:val="00F120D0"/>
    <w:rsid w:val="00F14D99"/>
    <w:rsid w:val="00F32CB9"/>
    <w:rsid w:val="00F33729"/>
    <w:rsid w:val="00F35CD7"/>
    <w:rsid w:val="00F57725"/>
    <w:rsid w:val="00F606E1"/>
    <w:rsid w:val="00F66C40"/>
    <w:rsid w:val="00F6739D"/>
    <w:rsid w:val="00F70635"/>
    <w:rsid w:val="00F83639"/>
    <w:rsid w:val="00F840C3"/>
    <w:rsid w:val="00F856F5"/>
    <w:rsid w:val="00F87714"/>
    <w:rsid w:val="00F93F58"/>
    <w:rsid w:val="00F956F5"/>
    <w:rsid w:val="00FA0833"/>
    <w:rsid w:val="00FA350D"/>
    <w:rsid w:val="00FA40FF"/>
    <w:rsid w:val="00FB03C3"/>
    <w:rsid w:val="00FB5A65"/>
    <w:rsid w:val="00FD2869"/>
    <w:rsid w:val="00FD3F25"/>
    <w:rsid w:val="00FD5EE5"/>
    <w:rsid w:val="00FD72A6"/>
    <w:rsid w:val="00FE09C9"/>
    <w:rsid w:val="051C765B"/>
    <w:rsid w:val="06EA6A68"/>
    <w:rsid w:val="074F3B5C"/>
    <w:rsid w:val="09C50D82"/>
    <w:rsid w:val="09D47517"/>
    <w:rsid w:val="0EA4329A"/>
    <w:rsid w:val="0FBD3ED2"/>
    <w:rsid w:val="108219C2"/>
    <w:rsid w:val="1D46158C"/>
    <w:rsid w:val="1E8303FD"/>
    <w:rsid w:val="20AA7410"/>
    <w:rsid w:val="24102922"/>
    <w:rsid w:val="247E6123"/>
    <w:rsid w:val="24D21C7F"/>
    <w:rsid w:val="2A526D27"/>
    <w:rsid w:val="2C4F456B"/>
    <w:rsid w:val="31C55888"/>
    <w:rsid w:val="35837AE5"/>
    <w:rsid w:val="39313D59"/>
    <w:rsid w:val="3BE46CCB"/>
    <w:rsid w:val="3C890AAE"/>
    <w:rsid w:val="3D5B08FB"/>
    <w:rsid w:val="3D811737"/>
    <w:rsid w:val="402179D0"/>
    <w:rsid w:val="43C678A6"/>
    <w:rsid w:val="45373C51"/>
    <w:rsid w:val="45F957AA"/>
    <w:rsid w:val="46455907"/>
    <w:rsid w:val="46E35ACC"/>
    <w:rsid w:val="48137B73"/>
    <w:rsid w:val="4890466A"/>
    <w:rsid w:val="492C32B7"/>
    <w:rsid w:val="4BA65EE4"/>
    <w:rsid w:val="4D6D1FE8"/>
    <w:rsid w:val="4E6C1302"/>
    <w:rsid w:val="4ED10111"/>
    <w:rsid w:val="4EF454AB"/>
    <w:rsid w:val="573578F0"/>
    <w:rsid w:val="5A1B20FE"/>
    <w:rsid w:val="5EA12B9A"/>
    <w:rsid w:val="609B2E16"/>
    <w:rsid w:val="62864D18"/>
    <w:rsid w:val="62E11120"/>
    <w:rsid w:val="65B66ED2"/>
    <w:rsid w:val="6B986CCE"/>
    <w:rsid w:val="6BA410C1"/>
    <w:rsid w:val="6E743C03"/>
    <w:rsid w:val="73574564"/>
    <w:rsid w:val="76875D04"/>
    <w:rsid w:val="77167762"/>
    <w:rsid w:val="78F77CE6"/>
    <w:rsid w:val="7A7B72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after="120"/>
      <w:ind w:firstLine="720" w:firstLineChars="200"/>
    </w:pPr>
  </w:style>
  <w:style w:type="paragraph" w:styleId="6">
    <w:name w:val="Block Text"/>
    <w:basedOn w:val="1"/>
    <w:qFormat/>
    <w:uiPriority w:val="0"/>
    <w:pPr>
      <w:tabs>
        <w:tab w:val="left" w:pos="709"/>
        <w:tab w:val="left" w:pos="1069"/>
        <w:tab w:val="left" w:pos="2149"/>
      </w:tabs>
      <w:ind w:left="1429" w:right="194"/>
    </w:pPr>
    <w:rPr>
      <w:rFonts w:ascii="楷体_GB2312" w:eastAsia="楷体_GB2312" w:cs="Times New Roman"/>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rFonts w:cs="Times New Roman"/>
      <w:color w:val="000000"/>
      <w:kern w:val="0"/>
      <w:szCs w:val="24"/>
    </w:rPr>
  </w:style>
  <w:style w:type="character" w:customStyle="1" w:styleId="13">
    <w:name w:val="页眉 Char"/>
    <w:basedOn w:val="12"/>
    <w:link w:val="9"/>
    <w:qFormat/>
    <w:uiPriority w:val="0"/>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fontstyle01"/>
    <w:basedOn w:val="12"/>
    <w:qFormat/>
    <w:uiPriority w:val="0"/>
    <w:rPr>
      <w:rFonts w:hint="eastAsia" w:ascii="宋体" w:hAnsi="宋体" w:eastAsia="宋体"/>
      <w:color w:val="000000"/>
      <w:sz w:val="24"/>
      <w:szCs w:val="24"/>
    </w:rPr>
  </w:style>
  <w:style w:type="character" w:customStyle="1" w:styleId="18">
    <w:name w:val="fontstyle21"/>
    <w:basedOn w:val="12"/>
    <w:qFormat/>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5586</Words>
  <Characters>6117</Characters>
  <Lines>27</Lines>
  <Paragraphs>7</Paragraphs>
  <TotalTime>4</TotalTime>
  <ScaleCrop>false</ScaleCrop>
  <LinksUpToDate>false</LinksUpToDate>
  <CharactersWithSpaces>6299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2022-07-10T16:06:25Z</dcterms:modified>
  <cp:revision>518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96C03542E74A47DBA8AEAB638F6DCDF6</vt:lpwstr>
  </property>
</Properties>
</file>