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南通双耀冲压有限公司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南通市通州区兴仁镇阚庵东村2组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南通市通州区兴仁镇阚庵东村2组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朱卫平</w:t>
            </w:r>
            <w:bookmarkEnd w:id="1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手机"/>
            <w:r>
              <w:rPr>
                <w:sz w:val="21"/>
                <w:szCs w:val="21"/>
              </w:rPr>
              <w:t>13962961008</w:t>
            </w:r>
            <w:bookmarkEnd w:id="2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0765-2022-QO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Q：定转子铁芯、转子的生产和销售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O：定转子铁芯、转子的生产销售所涉及场所的相关职业健康安全管理活动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Q：17.05.03;17.09.00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O：17.05.03;17.09.00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bookmarkStart w:id="34" w:name="_GoBack"/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-490220</wp:posOffset>
                  </wp:positionH>
                  <wp:positionV relativeFrom="paragraph">
                    <wp:posOffset>-1067435</wp:posOffset>
                  </wp:positionV>
                  <wp:extent cx="7602220" cy="11897995"/>
                  <wp:effectExtent l="0" t="0" r="5080" b="1905"/>
                  <wp:wrapNone/>
                  <wp:docPr id="3" name="图片 3" descr="扫描全能王 2022-07-07 17.57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2-07-07 17.57_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2220" cy="1189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4"/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2022年06月10日 上午至2022年06月10日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Q:17.05.03,17.09.00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O:17.05.03,17.09.00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Q:17.05.03,17.09.00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43815</wp:posOffset>
                  </wp:positionV>
                  <wp:extent cx="346710" cy="266700"/>
                  <wp:effectExtent l="0" t="0" r="8890" b="0"/>
                  <wp:wrapNone/>
                  <wp:docPr id="1" name="图片 1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2022.6.9</w:t>
            </w:r>
          </w:p>
        </w:tc>
      </w:tr>
    </w:tbl>
    <w:p/>
    <w:p>
      <w:pPr>
        <w:snapToGrid w:val="0"/>
        <w:spacing w:before="163" w:beforeLines="50" w:line="400" w:lineRule="exact"/>
        <w:ind w:firstLine="3915" w:firstLineChars="1300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630"/>
        <w:gridCol w:w="1126"/>
        <w:gridCol w:w="567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.0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center"/>
              <w:rPr>
                <w:rFonts w:hint="default" w:ascii="宋体" w:hAnsi="宋体" w:cs="宋体"/>
                <w:spacing w:val="-6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首次会议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腾讯会议：473682349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11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安全事务代表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宋体"/>
                <w:sz w:val="21"/>
                <w:szCs w:val="21"/>
              </w:rPr>
              <w:t>QMS：4.1组织及其环境;4.2相关方需求与期望;4.3确定体系范围;4.4体系及其过程;5.1领导作用与承诺;5.2方针;5.3组织的角色、职责和权限；6.1应对风险和机遇的措施；6.2目标及其实现的策划；6.3变更的策划；7.1.1资源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9.1.3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分析和评价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9.2内部审核；9.3管理评审；10.1改进 总则；10.3持续改进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OHSMS：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7.4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9.3管理评审；10.1事件、不符合和纠正措施；10.3持续改进。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国家/地方监督抽查情况；顾客满意、相关方投诉及处理情况，验证企业相关资质证明的有效性；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一阶段问题整改情况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  <w:jc w:val="center"/>
        </w:trPr>
        <w:tc>
          <w:tcPr>
            <w:tcW w:w="11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QMS：5.3组织的角色、职责和权限；6.2目标及其实现的策划；7.1.2人员；7.1.6组织知识；7.2能力；7.3意识；7.4沟通；7.5文件化信息；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OHSMS：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5.3组织的角色、职责和权限；6.1.3法律法规要求和其他要求；6.1.2危险源辨识和职业安全风险评价； 6.2目标及其实现的策划；7.2能力；7.3意识；7.5文件化信息；8.1运行策划和控制；8.2应急准备和响应；9.1.1监视、测量、分析和评价总则； 9.1.2法律法规要求和其他要求的合规性评价；9.2内部审核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10.2纠正措施；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0～12:00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>QMS：5.3组织的角色、职责和权限；6.2目标及其实现的策划；8.2产品和服务的要求；8.4外部提供的控制；8.5.1生产和服务提供的控制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9.1.2顾客满意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2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>OHSMS：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11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0～1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生产技术部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>QMS：5.3组织的角色、职责和权限；6.2目标及其实现的策划；7.1.3基础设施；7.1.4运作环境；7.1.5监视和测量资源；8.1运行策划和控制；8.3设计开发控制（不适用时确认）；8.5.1生产和服务提供的控制；8.5.2标识和可追溯性；8.5.3顾客或外部供方的财产；8.5.4防护；8.5.5交付后的活动8.5.6更改控制；8.6产品和服务放行；8.7不合格输出的控制；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118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0～17:00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生产技术部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>OHSMS：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18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17:00～17:30</w:t>
            </w:r>
          </w:p>
        </w:tc>
        <w:tc>
          <w:tcPr>
            <w:tcW w:w="6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补充及跟踪审核：必要部门、必要条款；审核组与受审核方领导层沟通；末次会：综合评价QMS\OHSMS管理体系运行总体情况及改进要求，宣告审核发现及审核结论。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腾讯会议：293773350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腾讯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会议；微信视频、语音、群沟通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FF21FA3"/>
    <w:rsid w:val="1CDB08B1"/>
    <w:rsid w:val="22034BB2"/>
    <w:rsid w:val="22E019F8"/>
    <w:rsid w:val="29EF2168"/>
    <w:rsid w:val="2C3E221D"/>
    <w:rsid w:val="36FA41D9"/>
    <w:rsid w:val="4E58738D"/>
    <w:rsid w:val="51C4760A"/>
    <w:rsid w:val="5A7A5DBC"/>
    <w:rsid w:val="63771F1D"/>
    <w:rsid w:val="685D61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22</TotalTime>
  <ScaleCrop>false</ScaleCrop>
  <LinksUpToDate>false</LinksUpToDate>
  <CharactersWithSpaces>5345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2022-07-10T17:13:59Z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