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0765-2022-QO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南通双耀冲压有限公司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2022年06月09日 上午至2022年06月09日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南通市通州区兴仁镇阚庵东村2组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Q:17.05.03,17.09.00</w:t>
            </w:r>
          </w:p>
          <w:p>
            <w:pPr>
              <w:spacing w:line="240" w:lineRule="exact"/>
              <w:jc w:val="center"/>
              <w:rPr>
                <w:b/>
                <w:color w:val="000000"/>
                <w:szCs w:val="21"/>
              </w:rPr>
            </w:pPr>
            <w:r>
              <w:rPr>
                <w:b/>
                <w:color w:val="000000"/>
                <w:szCs w:val="21"/>
              </w:rPr>
              <w:t>O:17.05.03,17.09.00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r>
              <w:rPr>
                <w:b/>
                <w:color w:val="000000"/>
                <w:szCs w:val="21"/>
              </w:rPr>
              <w:t>Q:17.05.03,17.09.00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南通双耀冲压有限公司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南通市通州区兴仁镇阚庵东村2组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226352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南通市通州区兴仁镇阚庵东村2组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226352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朱卫平</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13962961008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王建均</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朱卫平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lang w:eastAsia="ja-JP"/>
              </w:rPr>
              <w:t>定转子铁芯、转子的生产和销售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numPr>
                <w:ilvl w:val="0"/>
                <w:numId w:val="0"/>
              </w:num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定、转子铁芯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落料</w:t>
            </w:r>
            <w:r>
              <w:rPr>
                <w:rFonts w:hint="eastAsia" w:ascii="宋体" w:hAnsi="宋体" w:eastAsia="宋体" w:cs="宋体"/>
                <w:sz w:val="21"/>
                <w:szCs w:val="21"/>
              </w:rPr>
              <w:t>----</w:t>
            </w:r>
            <w:r>
              <w:rPr>
                <w:rFonts w:hint="eastAsia" w:ascii="宋体" w:hAnsi="宋体" w:eastAsia="宋体" w:cs="宋体"/>
                <w:sz w:val="21"/>
                <w:szCs w:val="21"/>
                <w:lang w:val="en-US" w:eastAsia="zh-CN"/>
              </w:rPr>
              <w:t>冲槽</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打包</w:t>
            </w:r>
            <w:r>
              <w:rPr>
                <w:rFonts w:hint="eastAsia" w:ascii="宋体" w:hAnsi="宋体" w:cs="宋体"/>
                <w:sz w:val="21"/>
                <w:szCs w:val="21"/>
                <w:lang w:val="en-US" w:eastAsia="zh-CN"/>
              </w:rPr>
              <w:t>。</w:t>
            </w:r>
          </w:p>
          <w:p>
            <w:pPr>
              <w:tabs>
                <w:tab w:val="left" w:pos="360"/>
              </w:tabs>
              <w:ind w:left="360" w:hanging="360"/>
              <w:rPr>
                <w:rFonts w:ascii="宋体"/>
                <w:color w:val="000000"/>
                <w:szCs w:val="21"/>
              </w:rPr>
            </w:pPr>
            <w:r>
              <w:rPr>
                <w:rFonts w:hint="eastAsia" w:ascii="宋体" w:hAnsi="宋体" w:eastAsia="宋体" w:cs="宋体"/>
                <w:sz w:val="21"/>
                <w:szCs w:val="21"/>
                <w:lang w:val="en-US" w:eastAsia="zh-CN"/>
              </w:rPr>
              <w:t>转子</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压片----铸铝-----整理</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包装、入库</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t>定转子铁芯、转子的生产和销售</w:t>
            </w:r>
          </w:p>
        </w:tc>
        <w:tc>
          <w:tcPr>
            <w:tcW w:w="2006" w:type="dxa"/>
            <w:gridSpan w:val="3"/>
            <w:vAlign w:val="center"/>
          </w:tcPr>
          <w:p>
            <w:pPr>
              <w:spacing w:line="400" w:lineRule="exact"/>
              <w:rPr>
                <w:rFonts w:ascii="宋体" w:hAnsi="宋体"/>
                <w:b/>
                <w:color w:val="000000"/>
                <w:szCs w:val="21"/>
              </w:rPr>
            </w:pPr>
            <w:r>
              <w:t>17.05.03;17.09.00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定转子铁芯、转子的生产销售所涉及场所的相关职业健康安全管理活动</w:t>
            </w:r>
          </w:p>
        </w:tc>
        <w:tc>
          <w:tcPr>
            <w:tcW w:w="2006" w:type="dxa"/>
            <w:gridSpan w:val="3"/>
            <w:vAlign w:val="center"/>
          </w:tcPr>
          <w:p>
            <w:pPr>
              <w:spacing w:line="400" w:lineRule="exact"/>
              <w:rPr>
                <w:rFonts w:ascii="宋体" w:hAnsi="宋体"/>
                <w:b/>
                <w:color w:val="000000"/>
                <w:szCs w:val="21"/>
              </w:rPr>
            </w:pPr>
            <w:r>
              <w:t>17.05.03;17.09.00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66"/>
        <w:gridCol w:w="13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166"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0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rPr>
                <w:rFonts w:eastAsia="黑体"/>
                <w:szCs w:val="21"/>
                <w:lang w:val="de-DE" w:eastAsia="ja-JP"/>
              </w:rPr>
            </w:pPr>
            <w:r>
              <w:rPr>
                <w:rFonts w:hint="eastAsia"/>
                <w:lang w:val="de-DE" w:eastAsia="ja-JP"/>
              </w:rPr>
              <w:t>南通双耀冲压有限公司</w:t>
            </w:r>
            <w:r>
              <w:rPr>
                <w:rFonts w:hint="eastAsia"/>
                <w:lang w:val="en-US" w:eastAsia="zh-CN"/>
              </w:rPr>
              <w:t>/</w:t>
            </w:r>
            <w:r>
              <w:rPr>
                <w:rFonts w:hint="eastAsia"/>
                <w:lang w:val="de-DE" w:eastAsia="ja-JP"/>
              </w:rPr>
              <w:t>南通市通州区兴仁镇阚庵东村2组</w:t>
            </w:r>
          </w:p>
        </w:tc>
        <w:tc>
          <w:tcPr>
            <w:tcW w:w="2267" w:type="dxa"/>
            <w:vAlign w:val="top"/>
          </w:tcPr>
          <w:p>
            <w:pPr>
              <w:rPr>
                <w:rFonts w:eastAsia="黑体"/>
                <w:szCs w:val="21"/>
                <w:lang w:val="de-DE" w:eastAsia="ja-JP"/>
              </w:rPr>
            </w:pPr>
            <w:r>
              <w:rPr>
                <w:rFonts w:hint="eastAsia"/>
                <w:lang w:val="de-DE" w:eastAsia="ja-JP"/>
              </w:rPr>
              <w:t>南通市通州区兴仁镇阚庵东村2组</w:t>
            </w:r>
          </w:p>
        </w:tc>
        <w:tc>
          <w:tcPr>
            <w:tcW w:w="571" w:type="dxa"/>
            <w:vAlign w:val="center"/>
          </w:tcPr>
          <w:p>
            <w:pPr>
              <w:rPr>
                <w:rFonts w:eastAsia="黑体"/>
                <w:szCs w:val="21"/>
                <w:lang w:eastAsia="ja-JP"/>
              </w:rPr>
            </w:pPr>
            <w:r>
              <w:rPr>
                <w:rFonts w:hint="eastAsia"/>
                <w:lang w:val="en-US" w:eastAsia="zh-CN"/>
              </w:rPr>
              <w:t>22</w:t>
            </w:r>
          </w:p>
        </w:tc>
        <w:tc>
          <w:tcPr>
            <w:tcW w:w="2166" w:type="dxa"/>
            <w:vAlign w:val="center"/>
          </w:tcPr>
          <w:p>
            <w:pPr>
              <w:rPr>
                <w:rFonts w:eastAsia="黑体" w:cs="Arial"/>
                <w:sz w:val="21"/>
                <w:szCs w:val="21"/>
                <w:lang w:val="en-US" w:eastAsia="ja-JP"/>
              </w:rPr>
            </w:pPr>
            <w:r>
              <w:rPr>
                <w:rFonts w:hint="eastAsia"/>
                <w:lang w:eastAsia="ja-JP"/>
              </w:rPr>
              <w:t>定转子铁芯、转子的生产和销售</w:t>
            </w:r>
          </w:p>
        </w:tc>
        <w:tc>
          <w:tcPr>
            <w:tcW w:w="1306" w:type="dxa"/>
            <w:vAlign w:val="center"/>
          </w:tcPr>
          <w:p>
            <w:pPr>
              <w:rPr>
                <w:rFonts w:hint="eastAsia" w:ascii="宋体" w:hAnsi="宋体"/>
                <w:b/>
                <w:sz w:val="21"/>
                <w:szCs w:val="21"/>
              </w:rPr>
            </w:pPr>
            <w:r>
              <w:rPr>
                <w:rFonts w:hint="eastAsia" w:ascii="宋体" w:hAnsi="宋体"/>
                <w:b/>
                <w:sz w:val="21"/>
                <w:szCs w:val="21"/>
              </w:rPr>
              <w:t>GB/T19001-2016</w:t>
            </w:r>
          </w:p>
          <w:p>
            <w:pPr>
              <w:rPr>
                <w:rFonts w:eastAsia="黑体"/>
                <w:szCs w:val="21"/>
                <w:lang w:eastAsia="ja-JP"/>
              </w:rPr>
            </w:pPr>
            <w:r>
              <w:rPr>
                <w:rFonts w:hint="eastAsia" w:ascii="宋体" w:hAnsi="宋体"/>
                <w:b/>
                <w:sz w:val="21"/>
                <w:szCs w:val="21"/>
              </w:rPr>
              <w:t>GB/T45001-2020</w:t>
            </w:r>
          </w:p>
        </w:tc>
        <w:tc>
          <w:tcPr>
            <w:tcW w:w="668" w:type="dxa"/>
            <w:shd w:val="clear" w:color="auto" w:fill="FFFFFF"/>
            <w:vAlign w:val="top"/>
          </w:tcPr>
          <w:p>
            <w:pPr>
              <w:rPr>
                <w:rFonts w:eastAsia="黑体"/>
                <w:szCs w:val="21"/>
              </w:rPr>
            </w:pPr>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66" w:type="dxa"/>
            <w:vAlign w:val="center"/>
          </w:tcPr>
          <w:p>
            <w:pPr>
              <w:spacing w:before="40" w:after="40"/>
              <w:rPr>
                <w:rFonts w:eastAsia="黑体"/>
                <w:szCs w:val="21"/>
                <w:lang w:eastAsia="ja-JP"/>
              </w:rPr>
            </w:pPr>
          </w:p>
        </w:tc>
        <w:tc>
          <w:tcPr>
            <w:tcW w:w="130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66" w:type="dxa"/>
            <w:vAlign w:val="center"/>
          </w:tcPr>
          <w:p>
            <w:pPr>
              <w:spacing w:before="40" w:after="40"/>
              <w:rPr>
                <w:rFonts w:eastAsia="黑体"/>
                <w:szCs w:val="21"/>
                <w:lang w:eastAsia="ja-JP"/>
              </w:rPr>
            </w:pPr>
          </w:p>
        </w:tc>
        <w:tc>
          <w:tcPr>
            <w:tcW w:w="130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66" w:type="dxa"/>
            <w:vAlign w:val="center"/>
          </w:tcPr>
          <w:p>
            <w:pPr>
              <w:spacing w:before="40" w:after="40"/>
              <w:rPr>
                <w:rFonts w:eastAsia="黑体"/>
                <w:szCs w:val="21"/>
                <w:lang w:eastAsia="ja-JP"/>
              </w:rPr>
            </w:pPr>
          </w:p>
        </w:tc>
        <w:tc>
          <w:tcPr>
            <w:tcW w:w="130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66" w:type="dxa"/>
            <w:vAlign w:val="center"/>
          </w:tcPr>
          <w:p>
            <w:pPr>
              <w:spacing w:before="40" w:after="40"/>
              <w:rPr>
                <w:rFonts w:eastAsia="黑体"/>
                <w:szCs w:val="21"/>
                <w:lang w:eastAsia="ja-JP"/>
              </w:rPr>
            </w:pPr>
          </w:p>
        </w:tc>
        <w:tc>
          <w:tcPr>
            <w:tcW w:w="130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于2021年6月5日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11.已根据策划和标准要求于2022年3月21-22日由有能力的人实施了内部审核，覆盖所有场所、部门和过程，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03"/>
        <w:gridCol w:w="179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5"/>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5"/>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4"/>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4"/>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2022-06-09</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cs="宋体" w:eastAsiaTheme="minorEastAsia"/>
          <w:kern w:val="0"/>
          <w:szCs w:val="21"/>
          <w:lang w:eastAsia="zh-CN"/>
        </w:rPr>
        <w:drawing>
          <wp:anchor distT="0" distB="0" distL="114300" distR="114300" simplePos="0" relativeHeight="251661312" behindDoc="0" locked="0" layoutInCell="1" allowOverlap="1">
            <wp:simplePos x="0" y="0"/>
            <wp:positionH relativeFrom="column">
              <wp:posOffset>1869440</wp:posOffset>
            </wp:positionH>
            <wp:positionV relativeFrom="paragraph">
              <wp:posOffset>328295</wp:posOffset>
            </wp:positionV>
            <wp:extent cx="449580" cy="345440"/>
            <wp:effectExtent l="0" t="0" r="7620" b="1016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6"/>
                    <a:stretch>
                      <a:fillRect/>
                    </a:stretch>
                  </pic:blipFill>
                  <pic:spPr>
                    <a:xfrm>
                      <a:off x="0" y="0"/>
                      <a:ext cx="449580" cy="34544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4023360</wp:posOffset>
            </wp:positionH>
            <wp:positionV relativeFrom="paragraph">
              <wp:posOffset>36195</wp:posOffset>
            </wp:positionV>
            <wp:extent cx="404495" cy="335915"/>
            <wp:effectExtent l="0" t="0" r="0" b="762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7"/>
                    <a:stretch>
                      <a:fillRect/>
                    </a:stretch>
                  </pic:blipFill>
                  <pic:spPr>
                    <a:xfrm>
                      <a:off x="0" y="0"/>
                      <a:ext cx="404495" cy="335915"/>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2022.6.9</w:t>
      </w:r>
      <w:bookmarkStart w:id="36" w:name="_GoBack"/>
      <w:bookmarkEnd w:id="36"/>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JhN2U4Y2Q5MGE2Mzc1MDlkNDVmNzZkYmRlMTYyYjcifQ=="/>
  </w:docVars>
  <w:rsids>
    <w:rsidRoot w:val="00000000"/>
    <w:rsid w:val="508F7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2022-07-10T17:52:50Z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