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0730-2022-QJEO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重庆高泰建设工程有限公司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ascii="宋体" w:hAnsi="宋体" w:eastAsia="宋体" w:cs="宋体"/>
          <w:sz w:val="28"/>
          <w:szCs w:val="28"/>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ascii="宋体" w:hAnsi="宋体" w:eastAsia="宋体" w:cs="宋体"/>
          <w:sz w:val="28"/>
          <w:szCs w:val="28"/>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重庆高泰建设工程有限公司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重庆市秀山土家族苗族自治县乌杨街道园区路21号（县工业园区周转房G栋2-13）</w:t>
            </w:r>
            <w:bookmarkEnd w:id="5"/>
          </w:p>
        </w:tc>
        <w:tc>
          <w:tcPr>
            <w:tcW w:w="1242" w:type="dxa"/>
            <w:vMerge w:val="restart"/>
            <w:vAlign w:val="center"/>
          </w:tcPr>
          <w:p>
            <w:r>
              <w:rPr>
                <w:rFonts w:hint="eastAsia"/>
              </w:rPr>
              <w:t>邮编</w:t>
            </w:r>
          </w:p>
        </w:tc>
        <w:tc>
          <w:tcPr>
            <w:tcW w:w="1771" w:type="dxa"/>
          </w:tcPr>
          <w:p>
            <w:bookmarkStart w:id="6" w:name="注册邮编"/>
            <w:r>
              <w:t>400000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重庆市江北区北滨一路456号4-4</w:t>
            </w:r>
            <w:bookmarkEnd w:id="7"/>
          </w:p>
        </w:tc>
        <w:tc>
          <w:tcPr>
            <w:tcW w:w="1242" w:type="dxa"/>
            <w:vMerge w:val="continue"/>
            <w:vAlign w:val="center"/>
          </w:tcPr>
          <w:p/>
        </w:tc>
        <w:tc>
          <w:tcPr>
            <w:tcW w:w="1771" w:type="dxa"/>
          </w:tcPr>
          <w:p>
            <w:bookmarkStart w:id="8" w:name="办公邮编"/>
            <w: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刘勋力</w:t>
            </w:r>
            <w:bookmarkEnd w:id="9"/>
          </w:p>
        </w:tc>
        <w:tc>
          <w:tcPr>
            <w:tcW w:w="1313" w:type="dxa"/>
            <w:vAlign w:val="center"/>
          </w:tcPr>
          <w:p>
            <w:r>
              <w:rPr>
                <w:rFonts w:hint="eastAsia"/>
              </w:rPr>
              <w:t>电话.</w:t>
            </w:r>
          </w:p>
        </w:tc>
        <w:tc>
          <w:tcPr>
            <w:tcW w:w="2180" w:type="dxa"/>
            <w:vAlign w:val="center"/>
          </w:tcPr>
          <w:p>
            <w:bookmarkStart w:id="10" w:name="联系人电话"/>
            <w:r>
              <w:t>18623370906</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龚道钰</w:t>
            </w:r>
            <w:bookmarkEnd w:id="12"/>
          </w:p>
        </w:tc>
        <w:tc>
          <w:tcPr>
            <w:tcW w:w="1313" w:type="dxa"/>
            <w:vAlign w:val="center"/>
          </w:tcPr>
          <w:p>
            <w:r>
              <w:rPr>
                <w:rFonts w:hint="eastAsia"/>
              </w:rPr>
              <w:t>管理者代表</w:t>
            </w:r>
          </w:p>
        </w:tc>
        <w:tc>
          <w:tcPr>
            <w:tcW w:w="2180" w:type="dxa"/>
          </w:tcPr>
          <w:p>
            <w:bookmarkStart w:id="13" w:name="管理者代表"/>
            <w:r>
              <w:t>龚道钰</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生产/服务流程图：</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项目投标—筹建项目部—项目施工策划—施工准备—现场施工—</w:t>
            </w:r>
            <w:r>
              <w:rPr>
                <w:rFonts w:hint="eastAsia" w:cs="Times New Roman"/>
                <w:color w:val="auto"/>
                <w:highlight w:val="none"/>
                <w:lang w:val="en-US" w:eastAsia="zh-CN"/>
              </w:rPr>
              <w:t>分部分项工程验收</w:t>
            </w:r>
            <w:r>
              <w:rPr>
                <w:rFonts w:hint="eastAsia" w:ascii="Times New Roman" w:hAnsi="Times New Roman" w:eastAsia="宋体" w:cs="Times New Roman"/>
                <w:color w:val="auto"/>
                <w:highlight w:val="none"/>
                <w:lang w:val="en-US" w:eastAsia="zh-CN"/>
              </w:rPr>
              <w:t>—竣工验收—保修期管理</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2022年06月10日 上午至2022年06月12日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szCs w:val="24"/>
              </w:rPr>
              <w:t>■现场结合远程审核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9" w:name="二阶段勾选"/>
            <w:r>
              <w:rPr>
                <w:rFonts w:hint="eastAsia"/>
              </w:rPr>
              <w:t>■</w:t>
            </w:r>
            <w:bookmarkEnd w:id="19"/>
            <w:r>
              <w:rPr>
                <w:rFonts w:hint="eastAsia"/>
              </w:rPr>
              <w:t>初审二阶段</w:t>
            </w:r>
            <w:bookmarkStart w:id="20" w:name="监督勾选Add1"/>
            <w:r>
              <w:rPr>
                <w:rFonts w:hint="eastAsia"/>
              </w:rPr>
              <w:t>□</w:t>
            </w:r>
            <w:bookmarkEnd w:id="20"/>
            <w:r>
              <w:rPr>
                <w:rFonts w:hint="eastAsia"/>
              </w:rPr>
              <w:t>监督第</w:t>
            </w:r>
            <w:bookmarkStart w:id="21" w:name="监督次数"/>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重庆市江北区北滨一路456号4-4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4" w:name="审核范围"/>
            <w:r>
              <w:t>EC：资质范围内市政公用工程施工，地基基础工程专业承包；</w:t>
            </w:r>
          </w:p>
          <w:p>
            <w:r>
              <w:t>E：资质范围内市政公用工程施工，地基基础工程专业承包所涉及场所的相关环境管理活动</w:t>
            </w:r>
          </w:p>
          <w:p>
            <w:r>
              <w:t>O：资质范围内市政公用工程施工，地基基础工程专业承包所涉及场所的相关职业健康安全管理活动</w:t>
            </w:r>
            <w:bookmarkEnd w:id="2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5" w:name="专业代码"/>
            <w:r>
              <w:t>EC：28.04.01;28.09.02</w:t>
            </w:r>
          </w:p>
          <w:p>
            <w:r>
              <w:t>E：28.04.01;28.09.02</w:t>
            </w:r>
          </w:p>
          <w:p>
            <w:r>
              <w:t>O：28.04.01;28.09.02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    J10.3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eastAsia="宋体" w:cs="Times New Roman"/>
                <w:color w:val="auto"/>
                <w:szCs w:val="18"/>
              </w:rPr>
              <w:t>2022 年 1 月 1 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不适用</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931"/>
        <w:gridCol w:w="1306"/>
        <w:gridCol w:w="18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931" w:type="dxa"/>
            <w:shd w:val="clear" w:color="auto" w:fill="F3F3F3"/>
            <w:tcMar>
              <w:left w:w="57" w:type="dxa"/>
              <w:right w:w="57" w:type="dxa"/>
            </w:tcMar>
          </w:tcPr>
          <w:p>
            <w:r>
              <w:rPr>
                <w:rFonts w:hint="eastAsia"/>
              </w:rPr>
              <w:t>员工人数</w:t>
            </w:r>
          </w:p>
        </w:tc>
        <w:tc>
          <w:tcPr>
            <w:tcW w:w="1306" w:type="dxa"/>
            <w:shd w:val="clear" w:color="auto" w:fill="F3F3F3"/>
            <w:tcMar>
              <w:left w:w="57" w:type="dxa"/>
              <w:right w:w="57" w:type="dxa"/>
            </w:tcMar>
          </w:tcPr>
          <w:p>
            <w:r>
              <w:rPr>
                <w:rFonts w:hint="eastAsia"/>
              </w:rPr>
              <w:t>审核范围（产品和过程）</w:t>
            </w:r>
          </w:p>
          <w:p/>
          <w:p/>
        </w:tc>
        <w:tc>
          <w:tcPr>
            <w:tcW w:w="18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重庆高泰建设工程有限公司</w:t>
            </w:r>
            <w:r>
              <w:rPr>
                <w:rFonts w:hint="eastAsia"/>
                <w:sz w:val="21"/>
                <w:szCs w:val="21"/>
                <w:lang w:val="en-US" w:eastAsia="zh-CN"/>
              </w:rPr>
              <w:t>/</w:t>
            </w:r>
            <w:r>
              <w:rPr>
                <w:rFonts w:asciiTheme="minorEastAsia" w:hAnsiTheme="minorEastAsia" w:eastAsiaTheme="minorEastAsia"/>
                <w:sz w:val="20"/>
              </w:rPr>
              <w:t>重庆市秀山土家族苗族自治县乌杨街道园区路21号（县工业园区周转房G栋2-13）</w:t>
            </w:r>
          </w:p>
        </w:tc>
        <w:tc>
          <w:tcPr>
            <w:tcW w:w="2267" w:type="dxa"/>
          </w:tcPr>
          <w:p>
            <w:pPr>
              <w:jc w:val="left"/>
              <w:rPr>
                <w:lang w:val="de-DE" w:eastAsia="ja-JP"/>
              </w:rPr>
            </w:pPr>
            <w:r>
              <w:rPr>
                <w:rFonts w:asciiTheme="minorEastAsia" w:hAnsiTheme="minorEastAsia" w:eastAsiaTheme="minorEastAsia"/>
                <w:sz w:val="20"/>
              </w:rPr>
              <w:t>重庆市江北区北滨一路456号4-4</w:t>
            </w:r>
          </w:p>
        </w:tc>
        <w:tc>
          <w:tcPr>
            <w:tcW w:w="931" w:type="dxa"/>
            <w:vAlign w:val="center"/>
          </w:tcPr>
          <w:p>
            <w:pPr>
              <w:rPr>
                <w:rFonts w:hint="default" w:eastAsia="宋体"/>
                <w:lang w:val="en-US" w:eastAsia="zh-CN"/>
              </w:rPr>
            </w:pPr>
            <w:r>
              <w:rPr>
                <w:rFonts w:hint="eastAsia"/>
                <w:lang w:val="en-US" w:eastAsia="zh-CN"/>
              </w:rPr>
              <w:t>总人数15人,含临时场所10人</w:t>
            </w:r>
          </w:p>
        </w:tc>
        <w:tc>
          <w:tcPr>
            <w:tcW w:w="1306" w:type="dxa"/>
            <w:vAlign w:val="center"/>
          </w:tcPr>
          <w:p>
            <w:pPr>
              <w:rPr>
                <w:lang w:eastAsia="ja-JP"/>
              </w:rPr>
            </w:pPr>
            <w:r>
              <w:rPr>
                <w:sz w:val="20"/>
              </w:rPr>
              <w:t>资质范围内市政公用工程施工，地基基础工程专业承包</w:t>
            </w:r>
          </w:p>
        </w:tc>
        <w:tc>
          <w:tcPr>
            <w:tcW w:w="1806" w:type="dxa"/>
            <w:vAlign w:val="center"/>
          </w:tcPr>
          <w:p>
            <w:pPr>
              <w:spacing w:before="40" w:after="40"/>
              <w:rPr>
                <w:szCs w:val="21"/>
                <w:highlight w:val="none"/>
              </w:rPr>
            </w:pPr>
            <w:r>
              <w:rPr>
                <w:rFonts w:hint="eastAsia"/>
                <w:szCs w:val="21"/>
                <w:highlight w:val="none"/>
              </w:rPr>
              <w:t xml:space="preserve">GB/T 50430-2017 </w:t>
            </w:r>
          </w:p>
          <w:p>
            <w:pPr>
              <w:spacing w:before="40" w:after="40"/>
              <w:rPr>
                <w:szCs w:val="21"/>
                <w:highlight w:val="none"/>
              </w:rPr>
            </w:pPr>
            <w:r>
              <w:rPr>
                <w:rFonts w:hint="eastAsia"/>
                <w:szCs w:val="21"/>
                <w:highlight w:val="none"/>
              </w:rPr>
              <w:t>GB/T19001-2016</w:t>
            </w:r>
          </w:p>
          <w:p>
            <w:pPr>
              <w:spacing w:before="40" w:after="40"/>
              <w:rPr>
                <w:szCs w:val="21"/>
                <w:highlight w:val="none"/>
              </w:rPr>
            </w:pPr>
            <w:r>
              <w:rPr>
                <w:rFonts w:hint="eastAsia"/>
                <w:szCs w:val="21"/>
                <w:highlight w:val="none"/>
              </w:rPr>
              <w:t xml:space="preserve">GB/T24001-2016 </w:t>
            </w:r>
          </w:p>
          <w:p>
            <w:pPr>
              <w:spacing w:before="40" w:after="40"/>
              <w:rPr>
                <w:lang w:eastAsia="ja-JP"/>
              </w:rPr>
            </w:pPr>
            <w:r>
              <w:rPr>
                <w:rFonts w:hint="eastAsia"/>
                <w:szCs w:val="21"/>
                <w:highlight w:val="none"/>
              </w:rPr>
              <w:t>GB/T 45001-2020</w:t>
            </w:r>
          </w:p>
        </w:tc>
        <w:tc>
          <w:tcPr>
            <w:tcW w:w="668" w:type="dxa"/>
            <w:shd w:val="clear" w:color="auto" w:fill="FFFFFF"/>
            <w:vAlign w:val="top"/>
          </w:tcPr>
          <w:p>
            <w:pPr>
              <w:spacing w:before="40" w:after="40"/>
            </w:pP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重庆高泰建设工程有限公司</w:t>
            </w:r>
            <w:r>
              <w:rPr>
                <w:rFonts w:hint="eastAsia"/>
                <w:sz w:val="21"/>
                <w:szCs w:val="21"/>
                <w:lang w:val="en-US" w:eastAsia="zh-CN"/>
              </w:rPr>
              <w:t>/</w:t>
            </w:r>
            <w:r>
              <w:rPr>
                <w:rFonts w:asciiTheme="minorEastAsia" w:hAnsiTheme="minorEastAsia" w:eastAsiaTheme="minorEastAsia"/>
                <w:sz w:val="20"/>
              </w:rPr>
              <w:t>重庆市秀山土家族苗族自治县乌杨街道园区路21号（县工业园区周转房G栋2-13）</w:t>
            </w:r>
          </w:p>
        </w:tc>
        <w:tc>
          <w:tcPr>
            <w:tcW w:w="2267" w:type="dxa"/>
            <w:vAlign w:val="center"/>
          </w:tcPr>
          <w:p>
            <w:pPr>
              <w:spacing w:line="280" w:lineRule="exact"/>
              <w:jc w:val="left"/>
              <w:rPr>
                <w:rFonts w:hint="eastAsia" w:ascii="Times New Roman" w:hAnsi="Times New Roman" w:cs="Times New Roman"/>
              </w:rPr>
            </w:pPr>
            <w:r>
              <w:rPr>
                <w:rFonts w:hint="eastAsia" w:ascii="Times New Roman" w:hAnsi="Times New Roman" w:cs="Times New Roman"/>
              </w:rPr>
              <w:t>重庆市江北区江北城</w:t>
            </w:r>
          </w:p>
          <w:p>
            <w:pPr>
              <w:spacing w:line="280" w:lineRule="exact"/>
              <w:jc w:val="left"/>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临时场所</w:t>
            </w:r>
            <w:r>
              <w:rPr>
                <w:rFonts w:hint="eastAsia" w:ascii="Times New Roman" w:hAnsi="Times New Roman" w:cs="Times New Roman"/>
                <w:lang w:eastAsia="zh-CN"/>
              </w:rPr>
              <w:t>）</w:t>
            </w:r>
          </w:p>
        </w:tc>
        <w:tc>
          <w:tcPr>
            <w:tcW w:w="931" w:type="dxa"/>
            <w:vAlign w:val="center"/>
          </w:tcPr>
          <w:p>
            <w:pPr>
              <w:rPr>
                <w:rFonts w:hint="eastAsia" w:eastAsia="宋体"/>
                <w:lang w:val="en-US" w:eastAsia="zh-CN"/>
              </w:rPr>
            </w:pPr>
            <w:r>
              <w:rPr>
                <w:rFonts w:hint="eastAsia"/>
                <w:lang w:val="en-US" w:eastAsia="zh-CN"/>
              </w:rPr>
              <w:t>5</w:t>
            </w:r>
          </w:p>
        </w:tc>
        <w:tc>
          <w:tcPr>
            <w:tcW w:w="1306" w:type="dxa"/>
            <w:vAlign w:val="center"/>
          </w:tcPr>
          <w:p>
            <w:pPr>
              <w:spacing w:line="280" w:lineRule="exact"/>
              <w:jc w:val="both"/>
              <w:rPr>
                <w:b w:val="0"/>
                <w:bCs/>
                <w:lang w:eastAsia="ja-JP"/>
              </w:rPr>
            </w:pPr>
            <w:r>
              <w:rPr>
                <w:rFonts w:hint="eastAsia" w:ascii="Times New Roman" w:hAnsi="Times New Roman" w:eastAsia="宋体" w:cs="Times New Roman"/>
                <w:b w:val="0"/>
                <w:bCs/>
                <w:sz w:val="22"/>
                <w:szCs w:val="22"/>
              </w:rPr>
              <w:t>市政公用工程施工</w:t>
            </w:r>
          </w:p>
        </w:tc>
        <w:tc>
          <w:tcPr>
            <w:tcW w:w="1806" w:type="dxa"/>
            <w:vAlign w:val="center"/>
          </w:tcPr>
          <w:p>
            <w:pPr>
              <w:spacing w:before="40" w:after="40"/>
              <w:rPr>
                <w:szCs w:val="21"/>
                <w:highlight w:val="none"/>
              </w:rPr>
            </w:pPr>
            <w:r>
              <w:rPr>
                <w:rFonts w:hint="eastAsia"/>
                <w:szCs w:val="21"/>
                <w:highlight w:val="none"/>
              </w:rPr>
              <w:t xml:space="preserve">GB/T 50430-2017 </w:t>
            </w:r>
          </w:p>
          <w:p>
            <w:pPr>
              <w:spacing w:before="40" w:after="40"/>
              <w:rPr>
                <w:szCs w:val="21"/>
                <w:highlight w:val="none"/>
              </w:rPr>
            </w:pPr>
            <w:r>
              <w:rPr>
                <w:rFonts w:hint="eastAsia"/>
                <w:szCs w:val="21"/>
                <w:highlight w:val="none"/>
              </w:rPr>
              <w:t>GB/T19001-2016</w:t>
            </w:r>
          </w:p>
          <w:p>
            <w:pPr>
              <w:spacing w:before="40" w:after="40"/>
              <w:rPr>
                <w:szCs w:val="21"/>
                <w:highlight w:val="none"/>
              </w:rPr>
            </w:pPr>
            <w:r>
              <w:rPr>
                <w:rFonts w:hint="eastAsia"/>
                <w:szCs w:val="21"/>
                <w:highlight w:val="none"/>
              </w:rPr>
              <w:t xml:space="preserve">GB/T24001-2016 </w:t>
            </w:r>
          </w:p>
          <w:p>
            <w:pPr>
              <w:spacing w:before="40" w:after="40"/>
              <w:rPr>
                <w:lang w:eastAsia="ja-JP"/>
              </w:rPr>
            </w:pPr>
            <w:r>
              <w:rPr>
                <w:rFonts w:hint="eastAsia"/>
                <w:szCs w:val="21"/>
                <w:highlight w:val="none"/>
              </w:rPr>
              <w:t>GB/T 45001-2020</w:t>
            </w:r>
          </w:p>
        </w:tc>
        <w:tc>
          <w:tcPr>
            <w:tcW w:w="668" w:type="dxa"/>
            <w:shd w:val="clear" w:color="auto" w:fill="FFFFFF"/>
            <w:vAlign w:val="top"/>
          </w:tcPr>
          <w:p>
            <w:pPr>
              <w:spacing w:before="40" w:after="40"/>
            </w:pP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sz w:val="21"/>
                <w:szCs w:val="21"/>
              </w:rPr>
              <w:t>重庆高泰建设工程有限公司</w:t>
            </w:r>
            <w:r>
              <w:rPr>
                <w:rFonts w:hint="eastAsia"/>
                <w:sz w:val="21"/>
                <w:szCs w:val="21"/>
                <w:lang w:val="en-US" w:eastAsia="zh-CN"/>
              </w:rPr>
              <w:t>/</w:t>
            </w:r>
            <w:r>
              <w:rPr>
                <w:rFonts w:asciiTheme="minorEastAsia" w:hAnsiTheme="minorEastAsia" w:eastAsiaTheme="minorEastAsia"/>
                <w:sz w:val="20"/>
              </w:rPr>
              <w:t>重庆市秀山土家族苗族自治县乌杨街道园区路21号（县工业园区周转房G栋2-13）</w:t>
            </w:r>
          </w:p>
        </w:tc>
        <w:tc>
          <w:tcPr>
            <w:tcW w:w="2267" w:type="dxa"/>
            <w:vAlign w:val="center"/>
          </w:tcPr>
          <w:p>
            <w:pPr>
              <w:spacing w:line="280" w:lineRule="exact"/>
              <w:jc w:val="left"/>
              <w:rPr>
                <w:rFonts w:hint="eastAsia" w:ascii="Times New Roman" w:hAnsi="Times New Roman" w:cs="Times New Roman"/>
                <w:lang w:eastAsia="ja-JP"/>
              </w:rPr>
            </w:pPr>
            <w:r>
              <w:rPr>
                <w:rFonts w:hint="eastAsia" w:ascii="Times New Roman" w:hAnsi="Times New Roman" w:cs="Times New Roman"/>
              </w:rPr>
              <w:t>重庆市南岸区经济开发区</w:t>
            </w:r>
            <w:r>
              <w:rPr>
                <w:rFonts w:hint="eastAsia" w:ascii="Times New Roman" w:hAnsi="Times New Roman" w:cs="Times New Roman"/>
                <w:lang w:eastAsia="zh-CN"/>
              </w:rPr>
              <w:t>（</w:t>
            </w:r>
            <w:r>
              <w:rPr>
                <w:rFonts w:hint="eastAsia" w:ascii="Times New Roman" w:hAnsi="Times New Roman" w:cs="Times New Roman"/>
                <w:lang w:val="en-US" w:eastAsia="zh-CN"/>
              </w:rPr>
              <w:t>临时场所</w:t>
            </w:r>
            <w:r>
              <w:rPr>
                <w:rFonts w:hint="eastAsia" w:ascii="Times New Roman" w:hAnsi="Times New Roman" w:cs="Times New Roman"/>
                <w:lang w:eastAsia="zh-CN"/>
              </w:rPr>
              <w:t>）</w:t>
            </w:r>
          </w:p>
        </w:tc>
        <w:tc>
          <w:tcPr>
            <w:tcW w:w="931" w:type="dxa"/>
            <w:vAlign w:val="center"/>
          </w:tcPr>
          <w:p>
            <w:pPr>
              <w:rPr>
                <w:rFonts w:hint="eastAsia" w:eastAsia="宋体"/>
                <w:lang w:val="en-US" w:eastAsia="zh-CN"/>
              </w:rPr>
            </w:pPr>
            <w:r>
              <w:rPr>
                <w:rFonts w:hint="eastAsia"/>
                <w:lang w:val="en-US" w:eastAsia="zh-CN"/>
              </w:rPr>
              <w:t>5</w:t>
            </w:r>
          </w:p>
        </w:tc>
        <w:tc>
          <w:tcPr>
            <w:tcW w:w="1306" w:type="dxa"/>
            <w:vAlign w:val="center"/>
          </w:tcPr>
          <w:p>
            <w:pPr>
              <w:spacing w:line="280" w:lineRule="exact"/>
              <w:jc w:val="both"/>
              <w:rPr>
                <w:b w:val="0"/>
                <w:bCs/>
                <w:lang w:eastAsia="ja-JP"/>
              </w:rPr>
            </w:pPr>
            <w:r>
              <w:rPr>
                <w:rFonts w:hint="eastAsia" w:ascii="Times New Roman" w:hAnsi="Times New Roman" w:eastAsia="宋体" w:cs="Times New Roman"/>
                <w:b w:val="0"/>
                <w:bCs/>
                <w:sz w:val="22"/>
                <w:szCs w:val="22"/>
              </w:rPr>
              <w:t>地基基础工程施工</w:t>
            </w:r>
          </w:p>
        </w:tc>
        <w:tc>
          <w:tcPr>
            <w:tcW w:w="1806" w:type="dxa"/>
            <w:vAlign w:val="center"/>
          </w:tcPr>
          <w:p>
            <w:pPr>
              <w:spacing w:before="40" w:after="40"/>
              <w:rPr>
                <w:szCs w:val="21"/>
                <w:highlight w:val="none"/>
              </w:rPr>
            </w:pPr>
            <w:r>
              <w:rPr>
                <w:rFonts w:hint="eastAsia"/>
                <w:szCs w:val="21"/>
                <w:highlight w:val="none"/>
              </w:rPr>
              <w:t xml:space="preserve">GB/T 50430-2017 </w:t>
            </w:r>
          </w:p>
          <w:p>
            <w:pPr>
              <w:spacing w:before="40" w:after="40"/>
              <w:rPr>
                <w:szCs w:val="21"/>
                <w:highlight w:val="none"/>
              </w:rPr>
            </w:pPr>
            <w:r>
              <w:rPr>
                <w:rFonts w:hint="eastAsia"/>
                <w:szCs w:val="21"/>
                <w:highlight w:val="none"/>
              </w:rPr>
              <w:t>GB/T19001-2016</w:t>
            </w:r>
          </w:p>
          <w:p>
            <w:pPr>
              <w:spacing w:before="40" w:after="40"/>
              <w:rPr>
                <w:szCs w:val="21"/>
                <w:highlight w:val="none"/>
              </w:rPr>
            </w:pPr>
            <w:r>
              <w:rPr>
                <w:rFonts w:hint="eastAsia"/>
                <w:szCs w:val="21"/>
                <w:highlight w:val="none"/>
              </w:rPr>
              <w:t xml:space="preserve">GB/T24001-2016 </w:t>
            </w:r>
          </w:p>
          <w:p>
            <w:pPr>
              <w:spacing w:before="40" w:after="40"/>
              <w:rPr>
                <w:lang w:eastAsia="ja-JP"/>
              </w:rPr>
            </w:pPr>
            <w:r>
              <w:rPr>
                <w:rFonts w:hint="eastAsia"/>
                <w:szCs w:val="21"/>
                <w:highlight w:val="none"/>
              </w:rPr>
              <w:t>GB/T 45001-2020</w:t>
            </w:r>
          </w:p>
        </w:tc>
        <w:tc>
          <w:tcPr>
            <w:tcW w:w="668" w:type="dxa"/>
            <w:shd w:val="clear" w:color="auto" w:fill="FFFFFF"/>
            <w:vAlign w:val="top"/>
          </w:tcPr>
          <w:p>
            <w:pPr>
              <w:spacing w:before="40" w:after="40"/>
            </w:pP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931" w:type="dxa"/>
            <w:vAlign w:val="center"/>
          </w:tcPr>
          <w:p>
            <w:pPr>
              <w:rPr>
                <w:lang w:eastAsia="ja-JP"/>
              </w:rPr>
            </w:pPr>
          </w:p>
        </w:tc>
        <w:tc>
          <w:tcPr>
            <w:tcW w:w="1306" w:type="dxa"/>
            <w:vAlign w:val="center"/>
          </w:tcPr>
          <w:p>
            <w:pPr>
              <w:rPr>
                <w:lang w:eastAsia="ja-JP"/>
              </w:rPr>
            </w:pPr>
          </w:p>
        </w:tc>
        <w:tc>
          <w:tcPr>
            <w:tcW w:w="18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931" w:type="dxa"/>
            <w:vAlign w:val="center"/>
          </w:tcPr>
          <w:p>
            <w:pPr>
              <w:rPr>
                <w:lang w:eastAsia="ja-JP"/>
              </w:rPr>
            </w:pPr>
          </w:p>
        </w:tc>
        <w:tc>
          <w:tcPr>
            <w:tcW w:w="1306" w:type="dxa"/>
            <w:vAlign w:val="center"/>
          </w:tcPr>
          <w:p>
            <w:pPr>
              <w:rPr>
                <w:lang w:eastAsia="ja-JP"/>
              </w:rPr>
            </w:pPr>
          </w:p>
        </w:tc>
        <w:tc>
          <w:tcPr>
            <w:tcW w:w="180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EC:28.04.01,28.09.02</w:t>
            </w:r>
          </w:p>
          <w:p>
            <w:r>
              <w:t>E:28.04.01,28.09.02</w:t>
            </w:r>
          </w:p>
          <w:p>
            <w:r>
              <w:t>O:28.04.01,28.09.02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2019-N1EMS-1247783</w:t>
            </w:r>
          </w:p>
          <w:p>
            <w:r>
              <w:t>2021-N1OHSMS-1247783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 xml:space="preserve">QMS </w:t>
      </w:r>
      <w:r>
        <w:rPr>
          <w:rFonts w:hint="eastAsia" w:ascii="宋体" w:hAnsi="宋体" w:eastAsia="宋体" w:cs="宋体"/>
        </w:rPr>
        <w:t>■</w:t>
      </w:r>
      <w:r>
        <w:rPr>
          <w:rFonts w:hint="eastAsia"/>
        </w:rPr>
        <w:t>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宋体" w:hAnsi="Times New Roman" w:eastAsia="宋体" w:cs="Times New Roman"/>
                <w:color w:val="000000"/>
                <w:kern w:val="2"/>
                <w:sz w:val="21"/>
                <w:szCs w:val="21"/>
                <w:lang w:val="en-US" w:eastAsia="zh-CN" w:bidi="ar-SA"/>
              </w:rPr>
            </w:pPr>
            <w:bookmarkStart w:id="28" w:name="_GoBack"/>
            <w:r>
              <w:rPr>
                <w:rFonts w:hint="eastAsia" w:ascii="Times New Roman" w:hAnsi="Times New Roman" w:eastAsia="宋体" w:cs="Times New Roman"/>
                <w:sz w:val="21"/>
                <w:szCs w:val="21"/>
                <w:highlight w:val="none"/>
              </w:rPr>
              <w:t>不能提供</w:t>
            </w:r>
            <w:r>
              <w:rPr>
                <w:rFonts w:hint="eastAsia"/>
                <w:color w:val="auto"/>
                <w:szCs w:val="21"/>
                <w:highlight w:val="none"/>
                <w:u w:val="none"/>
              </w:rPr>
              <w:t>全站仪、水平仪、漆膜仪、经伟仪、游标卡尺、测距仪</w:t>
            </w:r>
            <w:r>
              <w:rPr>
                <w:rFonts w:hint="eastAsia" w:ascii="Times New Roman" w:hAnsi="Times New Roman" w:eastAsia="宋体" w:cs="Times New Roman"/>
                <w:sz w:val="21"/>
                <w:szCs w:val="21"/>
                <w:highlight w:val="none"/>
                <w:u w:val="none"/>
              </w:rPr>
              <w:t>的有效校准证书</w:t>
            </w:r>
            <w:r>
              <w:rPr>
                <w:rFonts w:hint="eastAsia" w:ascii="宋体" w:eastAsia="宋体"/>
                <w:color w:val="000000"/>
                <w:szCs w:val="21"/>
                <w:highlight w:val="none"/>
                <w:u w:val="none"/>
              </w:rPr>
              <w:t>，二阶段审核时</w:t>
            </w:r>
            <w:r>
              <w:rPr>
                <w:rFonts w:hint="eastAsia" w:ascii="宋体"/>
                <w:color w:val="000000"/>
                <w:szCs w:val="21"/>
                <w:highlight w:val="none"/>
                <w:u w:val="none"/>
                <w:lang w:val="en-US" w:eastAsia="zh-CN"/>
              </w:rPr>
              <w:t>末完成整改，已开具不符合</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Pr>
        <w:pStyle w:val="2"/>
        <w:ind w:left="0" w:leftChars="0" w:firstLine="0" w:firstLineChars="0"/>
      </w:pPr>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Pr>
        <w:pStyle w:val="2"/>
        <w:ind w:left="0" w:leftChars="0" w:firstLine="0" w:firstLineChars="0"/>
      </w:pPr>
    </w:p>
    <w:p>
      <w:r>
        <w:rPr>
          <w:rFonts w:hint="eastAsia"/>
        </w:rPr>
        <w:t>十、审核基于对可获得信息的抽样过程的免责声明；</w:t>
      </w:r>
    </w:p>
    <w:p>
      <w:pPr>
        <w:rPr>
          <w:rFonts w:hint="eastAsia"/>
        </w:rPr>
      </w:pPr>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pStyle w:val="2"/>
      </w:pPr>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ascii="宋体" w:hAnsi="宋体" w:eastAsia="宋体" w:cs="宋体"/>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资质范围内市政公用工程施工，地基基础工程专业承包；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r>
              <w:t>资质范围内市政公用工程施工，地基基础工程专业承包；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资质范围内市政公用工程施工，地基基础工程专业承包所涉及场所的相关环境管理活动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资质范围内市政公用工程施工，地基基础工程专业承包所涉及场所的相关职业健康安全管理活动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b/>
                <w:color w:val="0000FF"/>
                <w:spacing w:val="-10"/>
                <w:szCs w:val="21"/>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482600</wp:posOffset>
                  </wp:positionH>
                  <wp:positionV relativeFrom="paragraph">
                    <wp:posOffset>67310</wp:posOffset>
                  </wp:positionV>
                  <wp:extent cx="361315" cy="393065"/>
                  <wp:effectExtent l="0" t="0" r="6985" b="635"/>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6"/>
                          <a:stretch>
                            <a:fillRect/>
                          </a:stretch>
                        </pic:blipFill>
                        <pic:spPr>
                          <a:xfrm>
                            <a:off x="0" y="0"/>
                            <a:ext cx="361315" cy="39306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rPr>
              <w:t>2022.6.12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重要的相关方</w:t>
                  </w:r>
                </w:p>
              </w:tc>
              <w:tc>
                <w:tcPr>
                  <w:tcW w:w="6912" w:type="dxa"/>
                </w:tcPr>
                <w:p>
                  <w:pPr>
                    <w:shd w:val="clear" w:color="auto" w:fill="C7DAF1" w:themeFill="text2"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□人员培训■其他：机械设备租赁</w:t>
            </w:r>
            <w:r>
              <w:rPr>
                <w:rFonts w:hint="eastAsia"/>
                <w:lang w:eastAsia="zh-CN"/>
              </w:rPr>
              <w:t>、</w:t>
            </w:r>
            <w:r>
              <w:rPr>
                <w:rFonts w:hint="eastAsia"/>
                <w:lang w:val="en-US" w:eastAsia="zh-CN"/>
              </w:rPr>
              <w:t>劳务分包</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lang w:val="en-GB"/>
              </w:rPr>
            </w:pPr>
            <w:r>
              <w:rPr>
                <w:rFonts w:hint="eastAsia"/>
                <w:lang w:val="en-GB"/>
              </w:rPr>
              <w:t>最高管理者制定了文件化的管理体系方针：</w:t>
            </w:r>
          </w:p>
          <w:p>
            <w:pPr>
              <w:shd w:val="clear" w:color="auto" w:fill="C7DAF1" w:themeFill="text2" w:themeFillTint="32"/>
              <w:rPr>
                <w:lang w:val="en-GB"/>
              </w:rPr>
            </w:pPr>
            <w:r>
              <w:rPr>
                <w:rFonts w:hint="eastAsia"/>
                <w:u w:val="single"/>
                <w:lang w:val="en-GB" w:eastAsia="zh-CN"/>
              </w:rPr>
              <w:t>优质高效；顾客满意；节能惜资；以人为本；协商参与；员工满意；遵章守法；预防改进</w:t>
            </w:r>
            <w:r>
              <w:rPr>
                <w:rFonts w:hint="eastAsia"/>
                <w:u w:val="single"/>
                <w:lang w:val="en-GB"/>
              </w:rPr>
              <w:t>。</w:t>
            </w:r>
            <w:r>
              <w:rPr>
                <w:rFonts w:hint="eastAsia"/>
                <w:lang w:val="en-GB"/>
              </w:rPr>
              <w:t xml:space="preserve"> </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38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pPr>
                  <w:r>
                    <w:rPr>
                      <w:rFonts w:hint="eastAsia"/>
                    </w:rPr>
                    <w:t>主要的风险或机遇描述</w:t>
                  </w:r>
                </w:p>
              </w:tc>
              <w:tc>
                <w:tcPr>
                  <w:tcW w:w="382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pPr>
                  <w:r>
                    <w:rPr>
                      <w:rFonts w:hint="eastAsia" w:ascii="宋体" w:hAnsi="宋体" w:cs="宋体"/>
                      <w:szCs w:val="21"/>
                    </w:rPr>
                    <w:t>法律、法规内容的变化</w:t>
                  </w:r>
                </w:p>
              </w:tc>
              <w:tc>
                <w:tcPr>
                  <w:tcW w:w="3826" w:type="dxa"/>
                </w:tcPr>
                <w:p>
                  <w:pPr>
                    <w:spacing w:line="360" w:lineRule="auto"/>
                  </w:pPr>
                  <w:r>
                    <w:rPr>
                      <w:rFonts w:hint="eastAsia" w:ascii="宋体" w:hAnsi="宋体" w:cs="宋体"/>
                      <w:szCs w:val="21"/>
                    </w:rPr>
                    <w:t>主要职能部门按照要求加强相关产品销售区域所在地法政策的收集评价。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pPr>
                  <w:r>
                    <w:rPr>
                      <w:rFonts w:hint="eastAsia" w:ascii="宋体" w:hAnsi="宋体" w:cs="宋体"/>
                      <w:szCs w:val="21"/>
                    </w:rPr>
                    <w:t>公司售后服务处理不好，顾客埋怨投诉较多，会严重影响公司产品的销售，会给公司发展带来较大的客户流失风险</w:t>
                  </w:r>
                </w:p>
              </w:tc>
              <w:tc>
                <w:tcPr>
                  <w:tcW w:w="3826" w:type="dxa"/>
                </w:tcPr>
                <w:p>
                  <w:pPr>
                    <w:shd w:val="clear" w:color="auto" w:fill="C7DAF1" w:themeFill="text2" w:themeFillTint="32"/>
                  </w:pPr>
                  <w:r>
                    <w:rPr>
                      <w:rFonts w:hint="eastAsia" w:ascii="宋体" w:hAnsi="宋体" w:cs="宋体"/>
                      <w:szCs w:val="21"/>
                    </w:rPr>
                    <w:t>工程部和</w:t>
                  </w:r>
                  <w:r>
                    <w:rPr>
                      <w:rFonts w:hint="eastAsia" w:ascii="宋体" w:hAnsi="宋体" w:cs="宋体"/>
                      <w:szCs w:val="21"/>
                      <w:lang w:eastAsia="zh-CN"/>
                    </w:rPr>
                    <w:t>项目部</w:t>
                  </w:r>
                  <w:r>
                    <w:rPr>
                      <w:rFonts w:hint="eastAsia" w:ascii="宋体" w:hAnsi="宋体" w:cs="宋体"/>
                      <w:szCs w:val="21"/>
                    </w:rPr>
                    <w:t>要严格按照售后服务管理规定，做好客户服务工作，提高客户满意度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pPr>
                  <w:r>
                    <w:rPr>
                      <w:rFonts w:hint="eastAsia"/>
                    </w:rPr>
                    <w:t>人员能力不满足生产技术的发展</w:t>
                  </w:r>
                </w:p>
              </w:tc>
              <w:tc>
                <w:tcPr>
                  <w:tcW w:w="3826"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shd w:val="clear" w:color="auto" w:fill="C7DAF1" w:themeFill="text2" w:themeFillTint="32"/>
                  </w:pPr>
                  <w:r>
                    <w:rPr>
                      <w:rFonts w:hint="eastAsia"/>
                    </w:rPr>
                    <w:t>采购物资的质量及价格使公司的产品不具备竞争能力</w:t>
                  </w:r>
                </w:p>
              </w:tc>
              <w:tc>
                <w:tcPr>
                  <w:tcW w:w="3826"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98"/>
              <w:gridCol w:w="129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98"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9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widowControl/>
                    <w:spacing w:before="40"/>
                    <w:jc w:val="left"/>
                    <w:rPr>
                      <w:rFonts w:hint="eastAsia" w:asciiTheme="minorEastAsia" w:hAnsiTheme="minorEastAsia" w:eastAsiaTheme="minorEastAsia"/>
                      <w:szCs w:val="21"/>
                    </w:rPr>
                  </w:pPr>
                  <w:r>
                    <w:rPr>
                      <w:rFonts w:hint="eastAsia"/>
                      <w:color w:val="auto"/>
                      <w:szCs w:val="18"/>
                      <w:lang w:val="en-US" w:eastAsia="zh-CN"/>
                    </w:rPr>
                    <w:t xml:space="preserve">分部分项工程一次验收合格率≥95%； </w:t>
                  </w:r>
                </w:p>
              </w:tc>
              <w:tc>
                <w:tcPr>
                  <w:tcW w:w="2998" w:type="dxa"/>
                  <w:shd w:val="clear" w:color="auto" w:fill="auto"/>
                  <w:vAlign w:val="top"/>
                </w:tcPr>
                <w:p>
                  <w:pPr>
                    <w:widowControl/>
                    <w:spacing w:before="40"/>
                    <w:jc w:val="left"/>
                    <w:rPr>
                      <w:rFonts w:hint="eastAsia"/>
                      <w:color w:val="auto"/>
                      <w:szCs w:val="18"/>
                    </w:rPr>
                  </w:pPr>
                  <w:r>
                    <w:rPr>
                      <w:rFonts w:hint="eastAsia"/>
                      <w:color w:val="auto"/>
                      <w:szCs w:val="18"/>
                      <w:lang w:val="en-US" w:eastAsia="zh-CN"/>
                    </w:rPr>
                    <w:t>分部分项工程一次验收合格数量/分部分项工程</w:t>
                  </w:r>
                </w:p>
                <w:p>
                  <w:pPr>
                    <w:widowControl/>
                    <w:spacing w:before="40"/>
                    <w:jc w:val="left"/>
                    <w:rPr>
                      <w:rFonts w:hint="eastAsia" w:asciiTheme="minorEastAsia" w:hAnsiTheme="minorEastAsia" w:eastAsiaTheme="minorEastAsia"/>
                      <w:szCs w:val="21"/>
                      <w:lang w:val="en-GB"/>
                    </w:rPr>
                  </w:pPr>
                </w:p>
              </w:tc>
              <w:tc>
                <w:tcPr>
                  <w:tcW w:w="1290" w:type="dxa"/>
                  <w:shd w:val="clear" w:color="auto" w:fill="auto"/>
                  <w:vAlign w:val="center"/>
                </w:tcPr>
                <w:p>
                  <w:pPr>
                    <w:widowControl/>
                    <w:jc w:val="left"/>
                    <w:rPr>
                      <w:rFonts w:hint="eastAsia" w:asciiTheme="minorEastAsia" w:hAnsiTheme="minorEastAsia" w:eastAsiaTheme="minorEastAsia"/>
                      <w:szCs w:val="21"/>
                    </w:rPr>
                  </w:pPr>
                  <w:r>
                    <w:rPr>
                      <w:rFonts w:hint="eastAsia" w:asciiTheme="minorEastAsia" w:hAnsiTheme="minorEastAsia" w:eastAsiaTheme="minorEastAsia"/>
                      <w:szCs w:val="21"/>
                    </w:rPr>
                    <w:t>工程部</w:t>
                  </w:r>
                </w:p>
              </w:tc>
              <w:tc>
                <w:tcPr>
                  <w:tcW w:w="1682" w:type="dxa"/>
                  <w:shd w:val="clear" w:color="auto" w:fill="auto"/>
                  <w:vAlign w:val="top"/>
                </w:tcPr>
                <w:p>
                  <w:pPr>
                    <w:widowControl/>
                    <w:spacing w:before="40"/>
                    <w:jc w:val="left"/>
                    <w:rPr>
                      <w:rFonts w:hint="eastAsia" w:asciiTheme="minorEastAsia" w:hAnsiTheme="minorEastAsia" w:eastAsiaTheme="minorEastAsia"/>
                      <w:szCs w:val="21"/>
                    </w:rPr>
                  </w:pPr>
                  <w:r>
                    <w:rPr>
                      <w:rFonts w:hint="eastAsia"/>
                      <w:color w:val="auto"/>
                      <w:szCs w:val="18"/>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widowControl/>
                    <w:spacing w:before="40"/>
                    <w:jc w:val="left"/>
                    <w:rPr>
                      <w:rFonts w:hint="eastAsia" w:asciiTheme="minorEastAsia" w:hAnsiTheme="minorEastAsia" w:eastAsiaTheme="minorEastAsia"/>
                      <w:szCs w:val="21"/>
                    </w:rPr>
                  </w:pPr>
                  <w:r>
                    <w:rPr>
                      <w:rFonts w:hint="eastAsia"/>
                      <w:color w:val="auto"/>
                      <w:szCs w:val="18"/>
                      <w:lang w:val="en-US" w:eastAsia="zh-CN"/>
                    </w:rPr>
                    <w:t xml:space="preserve">单位工程一次竣工验收合格率 100%； </w:t>
                  </w:r>
                </w:p>
              </w:tc>
              <w:tc>
                <w:tcPr>
                  <w:tcW w:w="2998" w:type="dxa"/>
                  <w:shd w:val="clear" w:color="auto" w:fill="auto"/>
                  <w:vAlign w:val="top"/>
                </w:tcPr>
                <w:p>
                  <w:pPr>
                    <w:widowControl/>
                    <w:spacing w:before="40"/>
                    <w:jc w:val="left"/>
                    <w:rPr>
                      <w:rFonts w:hint="eastAsia"/>
                      <w:color w:val="auto"/>
                      <w:szCs w:val="18"/>
                    </w:rPr>
                  </w:pPr>
                  <w:r>
                    <w:rPr>
                      <w:rFonts w:hint="eastAsia"/>
                      <w:color w:val="auto"/>
                      <w:szCs w:val="18"/>
                      <w:lang w:val="en-US" w:eastAsia="zh-CN"/>
                    </w:rPr>
                    <w:t>单位工程一次竣工验收合格数量</w:t>
                  </w:r>
                  <w:r>
                    <w:rPr>
                      <w:rFonts w:hint="default"/>
                      <w:color w:val="auto"/>
                      <w:szCs w:val="18"/>
                      <w:lang w:val="en-US" w:eastAsia="zh-CN"/>
                    </w:rPr>
                    <w:t>/</w:t>
                  </w:r>
                  <w:r>
                    <w:rPr>
                      <w:rFonts w:hint="eastAsia"/>
                      <w:color w:val="auto"/>
                      <w:szCs w:val="18"/>
                      <w:lang w:val="en-US" w:eastAsia="zh-CN"/>
                    </w:rPr>
                    <w:t>单位工程竣工验</w:t>
                  </w:r>
                </w:p>
                <w:p>
                  <w:pPr>
                    <w:widowControl/>
                    <w:spacing w:before="40"/>
                    <w:jc w:val="left"/>
                    <w:rPr>
                      <w:rFonts w:hint="eastAsia" w:asciiTheme="minorEastAsia" w:hAnsiTheme="minorEastAsia" w:eastAsiaTheme="minorEastAsia"/>
                      <w:szCs w:val="21"/>
                    </w:rPr>
                  </w:pPr>
                </w:p>
              </w:tc>
              <w:tc>
                <w:tcPr>
                  <w:tcW w:w="1290" w:type="dxa"/>
                  <w:shd w:val="clear" w:color="auto" w:fill="auto"/>
                  <w:vAlign w:val="center"/>
                </w:tcPr>
                <w:p>
                  <w:pPr>
                    <w:widowControl/>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工程部</w:t>
                  </w:r>
                </w:p>
              </w:tc>
              <w:tc>
                <w:tcPr>
                  <w:tcW w:w="1682" w:type="dxa"/>
                  <w:shd w:val="clear" w:color="auto" w:fill="auto"/>
                  <w:vAlign w:val="center"/>
                </w:tcPr>
                <w:p>
                  <w:pPr>
                    <w:widowControl/>
                    <w:spacing w:before="40"/>
                    <w:jc w:val="left"/>
                    <w:rPr>
                      <w:rFonts w:hint="eastAsia" w:asciiTheme="minorEastAsia" w:hAnsiTheme="minorEastAsia" w:eastAsiaTheme="minorEastAsia"/>
                      <w:szCs w:val="21"/>
                    </w:rPr>
                  </w:pPr>
                  <w:r>
                    <w:rPr>
                      <w:rFonts w:hint="default"/>
                      <w:color w:val="auto"/>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widowControl/>
                    <w:spacing w:before="40"/>
                    <w:jc w:val="left"/>
                    <w:rPr>
                      <w:rFonts w:hint="eastAsia" w:ascii="Times New Roman" w:hAnsi="Times New Roman" w:eastAsia="宋体" w:cs="Times New Roman"/>
                      <w:szCs w:val="21"/>
                    </w:rPr>
                  </w:pPr>
                  <w:r>
                    <w:rPr>
                      <w:rFonts w:hint="eastAsia"/>
                      <w:color w:val="auto"/>
                      <w:szCs w:val="18"/>
                      <w:lang w:val="en-US" w:eastAsia="zh-CN"/>
                    </w:rPr>
                    <w:t xml:space="preserve">顾客满意率≥90%； </w:t>
                  </w:r>
                </w:p>
              </w:tc>
              <w:tc>
                <w:tcPr>
                  <w:tcW w:w="2998" w:type="dxa"/>
                  <w:shd w:val="clear" w:color="auto" w:fill="auto"/>
                  <w:vAlign w:val="top"/>
                </w:tcPr>
                <w:p>
                  <w:pPr>
                    <w:widowControl/>
                    <w:spacing w:before="40"/>
                    <w:jc w:val="left"/>
                    <w:rPr>
                      <w:rFonts w:hint="eastAsia" w:ascii="Times New Roman" w:hAnsi="Times New Roman" w:eastAsia="宋体" w:cs="Times New Roman"/>
                      <w:szCs w:val="21"/>
                      <w:highlight w:val="none"/>
                    </w:rPr>
                  </w:pPr>
                  <w:r>
                    <w:rPr>
                      <w:rFonts w:hint="eastAsia"/>
                      <w:color w:val="auto"/>
                      <w:szCs w:val="18"/>
                      <w:lang w:val="en-US" w:eastAsia="zh-CN"/>
                    </w:rPr>
                    <w:t>顾客满意分数</w:t>
                  </w:r>
                  <w:r>
                    <w:rPr>
                      <w:rFonts w:hint="default"/>
                      <w:color w:val="auto"/>
                      <w:szCs w:val="18"/>
                      <w:lang w:val="en-US" w:eastAsia="zh-CN"/>
                    </w:rPr>
                    <w:t>/</w:t>
                  </w:r>
                  <w:r>
                    <w:rPr>
                      <w:rFonts w:hint="eastAsia"/>
                      <w:color w:val="auto"/>
                      <w:szCs w:val="18"/>
                      <w:lang w:val="en-US" w:eastAsia="zh-CN"/>
                    </w:rPr>
                    <w:t>顾客满意总分数</w:t>
                  </w:r>
                  <w:r>
                    <w:rPr>
                      <w:rFonts w:hint="default"/>
                      <w:color w:val="auto"/>
                      <w:szCs w:val="18"/>
                      <w:lang w:val="en-US" w:eastAsia="zh-CN"/>
                    </w:rPr>
                    <w:t>*100%</w:t>
                  </w:r>
                </w:p>
              </w:tc>
              <w:tc>
                <w:tcPr>
                  <w:tcW w:w="1290" w:type="dxa"/>
                  <w:shd w:val="clear" w:color="auto" w:fill="auto"/>
                  <w:vAlign w:val="center"/>
                </w:tcPr>
                <w:p>
                  <w:pPr>
                    <w:jc w:val="left"/>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经营部</w:t>
                  </w:r>
                </w:p>
              </w:tc>
              <w:tc>
                <w:tcPr>
                  <w:tcW w:w="1682" w:type="dxa"/>
                  <w:shd w:val="clear" w:color="auto" w:fill="auto"/>
                  <w:vAlign w:val="top"/>
                </w:tcPr>
                <w:p>
                  <w:pPr>
                    <w:widowControl/>
                    <w:spacing w:before="40"/>
                    <w:jc w:val="left"/>
                    <w:rPr>
                      <w:rFonts w:hint="eastAsia" w:ascii="Times New Roman" w:hAnsi="Times New Roman" w:eastAsia="宋体" w:cs="Times New Roman"/>
                      <w:szCs w:val="21"/>
                      <w:highlight w:val="none"/>
                    </w:rPr>
                  </w:pPr>
                  <w:r>
                    <w:rPr>
                      <w:rFonts w:hint="eastAsia"/>
                      <w:color w:val="auto"/>
                      <w:szCs w:val="18"/>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1" w:type="dxa"/>
                  <w:shd w:val="clear" w:color="auto" w:fill="auto"/>
                  <w:vAlign w:val="top"/>
                </w:tcPr>
                <w:p>
                  <w:pPr>
                    <w:widowControl/>
                    <w:spacing w:before="40"/>
                    <w:jc w:val="left"/>
                    <w:rPr>
                      <w:rFonts w:hint="eastAsia" w:ascii="Times New Roman" w:hAnsi="Times New Roman" w:eastAsia="宋体" w:cs="Times New Roman"/>
                      <w:szCs w:val="21"/>
                    </w:rPr>
                  </w:pPr>
                  <w:r>
                    <w:rPr>
                      <w:rFonts w:hint="eastAsia"/>
                      <w:color w:val="auto"/>
                      <w:szCs w:val="18"/>
                      <w:lang w:val="en-US" w:eastAsia="zh-CN"/>
                    </w:rPr>
                    <w:t>合同履约率 100%</w:t>
                  </w:r>
                </w:p>
              </w:tc>
              <w:tc>
                <w:tcPr>
                  <w:tcW w:w="2998" w:type="dxa"/>
                  <w:shd w:val="clear" w:color="auto" w:fill="auto"/>
                  <w:vAlign w:val="top"/>
                </w:tcPr>
                <w:p>
                  <w:pPr>
                    <w:widowControl/>
                    <w:spacing w:before="40"/>
                    <w:jc w:val="left"/>
                    <w:rPr>
                      <w:rFonts w:hint="eastAsia"/>
                      <w:color w:val="auto"/>
                      <w:szCs w:val="18"/>
                    </w:rPr>
                  </w:pPr>
                  <w:r>
                    <w:rPr>
                      <w:rFonts w:hint="eastAsia"/>
                      <w:color w:val="auto"/>
                      <w:szCs w:val="18"/>
                      <w:lang w:val="en-US" w:eastAsia="zh-CN"/>
                    </w:rPr>
                    <w:t>合同履约数量</w:t>
                  </w:r>
                  <w:r>
                    <w:rPr>
                      <w:rFonts w:hint="default"/>
                      <w:color w:val="auto"/>
                      <w:szCs w:val="18"/>
                      <w:lang w:val="en-US" w:eastAsia="zh-CN"/>
                    </w:rPr>
                    <w:t>/</w:t>
                  </w:r>
                  <w:r>
                    <w:rPr>
                      <w:rFonts w:hint="eastAsia"/>
                      <w:color w:val="auto"/>
                      <w:szCs w:val="18"/>
                      <w:lang w:val="en-US" w:eastAsia="zh-CN"/>
                    </w:rPr>
                    <w:t>合同履约总数量</w:t>
                  </w:r>
                  <w:r>
                    <w:rPr>
                      <w:rFonts w:hint="default"/>
                      <w:color w:val="auto"/>
                      <w:szCs w:val="18"/>
                      <w:lang w:val="en-US" w:eastAsia="zh-CN"/>
                    </w:rPr>
                    <w:t>*100%</w:t>
                  </w:r>
                </w:p>
                <w:p>
                  <w:pPr>
                    <w:widowControl/>
                    <w:spacing w:before="40"/>
                    <w:jc w:val="left"/>
                    <w:rPr>
                      <w:rFonts w:hint="eastAsia" w:ascii="Times New Roman" w:hAnsi="Times New Roman" w:eastAsia="宋体" w:cs="Times New Roman"/>
                      <w:szCs w:val="21"/>
                      <w:highlight w:val="none"/>
                    </w:rPr>
                  </w:pPr>
                </w:p>
              </w:tc>
              <w:tc>
                <w:tcPr>
                  <w:tcW w:w="1290" w:type="dxa"/>
                  <w:shd w:val="clear" w:color="auto" w:fill="auto"/>
                  <w:vAlign w:val="center"/>
                </w:tcPr>
                <w:p>
                  <w:pPr>
                    <w:jc w:val="left"/>
                    <w:rPr>
                      <w:rFonts w:hint="eastAsia" w:ascii="Times New Roman" w:hAnsi="Times New Roman" w:eastAsia="宋体" w:cs="Times New Roman"/>
                      <w:szCs w:val="21"/>
                      <w:highlight w:val="none"/>
                      <w:lang w:eastAsia="zh-CN"/>
                    </w:rPr>
                  </w:pPr>
                  <w:r>
                    <w:rPr>
                      <w:rFonts w:hint="eastAsia" w:cs="Times New Roman"/>
                      <w:szCs w:val="21"/>
                      <w:highlight w:val="none"/>
                      <w:lang w:eastAsia="zh-CN"/>
                    </w:rPr>
                    <w:t>综合部</w:t>
                  </w:r>
                </w:p>
              </w:tc>
              <w:tc>
                <w:tcPr>
                  <w:tcW w:w="1682" w:type="dxa"/>
                  <w:shd w:val="clear" w:color="auto" w:fill="auto"/>
                  <w:vAlign w:val="top"/>
                </w:tcPr>
                <w:p>
                  <w:pPr>
                    <w:widowControl/>
                    <w:spacing w:before="40"/>
                    <w:jc w:val="left"/>
                    <w:rPr>
                      <w:rFonts w:hint="eastAsia" w:ascii="Times New Roman" w:hAnsi="Times New Roman" w:eastAsia="宋体" w:cs="Times New Roman"/>
                      <w:szCs w:val="21"/>
                      <w:highlight w:val="none"/>
                    </w:rPr>
                  </w:pPr>
                  <w:r>
                    <w:rPr>
                      <w:rFonts w:hint="default"/>
                      <w:color w:val="auto"/>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81" w:type="dxa"/>
                  <w:shd w:val="clear" w:color="auto" w:fill="auto"/>
                </w:tcPr>
                <w:p>
                  <w:pPr>
                    <w:jc w:val="left"/>
                    <w:rPr>
                      <w:rFonts w:hint="eastAsia" w:ascii="Times New Roman" w:hAnsi="Times New Roman" w:eastAsia="宋体" w:cs="Times New Roman"/>
                      <w:szCs w:val="21"/>
                    </w:rPr>
                  </w:pPr>
                  <w:r>
                    <w:rPr>
                      <w:rFonts w:hint="eastAsia"/>
                      <w:color w:val="auto"/>
                      <w:szCs w:val="18"/>
                      <w:lang w:val="en-US" w:eastAsia="zh-CN"/>
                    </w:rPr>
                    <w:t>杜绝重大质量事故发生</w:t>
                  </w:r>
                </w:p>
              </w:tc>
              <w:tc>
                <w:tcPr>
                  <w:tcW w:w="2998" w:type="dxa"/>
                  <w:shd w:val="clear" w:color="auto" w:fill="auto"/>
                  <w:vAlign w:val="top"/>
                </w:tcPr>
                <w:p>
                  <w:pPr>
                    <w:widowControl/>
                    <w:spacing w:before="40"/>
                    <w:jc w:val="left"/>
                    <w:rPr>
                      <w:rFonts w:hint="default" w:ascii="Times New Roman" w:hAnsi="Times New Roman" w:eastAsia="宋体" w:cs="Times New Roman"/>
                      <w:szCs w:val="21"/>
                      <w:highlight w:val="none"/>
                      <w:lang w:val="en-US" w:eastAsia="zh-CN"/>
                    </w:rPr>
                  </w:pPr>
                  <w:r>
                    <w:rPr>
                      <w:rFonts w:hint="eastAsia"/>
                      <w:color w:val="auto"/>
                      <w:szCs w:val="18"/>
                      <w:lang w:val="en-US" w:eastAsia="zh-CN"/>
                    </w:rPr>
                    <w:t>未有重大质量事故发生就定义为</w:t>
                  </w:r>
                  <w:r>
                    <w:rPr>
                      <w:rFonts w:hint="default"/>
                      <w:color w:val="auto"/>
                      <w:szCs w:val="18"/>
                      <w:lang w:val="en-US" w:eastAsia="zh-CN"/>
                    </w:rPr>
                    <w:t>100%</w:t>
                  </w:r>
                  <w:r>
                    <w:rPr>
                      <w:rFonts w:hint="eastAsia"/>
                      <w:color w:val="auto"/>
                      <w:szCs w:val="18"/>
                      <w:lang w:val="en-US" w:eastAsia="zh-CN"/>
                    </w:rPr>
                    <w:t>杜绝</w:t>
                  </w:r>
                </w:p>
              </w:tc>
              <w:tc>
                <w:tcPr>
                  <w:tcW w:w="1290" w:type="dxa"/>
                  <w:shd w:val="clear" w:color="auto" w:fill="auto"/>
                  <w:vAlign w:val="center"/>
                </w:tcPr>
                <w:p>
                  <w:pPr>
                    <w:jc w:val="left"/>
                    <w:rPr>
                      <w:rFonts w:hint="eastAsia" w:ascii="Times New Roman" w:hAnsi="Times New Roman" w:eastAsia="宋体" w:cs="Times New Roman"/>
                      <w:szCs w:val="21"/>
                      <w:highlight w:val="none"/>
                      <w:lang w:eastAsia="zh-CN"/>
                    </w:rPr>
                  </w:pPr>
                  <w:r>
                    <w:rPr>
                      <w:rFonts w:hint="eastAsia" w:asciiTheme="minorEastAsia" w:hAnsiTheme="minorEastAsia" w:eastAsiaTheme="minorEastAsia"/>
                      <w:szCs w:val="21"/>
                    </w:rPr>
                    <w:t>工程部</w:t>
                  </w:r>
                </w:p>
              </w:tc>
              <w:tc>
                <w:tcPr>
                  <w:tcW w:w="1682" w:type="dxa"/>
                  <w:shd w:val="clear" w:color="auto" w:fill="auto"/>
                  <w:vAlign w:val="top"/>
                </w:tcPr>
                <w:p>
                  <w:pPr>
                    <w:widowControl/>
                    <w:spacing w:before="40"/>
                    <w:jc w:val="left"/>
                    <w:rPr>
                      <w:rFonts w:hint="eastAsia" w:ascii="Times New Roman" w:hAnsi="Times New Roman" w:eastAsia="宋体" w:cs="Times New Roman"/>
                      <w:szCs w:val="21"/>
                      <w:highlight w:val="none"/>
                      <w:lang w:val="en-US" w:eastAsia="zh-CN"/>
                    </w:rPr>
                  </w:pPr>
                  <w:r>
                    <w:rPr>
                      <w:rFonts w:hint="eastAsia"/>
                      <w:color w:val="auto"/>
                      <w:szCs w:val="18"/>
                      <w:lang w:val="en-US" w:eastAsia="zh-CN"/>
                    </w:rPr>
                    <w:t>0</w:t>
                  </w: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color w:val="FF0000"/>
              </w:rPr>
            </w:pPr>
            <w:r>
              <w:rPr>
                <w:rFonts w:hint="eastAsia"/>
              </w:rPr>
              <w:t>□主要设备设施□主要检测设备□其他体系人数变更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3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lang w:eastAsia="zh-CN"/>
              </w:rPr>
              <w:t>建筑面积300平方米左右；在建项目2个；库房   个；实验室个</w:t>
            </w:r>
            <w:r>
              <w:rPr>
                <w:rFonts w:hint="eastAsia"/>
                <w:highlight w:val="none"/>
              </w:rPr>
              <w:t>；</w:t>
            </w:r>
          </w:p>
          <w:p>
            <w:pPr>
              <w:shd w:val="clear" w:color="auto" w:fill="C7DAF1" w:themeFill="text2" w:themeFillTint="32"/>
              <w:rPr>
                <w:u w:val="single"/>
              </w:rPr>
            </w:pPr>
            <w:r>
              <w:rPr>
                <w:rFonts w:hint="eastAsia"/>
              </w:rPr>
              <w:t>主要生产设备有：</w:t>
            </w:r>
            <w:r>
              <w:rPr>
                <w:rFonts w:hint="eastAsia" w:asciiTheme="minorEastAsia" w:hAnsiTheme="minorEastAsia" w:eastAsiaTheme="minorEastAsia"/>
                <w:u w:val="single"/>
                <w:lang w:eastAsia="zh-CN"/>
              </w:rPr>
              <w:t>手工焊机、打磨机、切圆机、护栏打桩机、等离子切割机、电钻、电脑、打印机及办公设备；</w:t>
            </w:r>
            <w:r>
              <w:rPr>
                <w:rFonts w:hint="eastAsia" w:asciiTheme="minorEastAsia" w:hAnsiTheme="minorEastAsia" w:eastAsiaTheme="minor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cs="宋体"/>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外校</w:t>
            </w:r>
          </w:p>
          <w:p>
            <w:pPr>
              <w:shd w:val="clear" w:color="auto" w:fill="C7DAF1" w:themeFill="text2" w:themeFillTint="32"/>
              <w:rPr>
                <w:color w:val="000000" w:themeColor="text1"/>
                <w:u w:val="single"/>
              </w:rPr>
            </w:pPr>
            <w:r>
              <w:rPr>
                <w:rFonts w:hint="eastAsia"/>
              </w:rPr>
              <w:t>国家强检的计量器具有：</w:t>
            </w:r>
            <w:r>
              <w:rPr>
                <w:rFonts w:hint="eastAsia"/>
                <w:u w:val="single"/>
              </w:rPr>
              <w:t xml:space="preserve">   </w:t>
            </w:r>
            <w:r>
              <w:rPr>
                <w:rFonts w:hint="eastAsia"/>
                <w:color w:val="000000"/>
                <w:szCs w:val="21"/>
                <w:highlight w:val="none"/>
                <w:u w:val="single"/>
                <w:lang w:eastAsia="zh-CN"/>
              </w:rPr>
              <w:t>全站仪、水平仪、漆膜仪、经伟仪、游标卡尺、测距仪等</w:t>
            </w:r>
            <w:r>
              <w:rPr>
                <w:rFonts w:hint="eastAsia"/>
                <w:u w:val="single"/>
              </w:rPr>
              <w:t xml:space="preserve">    </w:t>
            </w:r>
            <w:r>
              <w:rPr>
                <w:rFonts w:hint="eastAsia"/>
              </w:rPr>
              <w:t xml:space="preserve"> </w:t>
            </w:r>
            <w:r>
              <w:rPr>
                <w:rFonts w:hint="eastAsia" w:ascii="宋体" w:hAnsi="宋体" w:cs="宋体"/>
                <w:color w:val="000000" w:themeColor="text1"/>
                <w:szCs w:val="21"/>
              </w:rPr>
              <w:t>。</w:t>
            </w:r>
          </w:p>
          <w:p>
            <w:pPr>
              <w:shd w:val="clear" w:color="auto" w:fill="C7DAF1" w:themeFill="text2" w:themeFillTint="32"/>
              <w:rPr>
                <w:u w:val="single"/>
              </w:rPr>
            </w:pPr>
            <w:r>
              <w:rPr>
                <w:rFonts w:hint="eastAsia"/>
                <w:color w:val="000000" w:themeColor="text1"/>
              </w:rPr>
              <w:t>计量器具管理：</w:t>
            </w:r>
            <w:r>
              <w:rPr>
                <w:rFonts w:hint="eastAsia" w:ascii="Wingdings" w:hAnsi="Wingdings"/>
              </w:rPr>
              <w:t>□</w:t>
            </w:r>
            <w:r>
              <w:rPr>
                <w:rFonts w:hint="eastAsia"/>
                <w:color w:val="000000" w:themeColor="text1"/>
              </w:rPr>
              <w:t>进行了定期校准/检定</w:t>
            </w:r>
            <w:r>
              <w:rPr>
                <w:rFonts w:hint="eastAsia"/>
              </w:rPr>
              <w:t xml:space="preserve">  </w:t>
            </w:r>
            <w:r>
              <w:rPr>
                <w:rFonts w:hint="eastAsia" w:ascii="宋体" w:hAnsi="宋体" w:eastAsia="宋体" w:cs="宋体"/>
              </w:rPr>
              <w:t>■</w:t>
            </w:r>
            <w:r>
              <w:rPr>
                <w:rFonts w:hint="eastAsia"/>
              </w:rPr>
              <w:t>未进行定期校准/检</w:t>
            </w:r>
            <w:r>
              <w:rPr>
                <w:rFonts w:hint="eastAsia"/>
                <w:highlight w:val="none"/>
              </w:rPr>
              <w:t>定的有：</w:t>
            </w:r>
            <w:r>
              <w:rPr>
                <w:rFonts w:hint="eastAsia"/>
                <w:highlight w:val="none"/>
                <w:u w:val="single"/>
              </w:rPr>
              <w:t xml:space="preserve">  </w:t>
            </w:r>
            <w:r>
              <w:rPr>
                <w:rFonts w:hint="eastAsia" w:ascii="Times New Roman" w:hAnsi="Times New Roman" w:eastAsia="宋体" w:cs="Times New Roman"/>
                <w:sz w:val="21"/>
                <w:szCs w:val="21"/>
                <w:highlight w:val="none"/>
                <w:u w:val="single"/>
              </w:rPr>
              <w:t>不能提供</w:t>
            </w:r>
            <w:r>
              <w:rPr>
                <w:rFonts w:hint="eastAsia"/>
                <w:color w:val="auto"/>
                <w:szCs w:val="21"/>
                <w:highlight w:val="none"/>
                <w:u w:val="single"/>
              </w:rPr>
              <w:t>全站仪、水平仪、漆膜仪、经伟仪、游标卡尺、测距仪</w:t>
            </w:r>
            <w:r>
              <w:rPr>
                <w:rFonts w:hint="eastAsia" w:ascii="Times New Roman" w:hAnsi="Times New Roman" w:eastAsia="宋体" w:cs="Times New Roman"/>
                <w:sz w:val="21"/>
                <w:szCs w:val="21"/>
                <w:highlight w:val="none"/>
                <w:u w:val="single"/>
              </w:rPr>
              <w:t>的有效校准证书</w:t>
            </w:r>
            <w:r>
              <w:rPr>
                <w:rFonts w:hint="eastAsia" w:ascii="Times New Roman" w:hAnsi="Times New Roman" w:cs="Times New Roman"/>
                <w:sz w:val="21"/>
                <w:szCs w:val="21"/>
                <w:highlight w:val="none"/>
                <w:u w:val="single"/>
                <w:lang w:eastAsia="zh-CN"/>
              </w:rPr>
              <w:t>，</w:t>
            </w:r>
            <w:r>
              <w:rPr>
                <w:rFonts w:hint="eastAsia" w:ascii="Times New Roman" w:hAnsi="Times New Roman" w:cs="Times New Roman"/>
                <w:sz w:val="21"/>
                <w:szCs w:val="21"/>
                <w:highlight w:val="none"/>
                <w:u w:val="single"/>
                <w:lang w:val="en-US" w:eastAsia="zh-CN"/>
              </w:rPr>
              <w:t>已开具不符合</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宋体" w:hAnsi="宋体" w:cs="宋体"/>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特种作业人员：</w:t>
            </w:r>
            <w:r>
              <w:rPr>
                <w:rFonts w:hint="eastAsia" w:ascii="Wingdings" w:hAnsi="Wingdings"/>
                <w:color w:val="000000" w:themeColor="text1"/>
              </w:rPr>
              <w:t>■</w:t>
            </w:r>
            <w:r>
              <w:rPr>
                <w:rFonts w:hint="eastAsia"/>
                <w:color w:val="000000" w:themeColor="text1"/>
              </w:rPr>
              <w:t xml:space="preserve">电工 </w:t>
            </w:r>
            <w:r>
              <w:rPr>
                <w:rFonts w:hint="eastAsia" w:ascii="宋体" w:hAnsi="宋体" w:cs="宋体"/>
                <w:color w:val="000000" w:themeColor="text1"/>
              </w:rPr>
              <w:t>■</w:t>
            </w:r>
            <w:r>
              <w:rPr>
                <w:rFonts w:hint="eastAsia" w:ascii="Wingdings" w:hAnsi="Wingdings"/>
                <w:color w:val="000000" w:themeColor="text1"/>
              </w:rPr>
              <w:t>焊工</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宋体" w:hAnsi="宋体" w:cs="宋体"/>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网站  </w:t>
            </w:r>
            <w:r>
              <w:rPr>
                <w:rFonts w:hint="eastAsia" w:ascii="宋体" w:hAnsi="宋体" w:cs="宋体"/>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rPr>
              <w:t>■</w:t>
            </w:r>
            <w:r>
              <w:rPr>
                <w:rFonts w:hint="eastAsia"/>
              </w:rPr>
              <w:t>其他：机械设备租赁</w:t>
            </w:r>
            <w:r>
              <w:rPr>
                <w:rFonts w:hint="eastAsia"/>
                <w:lang w:eastAsia="zh-CN"/>
              </w:rPr>
              <w:t>、</w:t>
            </w:r>
            <w:r>
              <w:rPr>
                <w:rFonts w:hint="eastAsia"/>
                <w:lang w:val="en-US" w:eastAsia="zh-CN"/>
              </w:rPr>
              <w:t>劳务分包</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rPr>
                      <w:highlight w:val="none"/>
                    </w:rPr>
                  </w:pPr>
                  <w:r>
                    <w:rPr>
                      <w:rFonts w:hint="eastAsia"/>
                      <w:highlight w:val="none"/>
                    </w:rPr>
                    <w:t>产品/服务名称</w:t>
                  </w:r>
                </w:p>
              </w:tc>
              <w:tc>
                <w:tcPr>
                  <w:tcW w:w="2259" w:type="dxa"/>
                </w:tcPr>
                <w:p>
                  <w:pPr>
                    <w:shd w:val="clear" w:color="auto" w:fill="C7DAF1" w:themeFill="text2" w:themeFillTint="32"/>
                    <w:jc w:val="left"/>
                    <w:rPr>
                      <w:highlight w:val="none"/>
                    </w:rPr>
                  </w:pPr>
                  <w:r>
                    <w:rPr>
                      <w:rFonts w:hint="eastAsia"/>
                      <w:highlight w:val="none"/>
                    </w:rPr>
                    <w:t>关键过程</w:t>
                  </w:r>
                </w:p>
              </w:tc>
              <w:tc>
                <w:tcPr>
                  <w:tcW w:w="3640"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eastAsia="宋体"/>
                      <w:highlight w:val="none"/>
                      <w:lang w:eastAsia="zh-CN"/>
                    </w:rPr>
                  </w:pPr>
                  <w:r>
                    <w:rPr>
                      <w:rFonts w:hint="eastAsia"/>
                      <w:sz w:val="20"/>
                      <w:highlight w:val="none"/>
                      <w:lang w:eastAsia="zh-CN"/>
                    </w:rPr>
                    <w:t>资质范围内市政公用工程施工，地基基础工程专业承包</w:t>
                  </w:r>
                </w:p>
              </w:tc>
              <w:tc>
                <w:tcPr>
                  <w:tcW w:w="2259" w:type="dxa"/>
                </w:tcPr>
                <w:p>
                  <w:pPr>
                    <w:rPr>
                      <w:szCs w:val="21"/>
                      <w:highlight w:val="none"/>
                      <w:u w:val="none"/>
                    </w:rPr>
                  </w:pPr>
                  <w:r>
                    <w:rPr>
                      <w:rFonts w:hint="eastAsia"/>
                      <w:szCs w:val="21"/>
                      <w:highlight w:val="none"/>
                      <w:u w:val="none"/>
                    </w:rPr>
                    <w:t>关键过程：</w:t>
                  </w:r>
                  <w:r>
                    <w:rPr>
                      <w:rFonts w:hint="eastAsia"/>
                      <w:color w:val="000000" w:themeColor="text1"/>
                      <w:highlight w:val="none"/>
                      <w:u w:val="none"/>
                    </w:rPr>
                    <w:t>施工过程</w:t>
                  </w:r>
                </w:p>
                <w:p>
                  <w:pPr>
                    <w:rPr>
                      <w:szCs w:val="21"/>
                      <w:highlight w:val="none"/>
                      <w:u w:val="none"/>
                    </w:rPr>
                  </w:pPr>
                </w:p>
              </w:tc>
              <w:tc>
                <w:tcPr>
                  <w:tcW w:w="3640" w:type="dxa"/>
                </w:tcPr>
                <w:p>
                  <w:pPr>
                    <w:rPr>
                      <w:szCs w:val="21"/>
                      <w:highlight w:val="none"/>
                      <w:u w:val="none"/>
                    </w:rPr>
                  </w:pPr>
                  <w:r>
                    <w:rPr>
                      <w:rFonts w:hint="eastAsia"/>
                      <w:color w:val="000000" w:themeColor="text1"/>
                      <w:highlight w:val="none"/>
                      <w:u w:val="none"/>
                    </w:rPr>
                    <w:t>按施工方案进行施工</w:t>
                  </w:r>
                </w:p>
              </w:tc>
            </w:tr>
          </w:tbl>
          <w:p>
            <w:pPr>
              <w:shd w:val="clear" w:color="auto" w:fill="C7DAF1" w:themeFill="text2" w:themeFillTint="32"/>
              <w:jc w:val="left"/>
            </w:pPr>
          </w:p>
          <w:p>
            <w:pPr>
              <w:rPr>
                <w:color w:val="000000" w:themeColor="text1"/>
                <w:highlight w:val="none"/>
              </w:rPr>
            </w:pPr>
            <w:r>
              <w:rPr>
                <w:rFonts w:hint="eastAsia"/>
              </w:rPr>
              <w:t>需要确</w:t>
            </w:r>
            <w:r>
              <w:rPr>
                <w:rFonts w:hint="eastAsia"/>
                <w:highlight w:val="none"/>
              </w:rPr>
              <w:t>认的过程：</w:t>
            </w:r>
            <w:r>
              <w:rPr>
                <w:rFonts w:hint="eastAsia"/>
                <w:highlight w:val="none"/>
                <w:u w:val="single"/>
              </w:rPr>
              <w:t>隐蔽工程、焊接过程；</w:t>
            </w:r>
          </w:p>
          <w:p>
            <w:pPr>
              <w:shd w:val="clear" w:color="auto" w:fill="C7DAF1" w:themeFill="text2" w:themeFillTint="32"/>
              <w:jc w:val="left"/>
              <w:rPr>
                <w:color w:val="000000" w:themeColor="text1"/>
              </w:rPr>
            </w:pPr>
            <w:r>
              <w:rPr>
                <w:rFonts w:hint="eastAsia" w:ascii="Wingdings" w:hAnsi="Wingdings"/>
                <w:color w:val="000000" w:themeColor="text1"/>
              </w:rPr>
              <w:t>■</w:t>
            </w:r>
            <w:r>
              <w:rPr>
                <w:rFonts w:hint="eastAsia"/>
                <w:color w:val="000000" w:themeColor="text1"/>
              </w:rPr>
              <w:t xml:space="preserve">进行了有效的确认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p>
          <w:p>
            <w:pPr>
              <w:shd w:val="clear" w:color="auto" w:fill="C7DAF1" w:themeFill="text2" w:themeFillTint="32"/>
              <w:jc w:val="left"/>
            </w:pPr>
            <w:r>
              <w:rPr>
                <w:rFonts w:hint="eastAsia"/>
                <w:color w:val="000000" w:themeColor="text1"/>
              </w:rPr>
              <w:t>对生产和服务提供过程的控制</w:t>
            </w:r>
            <w:r>
              <w:rPr>
                <w:rFonts w:hint="eastAsia" w:ascii="Wingdings" w:hAnsi="Wingdings"/>
                <w:color w:val="000000" w:themeColor="text1"/>
              </w:rPr>
              <w:t>■</w:t>
            </w:r>
            <w:r>
              <w:rPr>
                <w:rFonts w:hint="eastAsia"/>
                <w:color w:val="000000" w:themeColor="text1"/>
              </w:rPr>
              <w:t xml:space="preserve">符合要求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■图纸</w:t>
            </w:r>
            <w:r>
              <w:rPr>
                <w:rFonts w:hint="eastAsia"/>
              </w:rPr>
              <w:t xml:space="preserve">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宋体" w:hAnsi="宋体" w:cs="宋体"/>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■其它：</w:t>
            </w:r>
            <w:r>
              <w:rPr>
                <w:rFonts w:hint="eastAsia"/>
              </w:rPr>
              <w:t>返工</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□图纸</w:t>
            </w:r>
            <w:r>
              <w:rPr>
                <w:rFonts w:hint="eastAsia"/>
              </w:rPr>
              <w:t xml:space="preserve">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2022年4月13-14日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pStyle w:val="1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eastAsia="zh-CN"/>
              </w:rPr>
              <w:t>2022年4月27日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hint="eastAsia" w:ascii="Times New Roman" w:hAnsi="Times New Roman" w:cs="Times New Roman"/>
        </w:rPr>
      </w:pPr>
      <w:r>
        <w:tab/>
      </w:r>
      <w:r>
        <w:tab/>
      </w:r>
      <w:r>
        <w:t>4 =不适用</w:t>
      </w:r>
      <w:r>
        <w:br w:type="page"/>
      </w:r>
      <w:r>
        <w:rPr>
          <w:rFonts w:hint="eastAsia" w:ascii="Times New Roman" w:hAnsi="Times New Roman" w:cs="Times New Roman"/>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ascii="宋体" w:hAnsi="宋体" w:cs="宋体"/>
              </w:rPr>
              <w:t>■</w:t>
            </w:r>
            <w:r>
              <w:rPr>
                <w:rFonts w:hint="eastAsia"/>
              </w:rPr>
              <w:t>其他：</w:t>
            </w:r>
            <w:r>
              <w:rPr>
                <w:rFonts w:hint="eastAsia"/>
                <w:highlight w:val="none"/>
              </w:rPr>
              <w:t>机械设备租赁</w:t>
            </w:r>
            <w:r>
              <w:rPr>
                <w:rFonts w:hint="eastAsia"/>
                <w:highlight w:val="none"/>
                <w:lang w:eastAsia="zh-CN"/>
              </w:rPr>
              <w:t>、</w:t>
            </w:r>
            <w:r>
              <w:rPr>
                <w:rFonts w:hint="eastAsia"/>
                <w:highlight w:val="none"/>
                <w:lang w:val="en-US" w:eastAsia="zh-CN"/>
              </w:rPr>
              <w:t>劳务分包</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u w:val="single"/>
                <w:lang w:val="en-GB" w:eastAsia="zh-CN"/>
              </w:rPr>
              <w:t>优质高效；顾客满意；节能惜资；以人为本；协商参与；员工满意；遵章守法；预防改进</w:t>
            </w:r>
            <w:r>
              <w:rPr>
                <w:rFonts w:hint="eastAsia"/>
                <w:u w:val="single"/>
                <w:lang w:val="en-GB"/>
              </w:rPr>
              <w:t>。</w:t>
            </w:r>
            <w:r>
              <w:rPr>
                <w:rFonts w:hint="eastAsia"/>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粉尘排放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噪声排放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固废排放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废水排放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ascii="Times New Roman" w:hAnsi="Times New Roman" w:eastAsia="宋体" w:cs="Times New Roman"/>
                      <w:b w:val="0"/>
                      <w:bCs/>
                      <w:sz w:val="20"/>
                    </w:rPr>
                    <w:t>火灾、爆炸</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0" w:lineRule="atLeast"/>
                    <w:rPr>
                      <w:sz w:val="21"/>
                      <w:szCs w:val="21"/>
                      <w:highlight w:val="none"/>
                    </w:rPr>
                  </w:pPr>
                  <w:r>
                    <w:rPr>
                      <w:rFonts w:hint="eastAsia"/>
                      <w:sz w:val="21"/>
                      <w:szCs w:val="21"/>
                      <w:highlight w:val="none"/>
                    </w:rPr>
                    <w:t>资源能源消耗</w:t>
                  </w:r>
                </w:p>
              </w:tc>
              <w:tc>
                <w:tcPr>
                  <w:tcW w:w="0" w:type="auto"/>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0" w:lineRule="atLeast"/>
                    <w:rPr>
                      <w:sz w:val="21"/>
                      <w:szCs w:val="21"/>
                      <w:highlight w:val="none"/>
                    </w:rPr>
                  </w:pPr>
                  <w:r>
                    <w:rPr>
                      <w:rFonts w:hint="eastAsia"/>
                      <w:sz w:val="21"/>
                      <w:szCs w:val="21"/>
                      <w:highlight w:val="none"/>
                    </w:rPr>
                    <w:t>自然环境破坏</w:t>
                  </w:r>
                </w:p>
              </w:tc>
              <w:tc>
                <w:tcPr>
                  <w:tcW w:w="0" w:type="auto"/>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pPr>
            <w:r>
              <w:rPr>
                <w:rFonts w:hint="eastAsia"/>
              </w:rPr>
              <w:t>重要环境因素包括(必要时，按每个场所来描述):（不必全选）</w:t>
            </w:r>
          </w:p>
          <w:p>
            <w:pPr>
              <w:shd w:val="clear" w:color="auto" w:fill="EBF1DE" w:themeFill="accent3" w:themeFillTint="32"/>
              <w:spacing w:before="40" w:after="40"/>
            </w:pPr>
            <w:r>
              <w:rPr>
                <w:rFonts w:hint="eastAsia"/>
              </w:rPr>
              <w:t>■能源消耗  ■资源消耗 ■废水排放  □废气排放 ■粉尘排放  ■危废排放 ■噪声排放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ascii="宋体" w:hAnsi="宋体" w:cs="宋体"/>
              </w:rPr>
              <w:t>■</w:t>
            </w:r>
            <w:r>
              <w:rPr>
                <w:rFonts w:hint="eastAsia"/>
              </w:rPr>
              <w:t>污水处理  □</w:t>
            </w:r>
            <w:r>
              <w:t>油烟</w:t>
            </w:r>
            <w:r>
              <w:rPr>
                <w:rFonts w:hint="eastAsia"/>
              </w:rPr>
              <w:t xml:space="preserve">处理设备 </w:t>
            </w:r>
            <w:r>
              <w:rPr>
                <w:rFonts w:hint="eastAsia" w:ascii="宋体" w:hAnsi="宋体" w:cs="宋体"/>
              </w:rPr>
              <w:t>■</w:t>
            </w:r>
            <w:r>
              <w:rPr>
                <w:rFonts w:hint="eastAsia"/>
              </w:rPr>
              <w:t xml:space="preserve">设备降噪  □危废合法处置 □使用节能设备 □危化品控制 </w:t>
            </w:r>
          </w:p>
          <w:p>
            <w:pPr>
              <w:shd w:val="clear" w:color="auto" w:fill="EBF1DE" w:themeFill="accent3" w:themeFillTint="32"/>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宋体" w:hAnsi="宋体" w:eastAsia="宋体" w:cs="Times New Roman"/>
                    </w:rPr>
                  </w:pPr>
                  <w:r>
                    <w:rPr>
                      <w:rFonts w:hint="eastAsia"/>
                      <w:color w:val="auto"/>
                      <w:szCs w:val="18"/>
                    </w:rPr>
                    <w:t>施工污水排放达标率100%；</w:t>
                  </w:r>
                </w:p>
              </w:tc>
              <w:tc>
                <w:tcPr>
                  <w:tcW w:w="3273"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rPr>
                    <w:t>通过管理方案进行管理</w:t>
                  </w:r>
                </w:p>
              </w:tc>
              <w:tc>
                <w:tcPr>
                  <w:tcW w:w="1213" w:type="dxa"/>
                  <w:shd w:val="clear" w:color="auto" w:fill="auto"/>
                  <w:vAlign w:val="center"/>
                </w:tcPr>
                <w:p>
                  <w:pPr>
                    <w:shd w:val="clear" w:color="auto" w:fill="EBF1DE" w:themeFill="accent3" w:themeFillTint="32"/>
                  </w:pPr>
                  <w:r>
                    <w:rPr>
                      <w:rFonts w:hint="eastAsia"/>
                    </w:rPr>
                    <w:t>工程部</w:t>
                  </w:r>
                </w:p>
              </w:tc>
              <w:tc>
                <w:tcPr>
                  <w:tcW w:w="1774" w:type="dxa"/>
                  <w:shd w:val="clear" w:color="auto" w:fill="auto"/>
                  <w:vAlign w:val="top"/>
                </w:tcPr>
                <w:p>
                  <w:pPr>
                    <w:widowControl/>
                    <w:spacing w:before="40"/>
                    <w:jc w:val="left"/>
                    <w:rPr>
                      <w:rFonts w:ascii="宋体" w:hAnsi="宋体"/>
                    </w:rPr>
                  </w:pPr>
                  <w:r>
                    <w:rPr>
                      <w:rFonts w:hint="default"/>
                      <w:color w:val="auto"/>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宋体" w:hAnsi="宋体" w:eastAsia="宋体" w:cs="Times New Roman"/>
                    </w:rPr>
                  </w:pPr>
                  <w:r>
                    <w:rPr>
                      <w:rFonts w:hint="eastAsia"/>
                      <w:color w:val="auto"/>
                      <w:szCs w:val="18"/>
                    </w:rPr>
                    <w:t>噪声达标排放；</w:t>
                  </w:r>
                </w:p>
              </w:tc>
              <w:tc>
                <w:tcPr>
                  <w:tcW w:w="3273"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通过管理方案进行管理</w:t>
                  </w:r>
                </w:p>
              </w:tc>
              <w:tc>
                <w:tcPr>
                  <w:tcW w:w="1213" w:type="dxa"/>
                  <w:shd w:val="clear" w:color="auto" w:fill="auto"/>
                  <w:vAlign w:val="center"/>
                </w:tcPr>
                <w:p>
                  <w:pPr>
                    <w:shd w:val="clear" w:color="auto" w:fill="EBF1DE" w:themeFill="accent3" w:themeFillTint="32"/>
                    <w:rPr>
                      <w:rFonts w:hint="eastAsia" w:eastAsia="宋体"/>
                      <w:lang w:eastAsia="zh-CN"/>
                    </w:rPr>
                  </w:pPr>
                  <w:r>
                    <w:rPr>
                      <w:rFonts w:hint="eastAsia"/>
                    </w:rPr>
                    <w:t>工程部</w:t>
                  </w:r>
                </w:p>
              </w:tc>
              <w:tc>
                <w:tcPr>
                  <w:tcW w:w="1774" w:type="dxa"/>
                  <w:shd w:val="clear" w:color="auto" w:fill="auto"/>
                  <w:vAlign w:val="top"/>
                </w:tcPr>
                <w:p>
                  <w:pPr>
                    <w:widowControl/>
                    <w:spacing w:before="40"/>
                    <w:jc w:val="left"/>
                    <w:rPr>
                      <w:rFonts w:hint="eastAsia" w:ascii="宋体" w:hAnsi="宋体" w:eastAsia="宋体"/>
                      <w:lang w:eastAsia="zh-CN"/>
                    </w:rPr>
                  </w:pPr>
                  <w:r>
                    <w:rPr>
                      <w:rFonts w:hint="default"/>
                      <w:color w:val="auto"/>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宋体" w:hAnsi="宋体" w:eastAsia="宋体" w:cs="Times New Roman"/>
                    </w:rPr>
                  </w:pPr>
                  <w:r>
                    <w:rPr>
                      <w:rFonts w:hint="eastAsia"/>
                      <w:color w:val="auto"/>
                      <w:szCs w:val="18"/>
                    </w:rPr>
                    <w:t>扬尘、建筑垃圾、生活垃圾排放达标</w:t>
                  </w:r>
                </w:p>
              </w:tc>
              <w:tc>
                <w:tcPr>
                  <w:tcW w:w="3273"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采取分类收集、管理方案进行管理</w:t>
                  </w:r>
                </w:p>
              </w:tc>
              <w:tc>
                <w:tcPr>
                  <w:tcW w:w="1213"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rPr>
                    <w:t>工程部</w:t>
                  </w:r>
                </w:p>
              </w:tc>
              <w:tc>
                <w:tcPr>
                  <w:tcW w:w="1774" w:type="dxa"/>
                  <w:shd w:val="clear" w:color="auto" w:fill="auto"/>
                  <w:vAlign w:val="top"/>
                </w:tcPr>
                <w:p>
                  <w:pPr>
                    <w:widowControl/>
                    <w:spacing w:before="40"/>
                    <w:jc w:val="left"/>
                    <w:rPr>
                      <w:rFonts w:hint="eastAsia" w:ascii="宋体" w:hAnsi="宋体" w:eastAsia="宋体"/>
                      <w:lang w:eastAsia="zh-CN"/>
                    </w:rPr>
                  </w:pPr>
                  <w:r>
                    <w:rPr>
                      <w:rFonts w:hint="default"/>
                      <w:color w:val="auto"/>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宋体" w:hAnsi="宋体"/>
                      <w:szCs w:val="21"/>
                    </w:rPr>
                  </w:pPr>
                  <w:r>
                    <w:rPr>
                      <w:rFonts w:hint="eastAsia"/>
                      <w:color w:val="auto"/>
                      <w:szCs w:val="18"/>
                    </w:rPr>
                    <w:t>杜绝</w:t>
                  </w:r>
                  <w:r>
                    <w:rPr>
                      <w:rFonts w:hint="eastAsia"/>
                      <w:color w:val="auto"/>
                      <w:szCs w:val="18"/>
                      <w:lang w:eastAsia="zh-CN"/>
                    </w:rPr>
                    <w:t>火灾及</w:t>
                  </w:r>
                  <w:r>
                    <w:rPr>
                      <w:rFonts w:hint="eastAsia"/>
                      <w:color w:val="auto"/>
                      <w:szCs w:val="18"/>
                    </w:rPr>
                    <w:t>死亡事故；</w:t>
                  </w:r>
                </w:p>
              </w:tc>
              <w:tc>
                <w:tcPr>
                  <w:tcW w:w="3273"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rPr>
                    <w:t>通过管理方案</w:t>
                  </w:r>
                  <w:r>
                    <w:rPr>
                      <w:rFonts w:hint="eastAsia" w:ascii="宋体" w:hAnsi="宋体" w:eastAsia="宋体" w:cs="Times New Roman"/>
                      <w:lang w:eastAsia="zh-CN"/>
                    </w:rPr>
                    <w:t>、</w:t>
                  </w:r>
                  <w:r>
                    <w:rPr>
                      <w:rFonts w:hint="eastAsia" w:ascii="宋体" w:hAnsi="宋体" w:eastAsia="宋体" w:cs="Times New Roman"/>
                      <w:lang w:val="en-US" w:eastAsia="zh-CN"/>
                    </w:rPr>
                    <w:t>应急演练</w:t>
                  </w:r>
                  <w:r>
                    <w:rPr>
                      <w:rFonts w:hint="eastAsia" w:ascii="宋体" w:hAnsi="宋体" w:eastAsia="宋体" w:cs="Times New Roman"/>
                    </w:rPr>
                    <w:t>进行管理</w:t>
                  </w:r>
                </w:p>
              </w:tc>
              <w:tc>
                <w:tcPr>
                  <w:tcW w:w="1213" w:type="dxa"/>
                  <w:shd w:val="clear" w:color="auto" w:fill="auto"/>
                  <w:vAlign w:val="center"/>
                </w:tcPr>
                <w:p>
                  <w:pPr>
                    <w:shd w:val="clear" w:color="auto" w:fill="EBF1DE" w:themeFill="accent3" w:themeFillTint="32"/>
                    <w:rPr>
                      <w:rFonts w:ascii="宋体" w:hAnsi="宋体"/>
                    </w:rPr>
                  </w:pPr>
                  <w:r>
                    <w:rPr>
                      <w:rFonts w:hint="eastAsia"/>
                      <w:lang w:eastAsia="zh-CN"/>
                    </w:rPr>
                    <w:t>综合部</w:t>
                  </w:r>
                </w:p>
              </w:tc>
              <w:tc>
                <w:tcPr>
                  <w:tcW w:w="1774" w:type="dxa"/>
                  <w:shd w:val="clear" w:color="auto" w:fill="auto"/>
                  <w:vAlign w:val="top"/>
                </w:tcPr>
                <w:p>
                  <w:pPr>
                    <w:widowControl/>
                    <w:spacing w:before="40"/>
                    <w:jc w:val="left"/>
                    <w:rPr>
                      <w:rFonts w:ascii="宋体" w:hAnsi="宋体"/>
                    </w:rPr>
                  </w:pPr>
                  <w:r>
                    <w:rPr>
                      <w:rFonts w:hint="eastAsia"/>
                      <w:color w:val="auto"/>
                      <w:szCs w:val="18"/>
                      <w:lang w:val="en-US" w:eastAsia="zh-CN"/>
                    </w:rPr>
                    <w:t>0</w:t>
                  </w: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宋体" w:hAnsi="宋体" w:cs="宋体"/>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highlight w:val="none"/>
              </w:rPr>
            </w:pPr>
            <w:r>
              <w:rPr>
                <w:rFonts w:hint="eastAsia"/>
                <w:highlight w:val="none"/>
                <w:lang w:eastAsia="zh-CN"/>
              </w:rPr>
              <w:t>建筑面积300平方米左右；在建项目2个；库房   个；实验室个；</w:t>
            </w:r>
            <w:r>
              <w:rPr>
                <w:rFonts w:hint="eastAsia"/>
                <w:highlight w:val="none"/>
              </w:rPr>
              <w:t>；</w:t>
            </w:r>
          </w:p>
          <w:p>
            <w:pPr>
              <w:shd w:val="clear" w:color="auto" w:fill="EBF1DE" w:themeFill="accent3" w:themeFillTint="32"/>
              <w:rPr>
                <w:highlight w:val="none"/>
              </w:rPr>
            </w:pPr>
            <w:r>
              <w:rPr>
                <w:rFonts w:hint="eastAsia"/>
                <w:highlight w:val="none"/>
              </w:rPr>
              <w:t>主要生产设备有：</w:t>
            </w:r>
            <w:r>
              <w:rPr>
                <w:rFonts w:hint="eastAsia"/>
                <w:highlight w:val="none"/>
                <w:u w:val="single"/>
                <w:lang w:eastAsia="zh-CN"/>
              </w:rPr>
              <w:t>手工焊机、打磨机、切圆机、护栏打桩机、等离子切割机、电钻、电脑、打印机及办公设备；</w:t>
            </w:r>
            <w:r>
              <w:rPr>
                <w:rFonts w:hint="eastAsia"/>
                <w:highlight w:val="none"/>
                <w:u w:val="single"/>
              </w:rPr>
              <w:t>。</w:t>
            </w:r>
          </w:p>
          <w:p>
            <w:pPr>
              <w:shd w:val="clear" w:color="auto" w:fill="EBF1DE" w:themeFill="accent3" w:themeFillTint="32"/>
              <w:rPr>
                <w:highlight w:val="none"/>
              </w:rPr>
            </w:pPr>
            <w:r>
              <w:rPr>
                <w:rFonts w:hint="eastAsia"/>
                <w:highlight w:val="none"/>
              </w:rPr>
              <w:t>主要环保设备有：</w:t>
            </w:r>
            <w:r>
              <w:rPr>
                <w:rFonts w:hint="eastAsia"/>
                <w:highlight w:val="none"/>
                <w:u w:val="single"/>
              </w:rPr>
              <w:t xml:space="preserve">            </w:t>
            </w:r>
            <w:r>
              <w:rPr>
                <w:rFonts w:hint="eastAsia"/>
                <w:highlight w:val="none"/>
              </w:rPr>
              <w:t>（列举2~4种）</w:t>
            </w:r>
          </w:p>
          <w:p>
            <w:pPr>
              <w:shd w:val="clear" w:color="auto" w:fill="EBF1DE" w:themeFill="accent3"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宋体" w:hAnsi="宋体" w:cs="宋体"/>
                <w:highlight w:val="none"/>
              </w:rPr>
              <w:t>■</w:t>
            </w:r>
            <w:r>
              <w:rPr>
                <w:rFonts w:hint="eastAsia"/>
                <w:highlight w:val="none"/>
              </w:rPr>
              <w:t>不适用</w:t>
            </w:r>
          </w:p>
          <w:p>
            <w:pPr>
              <w:shd w:val="clear" w:color="auto" w:fill="EBF1DE" w:themeFill="accent3" w:themeFillTint="32"/>
              <w:rPr>
                <w:highlight w:val="none"/>
              </w:rPr>
            </w:pPr>
            <w:r>
              <w:rPr>
                <w:rFonts w:hint="eastAsia"/>
                <w:highlight w:val="none"/>
              </w:rPr>
              <w:t>辅助场所：</w:t>
            </w:r>
            <w:r>
              <w:rPr>
                <w:rFonts w:hint="eastAsia" w:ascii="Wingdings" w:hAnsi="Wingdings"/>
                <w:highlight w:val="none"/>
              </w:rPr>
              <w:t>□</w:t>
            </w:r>
            <w:r>
              <w:rPr>
                <w:rFonts w:hint="eastAsia"/>
                <w:highlight w:val="none"/>
              </w:rPr>
              <w:t>高压配电室</w:t>
            </w:r>
            <w:r>
              <w:rPr>
                <w:rFonts w:hint="eastAsia" w:ascii="Wingdings" w:hAnsi="Wingdings"/>
                <w:highlight w:val="none"/>
              </w:rPr>
              <w:t>□</w:t>
            </w:r>
            <w:r>
              <w:rPr>
                <w:rFonts w:hint="eastAsia"/>
                <w:highlight w:val="none"/>
              </w:rPr>
              <w:t>低压配电室</w:t>
            </w:r>
            <w:r>
              <w:rPr>
                <w:rFonts w:hint="eastAsia" w:ascii="Wingdings" w:hAnsi="Wingdings"/>
                <w:highlight w:val="none"/>
              </w:rPr>
              <w:t>□</w:t>
            </w:r>
            <w:r>
              <w:rPr>
                <w:rFonts w:hint="eastAsia"/>
                <w:highlight w:val="none"/>
              </w:rPr>
              <w:t>空压站</w:t>
            </w:r>
            <w:r>
              <w:rPr>
                <w:rFonts w:hint="eastAsia" w:ascii="Wingdings" w:hAnsi="Wingdings"/>
                <w:highlight w:val="none"/>
              </w:rPr>
              <w:t>□</w:t>
            </w:r>
            <w:r>
              <w:rPr>
                <w:rFonts w:hint="eastAsia"/>
                <w:highlight w:val="none"/>
              </w:rPr>
              <w:t>锅炉房</w:t>
            </w:r>
            <w:r>
              <w:rPr>
                <w:rFonts w:hint="eastAsia" w:ascii="Wingdings" w:hAnsi="Wingdings"/>
                <w:highlight w:val="none"/>
              </w:rPr>
              <w:t>□</w:t>
            </w:r>
            <w:r>
              <w:rPr>
                <w:rFonts w:hint="eastAsia"/>
                <w:highlight w:val="none"/>
              </w:rPr>
              <w:t>食堂</w:t>
            </w:r>
            <w:r>
              <w:rPr>
                <w:rFonts w:hint="eastAsia" w:ascii="Wingdings" w:hAnsi="Wingdings"/>
                <w:highlight w:val="none"/>
              </w:rPr>
              <w:t>□</w:t>
            </w:r>
            <w:r>
              <w:rPr>
                <w:rFonts w:hint="eastAsia"/>
                <w:highlight w:val="none"/>
              </w:rPr>
              <w:t>危化品库</w:t>
            </w:r>
          </w:p>
          <w:p>
            <w:pPr>
              <w:shd w:val="clear" w:color="auto" w:fill="EBF1DE" w:themeFill="accent3" w:themeFillTint="32"/>
              <w:ind w:firstLine="1050" w:firstLineChars="500"/>
              <w:rPr>
                <w:highlight w:val="none"/>
              </w:rPr>
            </w:pPr>
            <w:r>
              <w:rPr>
                <w:rFonts w:hint="eastAsia" w:ascii="Wingdings" w:hAnsi="Wingdings"/>
                <w:highlight w:val="none"/>
              </w:rPr>
              <w:t>□</w:t>
            </w:r>
            <w:r>
              <w:rPr>
                <w:rFonts w:hint="eastAsia"/>
                <w:highlight w:val="none"/>
              </w:rPr>
              <w:t>危废库</w:t>
            </w:r>
            <w:r>
              <w:rPr>
                <w:rFonts w:hint="eastAsia" w:ascii="Wingdings" w:hAnsi="Wingdings"/>
                <w:highlight w:val="none"/>
              </w:rPr>
              <w:t>□</w:t>
            </w:r>
            <w:r>
              <w:rPr>
                <w:rFonts w:hint="eastAsia"/>
                <w:highlight w:val="none"/>
              </w:rPr>
              <w:t>建筑施工</w:t>
            </w:r>
            <w:r>
              <w:rPr>
                <w:rFonts w:hint="eastAsia" w:ascii="Wingdings" w:hAnsi="Wingdings"/>
                <w:highlight w:val="none"/>
              </w:rPr>
              <w:t>□</w:t>
            </w:r>
            <w:r>
              <w:rPr>
                <w:rFonts w:hint="eastAsia"/>
                <w:highlight w:val="none"/>
              </w:rPr>
              <w:t>污水处理站</w:t>
            </w:r>
            <w:r>
              <w:rPr>
                <w:rFonts w:hint="eastAsia" w:ascii="Wingdings" w:hAnsi="Wingdings"/>
                <w:highlight w:val="none"/>
              </w:rPr>
              <w:t>□</w:t>
            </w:r>
            <w:r>
              <w:rPr>
                <w:rFonts w:hint="eastAsia"/>
                <w:highlight w:val="none"/>
              </w:rPr>
              <w:t>其他</w:t>
            </w:r>
          </w:p>
          <w:p>
            <w:pPr>
              <w:shd w:val="clear" w:color="auto" w:fill="EBF1DE" w:themeFill="accent3" w:themeFillTint="32"/>
              <w:rPr>
                <w:highlight w:val="none"/>
              </w:rPr>
            </w:pPr>
            <w:r>
              <w:rPr>
                <w:rFonts w:hint="eastAsia" w:ascii="宋体" w:hAnsi="宋体" w:cs="宋体"/>
                <w:highlight w:val="none"/>
              </w:rPr>
              <w:t>■</w:t>
            </w:r>
            <w:r>
              <w:rPr>
                <w:rFonts w:hint="eastAsia"/>
                <w:highlight w:val="none"/>
              </w:rPr>
              <w:t>组织</w:t>
            </w:r>
            <w:r>
              <w:rPr>
                <w:highlight w:val="none"/>
              </w:rPr>
              <w:t>现有</w:t>
            </w:r>
            <w:r>
              <w:rPr>
                <w:rFonts w:hint="eastAsia"/>
                <w:highlight w:val="none"/>
              </w:rPr>
              <w:t>基础设施可满足环境管理体系运行；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基础设施可基本满足环境管理体系运行，但是还有不足需要补充：</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基础设施完全不能满足环境管理体系运行，</w:t>
            </w:r>
            <w:r>
              <w:rPr>
                <w:highlight w:val="none"/>
              </w:rPr>
              <w:t>需要从外部供方获得</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 ■招聘 □换岗 ■培训  ■考核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宋体" w:hAnsi="宋体" w:cs="宋体"/>
              </w:rPr>
              <w:t>■</w:t>
            </w:r>
            <w:r>
              <w:rPr>
                <w:rFonts w:hint="eastAsia" w:ascii="Wingdings" w:hAnsi="Wingdings"/>
              </w:rPr>
              <w:t>焊工</w:t>
            </w:r>
            <w:r>
              <w:rPr>
                <w:rFonts w:hint="eastAsia"/>
              </w:rPr>
              <w:t xml:space="preserve">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pPr>
                  <w:r>
                    <w:rPr>
                      <w:rFonts w:hint="eastAsia"/>
                    </w:rPr>
                    <w:t>重要环境因素</w:t>
                  </w:r>
                </w:p>
              </w:tc>
              <w:tc>
                <w:tcPr>
                  <w:tcW w:w="4364" w:type="dxa"/>
                </w:tcPr>
                <w:p>
                  <w:pPr>
                    <w:shd w:val="clear" w:color="auto" w:fill="EBF1DE" w:themeFill="accent3" w:themeFillTint="32"/>
                    <w:jc w:val="left"/>
                  </w:pPr>
                  <w:r>
                    <w:rPr>
                      <w:rFonts w:hint="eastAsia"/>
                    </w:rPr>
                    <w:t>控制措施</w:t>
                  </w:r>
                </w:p>
              </w:tc>
              <w:tc>
                <w:tcPr>
                  <w:tcW w:w="2404"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粉尘排放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噪声排放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固废排放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宋体" w:hAnsi="宋体" w:cs="宋体"/>
                      <w:szCs w:val="21"/>
                    </w:rPr>
                    <w:t>废水排放</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Times New Roman" w:hAnsi="Times New Roman" w:eastAsia="宋体" w:cs="Times New Roman"/>
                      <w:b w:val="0"/>
                      <w:bCs/>
                      <w:sz w:val="20"/>
                    </w:rPr>
                    <w:t>火灾、爆炸</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通过管理方案和预案措施、应急演练进行管理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宋体" w:hAnsi="宋体" w:cs="宋体"/>
                      <w:szCs w:val="21"/>
                    </w:rPr>
                    <w:t>资源能源消耗</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宋体" w:hAnsi="宋体" w:cs="宋体"/>
                      <w:szCs w:val="21"/>
                    </w:rPr>
                    <w:t>自然环境破坏</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rPr>
                      <w:rFonts w:asciiTheme="minorEastAsia" w:hAnsiTheme="minorEastAsia" w:eastAsiaTheme="minorEastAsia"/>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□图纸</w:t>
            </w:r>
            <w:r>
              <w:rPr>
                <w:rFonts w:hint="eastAsia"/>
              </w:rPr>
              <w:t xml:space="preserve">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rPr>
                <w:highlight w:val="none"/>
              </w:rPr>
            </w:pPr>
            <w:r>
              <w:rPr>
                <w:rFonts w:hint="eastAsia" w:ascii="Wingdings" w:hAnsi="Wingdings"/>
              </w:rPr>
              <w:t>■</w:t>
            </w:r>
            <w:r>
              <w:rPr>
                <w:rFonts w:hint="eastAsia"/>
              </w:rPr>
              <w:t xml:space="preserve">火灾控制 </w:t>
            </w:r>
            <w:r>
              <w:rPr>
                <w:rFonts w:hint="eastAsia" w:ascii="Wingdings" w:hAnsi="Wingdings"/>
              </w:rPr>
              <w:t>□</w:t>
            </w:r>
            <w:r>
              <w:rPr>
                <w:rFonts w:hint="eastAsia"/>
              </w:rPr>
              <w:t>危化品</w:t>
            </w:r>
            <w:r>
              <w:rPr>
                <w:rFonts w:hint="eastAsia"/>
                <w:highlight w:val="none"/>
              </w:rPr>
              <w:t xml:space="preserve">泄露 </w:t>
            </w:r>
            <w:r>
              <w:rPr>
                <w:rFonts w:hint="eastAsia" w:ascii="Wingdings" w:hAnsi="Wingdings"/>
                <w:highlight w:val="none"/>
              </w:rPr>
              <w:t>□</w:t>
            </w:r>
            <w:r>
              <w:rPr>
                <w:rFonts w:hint="eastAsia"/>
                <w:highlight w:val="none"/>
              </w:rPr>
              <w:t xml:space="preserve">锅炉爆炸 </w:t>
            </w:r>
            <w:r>
              <w:rPr>
                <w:rFonts w:hint="eastAsia" w:ascii="Wingdings" w:hAnsi="Wingdings"/>
                <w:highlight w:val="none"/>
              </w:rPr>
              <w:t>□</w:t>
            </w:r>
            <w:r>
              <w:rPr>
                <w:rFonts w:hint="eastAsia"/>
                <w:highlight w:val="none"/>
              </w:rPr>
              <w:t xml:space="preserve">环保设备故障 </w:t>
            </w:r>
            <w:r>
              <w:rPr>
                <w:rFonts w:hint="eastAsia" w:ascii="Wingdings" w:hAnsi="Wingdings"/>
                <w:highlight w:val="none"/>
              </w:rPr>
              <w:t>□</w:t>
            </w:r>
            <w:r>
              <w:rPr>
                <w:rFonts w:hint="eastAsia"/>
                <w:highlight w:val="none"/>
              </w:rPr>
              <w:t xml:space="preserve">停水停电 </w:t>
            </w:r>
            <w:r>
              <w:rPr>
                <w:rFonts w:hint="eastAsia" w:ascii="Wingdings" w:hAnsi="Wingdings"/>
                <w:highlight w:val="none"/>
              </w:rPr>
              <w:t>□</w:t>
            </w:r>
            <w:r>
              <w:rPr>
                <w:rFonts w:hint="eastAsia"/>
                <w:highlight w:val="none"/>
              </w:rPr>
              <w:t>其他</w:t>
            </w:r>
          </w:p>
          <w:p>
            <w:pPr>
              <w:shd w:val="clear" w:color="auto" w:fill="EBF1DE" w:themeFill="accent3" w:themeFillTint="32"/>
              <w:rPr>
                <w:highlight w:val="none"/>
              </w:rPr>
            </w:pPr>
            <w:r>
              <w:rPr>
                <w:rFonts w:hint="eastAsia"/>
                <w:highlight w:val="none"/>
              </w:rPr>
              <w:t xml:space="preserve">审核周期内发生过紧急情况：■未发生 </w:t>
            </w:r>
            <w:r>
              <w:rPr>
                <w:rFonts w:hint="eastAsia" w:ascii="Wingdings" w:hAnsi="Wingdings"/>
                <w:highlight w:val="none"/>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color w:val="000000"/>
                <w:highlight w:val="none"/>
                <w:u w:val="single"/>
                <w:lang w:eastAsia="zh-CN"/>
              </w:rPr>
              <w:t>于2022年3月13日进行火灾消防演练</w:t>
            </w:r>
            <w:r>
              <w:rPr>
                <w:rFonts w:hint="eastAsia"/>
                <w:highlight w:val="none"/>
              </w:rPr>
              <w:t xml:space="preserve">；并总结了预案的可行性和有效性。 </w:t>
            </w:r>
          </w:p>
          <w:p>
            <w:pPr>
              <w:shd w:val="clear" w:color="auto" w:fill="EBF1DE" w:themeFill="accent3" w:themeFillTint="32"/>
            </w:pPr>
            <w:r>
              <w:rPr>
                <w:rFonts w:hint="eastAsia"/>
                <w:highlight w:val="none"/>
              </w:rPr>
              <w:t>定期评审并修订过程和策划的响应措施，特别是</w:t>
            </w:r>
            <w:r>
              <w:rPr>
                <w:rFonts w:hint="eastAsia"/>
              </w:rPr>
              <w:t xml:space="preserve">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rPr>
              <w:t>组织</w:t>
            </w:r>
            <w:r>
              <w:rPr>
                <w:rFonts w:hint="eastAsia"/>
                <w:lang w:val="en-GB"/>
              </w:rPr>
              <w:t>已经制定与信息</w:t>
            </w:r>
            <w:r>
              <w:rPr>
                <w:rFonts w:hint="eastAsia"/>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rPr>
              <w:t>■定期（每年） ：</w:t>
            </w:r>
            <w:r>
              <w:rPr>
                <w:rFonts w:hint="eastAsia"/>
                <w:highlight w:val="none"/>
                <w:u w:val="single"/>
                <w:lang w:eastAsia="zh-CN"/>
              </w:rPr>
              <w:t>2022.2.26</w:t>
            </w:r>
          </w:p>
          <w:p>
            <w:pPr>
              <w:shd w:val="clear" w:color="auto" w:fill="EBF1DE" w:themeFill="accent3" w:themeFillTint="32"/>
              <w:rPr>
                <w:highlight w:val="none"/>
              </w:rPr>
            </w:pPr>
            <w:r>
              <w:rPr>
                <w:rFonts w:hint="eastAsia" w:ascii="Wingdings" w:hAnsi="Wingdings"/>
                <w:highlight w:val="none"/>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pPr>
            <w:r>
              <w:rPr>
                <w:rFonts w:hint="eastAsia"/>
                <w:highlight w:val="none"/>
              </w:rPr>
              <w:t>对评价合规性发现的问题，采取必要的措施；</w:t>
            </w:r>
            <w:r>
              <w:rPr>
                <w:rFonts w:hint="eastAsia"/>
              </w:rPr>
              <w:t>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2022年4月13-14日</w:t>
            </w:r>
            <w:r>
              <w:rPr>
                <w:rFonts w:hint="eastAsia"/>
              </w:rPr>
              <w:t xml:space="preserve">实施了环境管理体系内部审核，对环境管理体系的符合性和有效性进行了审核。内审发现的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eastAsia="zh-CN"/>
              </w:rPr>
              <w:t>2022年4月27日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重要的相关方</w:t>
                  </w:r>
                </w:p>
              </w:tc>
              <w:tc>
                <w:tcPr>
                  <w:tcW w:w="6912"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cs="宋体"/>
              </w:rPr>
              <w:t>■</w:t>
            </w: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rPr>
                <w:highlight w:val="none"/>
              </w:rPr>
            </w:pPr>
            <w:r>
              <w:rPr>
                <w:rFonts w:hint="eastAsia"/>
              </w:rPr>
              <w:t>□危险废物处</w:t>
            </w:r>
            <w:r>
              <w:rPr>
                <w:rFonts w:hint="eastAsia"/>
                <w:highlight w:val="none"/>
              </w:rPr>
              <w:t>置 □消防检测 □生产/服务过程 □安全监测 □产品运输 □设备维修</w:t>
            </w:r>
          </w:p>
          <w:p>
            <w:pPr>
              <w:spacing w:before="40" w:after="40"/>
              <w:rPr>
                <w:rFonts w:hint="eastAsia" w:eastAsia="宋体"/>
                <w:highlight w:val="none"/>
                <w:lang w:eastAsia="zh-CN"/>
              </w:rPr>
            </w:pPr>
            <w:r>
              <w:rPr>
                <w:rFonts w:hint="eastAsia"/>
                <w:highlight w:val="none"/>
              </w:rPr>
              <w:t xml:space="preserve">□人员培训 </w:t>
            </w:r>
            <w:r>
              <w:rPr>
                <w:rFonts w:hint="eastAsia" w:ascii="宋体" w:hAnsi="宋体" w:cs="宋体"/>
                <w:highlight w:val="none"/>
              </w:rPr>
              <w:t>■</w:t>
            </w:r>
            <w:r>
              <w:rPr>
                <w:rFonts w:hint="eastAsia"/>
                <w:highlight w:val="none"/>
              </w:rPr>
              <w:t>其他：</w:t>
            </w:r>
            <w:r>
              <w:rPr>
                <w:rFonts w:hint="eastAsia"/>
                <w:highlight w:val="none"/>
                <w:u w:val="single"/>
              </w:rPr>
              <w:t>机械设备租赁</w:t>
            </w:r>
            <w:r>
              <w:rPr>
                <w:rFonts w:hint="eastAsia"/>
                <w:highlight w:val="none"/>
                <w:u w:val="single"/>
                <w:lang w:eastAsia="zh-CN"/>
              </w:rPr>
              <w:t>、</w:t>
            </w:r>
            <w:r>
              <w:rPr>
                <w:rFonts w:hint="eastAsia"/>
                <w:highlight w:val="none"/>
                <w:lang w:val="en-US" w:eastAsia="zh-CN"/>
              </w:rPr>
              <w:t>劳务分包</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rPr>
                <w:u w:val="single"/>
              </w:rPr>
            </w:pPr>
            <w:r>
              <w:rPr>
                <w:rFonts w:hint="eastAsia"/>
              </w:rPr>
              <w:t>最高管理者制定了文件化的职业健康安全管理体系方针：</w:t>
            </w:r>
            <w:r>
              <w:rPr>
                <w:rFonts w:hint="eastAsia" w:ascii="宋体" w:hAnsi="宋体" w:cs="宋体"/>
                <w:u w:val="single"/>
                <w:lang w:eastAsia="zh-CN"/>
              </w:rPr>
              <w:t>优质高效；顾客满意；节能惜资；以人为本；协商参与；员工满意；遵章守法；预防改进</w:t>
            </w:r>
            <w:r>
              <w:rPr>
                <w:rFonts w:hint="eastAsia" w:ascii="宋体" w:hAnsi="宋体" w:cs="宋体"/>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pPr>
              <w:rPr>
                <w:rFonts w:hint="eastAsia" w:eastAsia="宋体"/>
                <w:lang w:eastAsia="zh-CN"/>
              </w:rPr>
            </w:pPr>
            <w:r>
              <w:rPr>
                <w:rFonts w:hint="eastAsia"/>
              </w:rPr>
              <w:t>安全的主管部门是——</w:t>
            </w:r>
            <w:r>
              <w:rPr>
                <w:rFonts w:hint="eastAsia"/>
                <w:lang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组织建立了参与和协商的机制，由所有相关层次和职能部门的员工和员工代表参与（包括协商）建立、策划、实施、评价和改进职业健康安全管理体系。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highlight w:val="none"/>
                <w:lang w:val="en-US" w:eastAsia="zh-CN"/>
              </w:rPr>
              <w:t>肖雪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441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0" w:type="dxa"/>
                </w:tcPr>
                <w:p>
                  <w:r>
                    <w:rPr>
                      <w:rFonts w:hint="eastAsia"/>
                    </w:rPr>
                    <w:t>主要的风险或机遇描述</w:t>
                  </w:r>
                </w:p>
              </w:tc>
              <w:tc>
                <w:tcPr>
                  <w:tcW w:w="441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坍塌</w:t>
                  </w:r>
                </w:p>
              </w:tc>
              <w:tc>
                <w:tcPr>
                  <w:tcW w:w="4415" w:type="dxa"/>
                </w:tcPr>
                <w:p>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触电</w:t>
                  </w:r>
                </w:p>
              </w:tc>
              <w:tc>
                <w:tcPr>
                  <w:tcW w:w="4415" w:type="dxa"/>
                </w:tcPr>
                <w:p>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机械伤害</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高处坠落</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火灾与爆炸</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中暑</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物体打击</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溺水</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起重伤害</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pPr>
            <w:r>
              <w:rPr>
                <w:rFonts w:hint="eastAsia"/>
              </w:rPr>
              <w:t xml:space="preserve">■机械伤害  ■触电 □化学伤害  </w:t>
            </w:r>
            <w:r>
              <w:rPr>
                <w:rFonts w:hint="eastAsia" w:ascii="宋体" w:hAnsi="宋体" w:cs="宋体"/>
              </w:rPr>
              <w:t>■</w:t>
            </w:r>
            <w:r>
              <w:rPr>
                <w:rFonts w:hint="eastAsia"/>
              </w:rPr>
              <w:t>噪声 ■粉尘  □危险作业 □高低温  □危化品泄露 □压力容器爆炸  ■火灾  ■其他：物体打击、高处坠落、</w:t>
            </w:r>
            <w:r>
              <w:rPr>
                <w:rFonts w:hint="eastAsia" w:cs="Times New Roman" w:asciiTheme="minorEastAsia" w:hAnsiTheme="minorEastAsia" w:eastAsiaTheme="minorEastAsia"/>
                <w:szCs w:val="21"/>
                <w:lang w:val="en-US" w:eastAsia="zh-CN"/>
              </w:rPr>
              <w:t>溺水</w:t>
            </w:r>
            <w:r>
              <w:rPr>
                <w:rFonts w:hint="eastAsia" w:asciiTheme="minorEastAsia" w:hAnsiTheme="minorEastAsia" w:eastAsiaTheme="minorEastAsia"/>
                <w:szCs w:val="21"/>
              </w:rPr>
              <w:t>、起重伤害、</w:t>
            </w:r>
            <w:r>
              <w:rPr>
                <w:rFonts w:hint="eastAsia" w:cs="Times New Roman" w:asciiTheme="minorEastAsia" w:hAnsiTheme="minorEastAsia" w:eastAsiaTheme="minorEastAsia"/>
                <w:szCs w:val="21"/>
                <w:lang w:val="en-US" w:eastAsia="zh-CN"/>
              </w:rPr>
              <w:t>坍</w:t>
            </w:r>
            <w:r>
              <w:rPr>
                <w:rFonts w:hint="eastAsia" w:asciiTheme="minorEastAsia" w:hAnsiTheme="minorEastAsia" w:eastAsiaTheme="minorEastAsia"/>
                <w:szCs w:val="21"/>
              </w:rPr>
              <w:t>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w:t>
            </w:r>
            <w:r>
              <w:rPr>
                <w:highlight w:val="none"/>
              </w:rPr>
              <w:t>考虑这些法律法规要求和其他要求。</w:t>
            </w:r>
          </w:p>
          <w:p>
            <w:pPr>
              <w:rPr>
                <w:highlight w:val="none"/>
              </w:rPr>
            </w:pPr>
            <w:r>
              <w:rPr>
                <w:highlight w:val="none"/>
              </w:rPr>
              <w:t>组织</w:t>
            </w:r>
            <w:r>
              <w:rPr>
                <w:rFonts w:hint="eastAsia"/>
                <w:highlight w:val="none"/>
              </w:rPr>
              <w:t>提供了</w:t>
            </w:r>
            <w:r>
              <w:rPr>
                <w:highlight w:val="none"/>
              </w:rPr>
              <w:t>下列许可和授权(必要时，按每个场所来描述):</w:t>
            </w:r>
          </w:p>
          <w:p>
            <w:pPr>
              <w:rPr>
                <w:highlight w:val="none"/>
              </w:rPr>
            </w:pPr>
            <w:r>
              <w:rPr>
                <w:rFonts w:hint="eastAsia" w:ascii="宋体" w:hAnsi="宋体" w:cs="宋体"/>
                <w:highlight w:val="none"/>
              </w:rPr>
              <w:t>■</w:t>
            </w:r>
            <w:r>
              <w:rPr>
                <w:rFonts w:hint="eastAsia"/>
                <w:highlight w:val="none"/>
              </w:rPr>
              <w:t>安全生产许可证编号：</w:t>
            </w:r>
            <w:r>
              <w:rPr>
                <w:rFonts w:hint="eastAsia"/>
                <w:color w:val="auto"/>
                <w:szCs w:val="21"/>
                <w:highlight w:val="none"/>
                <w:u w:val="single"/>
                <w:lang w:eastAsia="zh-CN"/>
              </w:rPr>
              <w:t>（渝）JZ安许证字【2021】016545-1</w:t>
            </w:r>
            <w:r>
              <w:rPr>
                <w:rFonts w:hint="eastAsia"/>
                <w:highlight w:val="none"/>
              </w:rPr>
              <w:t xml:space="preserve">                 </w:t>
            </w:r>
          </w:p>
          <w:p>
            <w:pPr>
              <w:rPr>
                <w:color w:val="000000" w:themeColor="text1"/>
                <w:highlight w:val="none"/>
              </w:rPr>
            </w:pPr>
            <w:r>
              <w:rPr>
                <w:rFonts w:hint="eastAsia"/>
                <w:highlight w:val="none"/>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□职业病体检报告书日期：</w:t>
            </w:r>
            <w:r>
              <w:rPr>
                <w:rFonts w:hint="eastAsia"/>
                <w:color w:val="000000" w:themeColor="text1"/>
                <w:lang w:val="en-US" w:eastAsia="zh-CN"/>
              </w:rPr>
              <w:t>无体检报告，开具不符合</w:t>
            </w:r>
            <w:r>
              <w:rPr>
                <w:rFonts w:hint="eastAsia"/>
                <w:color w:val="000000" w:themeColor="text1"/>
              </w:rPr>
              <w:t xml:space="preserve">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w:t>
            </w:r>
            <w:r>
              <w:rPr>
                <w:rFonts w:hint="eastAsia" w:ascii="宋体" w:hAnsi="宋体" w:cs="宋体"/>
              </w:rPr>
              <w:t>■</w:t>
            </w:r>
            <w:r>
              <w:rPr>
                <w:rFonts w:hint="eastAsia"/>
              </w:rPr>
              <w:t>除尘设备 ■漏电保护  ■穿戴劳保用品 □作业票管理  □挂牌上锁管理</w:t>
            </w:r>
          </w:p>
          <w:p>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职业健康安全目标</w:t>
                  </w:r>
                </w:p>
              </w:tc>
              <w:tc>
                <w:tcPr>
                  <w:tcW w:w="3464" w:type="dxa"/>
                  <w:shd w:val="clear" w:color="auto" w:fill="auto"/>
                </w:tcPr>
                <w:p>
                  <w:pPr>
                    <w:rPr>
                      <w:rFonts w:ascii="宋体" w:hAnsi="宋体"/>
                    </w:rPr>
                  </w:pPr>
                  <w:r>
                    <w:rPr>
                      <w:rFonts w:hint="eastAsia" w:ascii="宋体" w:hAnsi="宋体"/>
                    </w:rPr>
                    <w:t>控制措施</w:t>
                  </w:r>
                </w:p>
              </w:tc>
              <w:tc>
                <w:tcPr>
                  <w:tcW w:w="1020" w:type="dxa"/>
                  <w:shd w:val="clear" w:color="auto" w:fill="auto"/>
                </w:tcPr>
                <w:p>
                  <w:pPr>
                    <w:rPr>
                      <w:rFonts w:ascii="宋体" w:hAnsi="宋体"/>
                    </w:rPr>
                  </w:pPr>
                  <w:r>
                    <w:rPr>
                      <w:rFonts w:hint="eastAsia" w:ascii="宋体" w:hAnsi="宋体"/>
                    </w:rPr>
                    <w:t>责任部门</w:t>
                  </w:r>
                </w:p>
              </w:tc>
              <w:tc>
                <w:tcPr>
                  <w:tcW w:w="1547"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szCs w:val="21"/>
                    </w:rPr>
                  </w:pPr>
                  <w:r>
                    <w:rPr>
                      <w:rFonts w:hint="eastAsia"/>
                      <w:color w:val="auto"/>
                      <w:szCs w:val="18"/>
                    </w:rPr>
                    <w:t>杜绝</w:t>
                  </w:r>
                  <w:r>
                    <w:rPr>
                      <w:rFonts w:hint="eastAsia"/>
                      <w:color w:val="auto"/>
                      <w:szCs w:val="18"/>
                      <w:lang w:eastAsia="zh-CN"/>
                    </w:rPr>
                    <w:t>火灾及</w:t>
                  </w:r>
                  <w:r>
                    <w:rPr>
                      <w:rFonts w:hint="eastAsia"/>
                      <w:color w:val="auto"/>
                      <w:szCs w:val="18"/>
                    </w:rPr>
                    <w:t>死亡事故；</w:t>
                  </w:r>
                </w:p>
              </w:tc>
              <w:tc>
                <w:tcPr>
                  <w:tcW w:w="3464" w:type="dxa"/>
                  <w:shd w:val="clear" w:color="auto" w:fill="auto"/>
                  <w:vAlign w:val="top"/>
                </w:tcPr>
                <w:p>
                  <w:pPr>
                    <w:widowControl/>
                    <w:spacing w:before="40"/>
                    <w:jc w:val="left"/>
                    <w:rPr>
                      <w:rFonts w:hint="eastAsia"/>
                      <w:color w:val="auto"/>
                      <w:szCs w:val="18"/>
                    </w:rPr>
                  </w:pPr>
                  <w:r>
                    <w:rPr>
                      <w:rFonts w:hint="eastAsia"/>
                      <w:color w:val="auto"/>
                      <w:szCs w:val="18"/>
                      <w:lang w:val="en-US" w:eastAsia="zh-CN"/>
                    </w:rPr>
                    <w:t>统计月度杜绝火灾及死亡事故数量</w:t>
                  </w:r>
                </w:p>
                <w:p>
                  <w:pPr>
                    <w:widowControl/>
                    <w:spacing w:before="40"/>
                    <w:jc w:val="left"/>
                    <w:rPr>
                      <w:rFonts w:hint="eastAsia" w:cs="Times New Roman" w:asciiTheme="minorEastAsia" w:hAnsiTheme="minorEastAsia" w:eastAsiaTheme="minorEastAsia"/>
                      <w:szCs w:val="21"/>
                      <w:lang w:val="en-GB"/>
                    </w:rPr>
                  </w:pPr>
                </w:p>
              </w:tc>
              <w:tc>
                <w:tcPr>
                  <w:tcW w:w="1020"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各部门</w:t>
                  </w:r>
                </w:p>
              </w:tc>
              <w:tc>
                <w:tcPr>
                  <w:tcW w:w="1547" w:type="dxa"/>
                  <w:shd w:val="clear" w:color="auto" w:fill="auto"/>
                  <w:vAlign w:val="center"/>
                </w:tcPr>
                <w:p>
                  <w:pP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szCs w:val="21"/>
                    </w:rPr>
                  </w:pPr>
                  <w:r>
                    <w:rPr>
                      <w:rFonts w:hint="eastAsia"/>
                      <w:color w:val="auto"/>
                      <w:szCs w:val="18"/>
                    </w:rPr>
                    <w:t>控制各类轻伤事故每年不超过0.2%；</w:t>
                  </w:r>
                </w:p>
              </w:tc>
              <w:tc>
                <w:tcPr>
                  <w:tcW w:w="3464" w:type="dxa"/>
                  <w:shd w:val="clear" w:color="auto" w:fill="auto"/>
                  <w:vAlign w:val="top"/>
                </w:tcPr>
                <w:p>
                  <w:pPr>
                    <w:widowControl/>
                    <w:spacing w:before="40"/>
                    <w:jc w:val="left"/>
                    <w:rPr>
                      <w:rFonts w:hint="eastAsia"/>
                      <w:color w:val="auto"/>
                      <w:szCs w:val="18"/>
                    </w:rPr>
                  </w:pPr>
                  <w:r>
                    <w:rPr>
                      <w:rFonts w:hint="eastAsia"/>
                      <w:color w:val="auto"/>
                      <w:szCs w:val="18"/>
                      <w:lang w:val="en-US" w:eastAsia="zh-CN"/>
                    </w:rPr>
                    <w:t>发生各类轻伤事故人员数量/总工作人员*100%</w:t>
                  </w:r>
                </w:p>
                <w:p>
                  <w:pPr>
                    <w:widowControl/>
                    <w:spacing w:before="40"/>
                    <w:jc w:val="left"/>
                    <w:rPr>
                      <w:rFonts w:hint="eastAsia" w:cs="Times New Roman" w:asciiTheme="minorEastAsia" w:hAnsiTheme="minorEastAsia" w:eastAsiaTheme="minorEastAsia"/>
                      <w:szCs w:val="21"/>
                    </w:rPr>
                  </w:pPr>
                </w:p>
              </w:tc>
              <w:tc>
                <w:tcPr>
                  <w:tcW w:w="1020"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工程门</w:t>
                  </w:r>
                </w:p>
              </w:tc>
              <w:tc>
                <w:tcPr>
                  <w:tcW w:w="1547" w:type="dxa"/>
                  <w:shd w:val="clear" w:color="auto" w:fill="auto"/>
                  <w:vAlign w:val="center"/>
                </w:tcPr>
                <w:p>
                  <w:pP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szCs w:val="21"/>
                    </w:rPr>
                  </w:pPr>
                  <w:r>
                    <w:rPr>
                      <w:rFonts w:hint="eastAsia"/>
                      <w:color w:val="auto"/>
                      <w:szCs w:val="18"/>
                    </w:rPr>
                    <w:t>减少机械伤害每年不超过3例；</w:t>
                  </w:r>
                </w:p>
              </w:tc>
              <w:tc>
                <w:tcPr>
                  <w:tcW w:w="3464" w:type="dxa"/>
                  <w:shd w:val="clear" w:color="auto" w:fill="auto"/>
                  <w:vAlign w:val="top"/>
                </w:tcPr>
                <w:p>
                  <w:pPr>
                    <w:widowControl/>
                    <w:spacing w:before="40"/>
                    <w:jc w:val="left"/>
                    <w:rPr>
                      <w:rFonts w:hint="eastAsia"/>
                      <w:color w:val="auto"/>
                      <w:szCs w:val="18"/>
                    </w:rPr>
                  </w:pPr>
                  <w:r>
                    <w:rPr>
                      <w:rFonts w:hint="eastAsia"/>
                      <w:color w:val="auto"/>
                      <w:szCs w:val="18"/>
                      <w:lang w:val="en-US" w:eastAsia="zh-CN"/>
                    </w:rPr>
                    <w:t>统计减少机械伤害数量</w:t>
                  </w:r>
                </w:p>
                <w:p>
                  <w:pPr>
                    <w:widowControl/>
                    <w:spacing w:before="40"/>
                    <w:jc w:val="left"/>
                    <w:rPr>
                      <w:rFonts w:hint="eastAsia" w:cs="Times New Roman" w:asciiTheme="minorEastAsia" w:hAnsiTheme="minorEastAsia" w:eastAsiaTheme="minorEastAsia"/>
                      <w:szCs w:val="21"/>
                    </w:rPr>
                  </w:pPr>
                </w:p>
              </w:tc>
              <w:tc>
                <w:tcPr>
                  <w:tcW w:w="1020"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工程门</w:t>
                  </w:r>
                </w:p>
              </w:tc>
              <w:tc>
                <w:tcPr>
                  <w:tcW w:w="1547" w:type="dxa"/>
                  <w:shd w:val="clear" w:color="auto" w:fill="auto"/>
                  <w:vAlign w:val="center"/>
                </w:tcPr>
                <w:p>
                  <w:pP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hint="eastAsia" w:cs="Times New Roman" w:asciiTheme="minorEastAsia" w:hAnsiTheme="minorEastAsia" w:eastAsiaTheme="minorEastAsia"/>
                      <w:szCs w:val="21"/>
                    </w:rPr>
                  </w:pPr>
                </w:p>
              </w:tc>
              <w:tc>
                <w:tcPr>
                  <w:tcW w:w="3464" w:type="dxa"/>
                  <w:shd w:val="clear" w:color="auto" w:fill="auto"/>
                  <w:vAlign w:val="center"/>
                </w:tcPr>
                <w:p>
                  <w:pPr>
                    <w:rPr>
                      <w:rFonts w:hint="default" w:cs="Times New Roman" w:asciiTheme="minorEastAsia" w:hAnsiTheme="minorEastAsia" w:eastAsiaTheme="minorEastAsia"/>
                      <w:szCs w:val="21"/>
                      <w:lang w:val="en-US" w:eastAsia="zh-CN"/>
                    </w:rPr>
                  </w:pPr>
                </w:p>
              </w:tc>
              <w:tc>
                <w:tcPr>
                  <w:tcW w:w="1020" w:type="dxa"/>
                  <w:shd w:val="clear" w:color="auto" w:fill="auto"/>
                  <w:vAlign w:val="center"/>
                </w:tcPr>
                <w:p>
                  <w:pPr>
                    <w:rPr>
                      <w:rFonts w:hint="eastAsia" w:cs="Times New Roman" w:asciiTheme="minorEastAsia" w:hAnsiTheme="minorEastAsia" w:eastAsiaTheme="minorEastAsia"/>
                      <w:szCs w:val="21"/>
                    </w:rPr>
                  </w:pPr>
                </w:p>
              </w:tc>
              <w:tc>
                <w:tcPr>
                  <w:tcW w:w="1547" w:type="dxa"/>
                  <w:shd w:val="clear" w:color="auto" w:fill="auto"/>
                  <w:vAlign w:val="center"/>
                </w:tcPr>
                <w:p>
                  <w:pPr>
                    <w:rPr>
                      <w:rFonts w:hint="eastAsia" w:cs="Times New Roman" w:asciiTheme="minorEastAsia" w:hAnsiTheme="minorEastAsia" w:eastAsiaTheme="minorEastAsia"/>
                      <w:szCs w:val="21"/>
                      <w:lang w:val="en-US" w:eastAsia="zh-CN"/>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组织应确定、提供并维护所需的基础设施情况：</w:t>
            </w:r>
          </w:p>
          <w:p>
            <w:pPr>
              <w:rPr>
                <w:highlight w:val="none"/>
              </w:rPr>
            </w:pPr>
            <w:r>
              <w:rPr>
                <w:rFonts w:hint="eastAsia"/>
                <w:highlight w:val="none"/>
                <w:lang w:eastAsia="zh-CN"/>
              </w:rPr>
              <w:t>建筑面积300平方米左右；在建项目2个；库房   个；实验室个；</w:t>
            </w:r>
            <w:r>
              <w:rPr>
                <w:rFonts w:hint="eastAsia"/>
                <w:highlight w:val="none"/>
              </w:rPr>
              <w:t>；</w:t>
            </w:r>
          </w:p>
          <w:p>
            <w:pPr>
              <w:rPr>
                <w:highlight w:val="none"/>
              </w:rPr>
            </w:pPr>
            <w:r>
              <w:rPr>
                <w:rFonts w:hint="eastAsia"/>
                <w:highlight w:val="none"/>
              </w:rPr>
              <w:t>主要生产设备有：</w:t>
            </w:r>
            <w:r>
              <w:rPr>
                <w:rFonts w:hint="eastAsia"/>
                <w:highlight w:val="none"/>
                <w:u w:val="single"/>
                <w:lang w:eastAsia="zh-CN"/>
              </w:rPr>
              <w:t>手工焊机、打磨机、切圆机、护栏打桩机、等离子切割机、电钻、电脑、打印机及办公设备；</w:t>
            </w:r>
            <w:r>
              <w:rPr>
                <w:rFonts w:hint="eastAsia"/>
                <w:highlight w:val="none"/>
              </w:rPr>
              <w:t>。</w:t>
            </w:r>
          </w:p>
          <w:p>
            <w:pPr>
              <w:rPr>
                <w:highlight w:val="none"/>
              </w:rPr>
            </w:pPr>
            <w:r>
              <w:rPr>
                <w:rFonts w:hint="eastAsia"/>
                <w:highlight w:val="none"/>
              </w:rPr>
              <w:t>主要安全装置有：</w:t>
            </w:r>
          </w:p>
          <w:p>
            <w:pPr>
              <w:rPr>
                <w:highlight w:val="none"/>
              </w:rPr>
            </w:pPr>
            <w:r>
              <w:rPr>
                <w:rFonts w:hint="eastAsia" w:ascii="Wingdings" w:hAnsi="Wingdings"/>
                <w:highlight w:val="none"/>
              </w:rPr>
              <w:t>■</w:t>
            </w:r>
            <w:r>
              <w:rPr>
                <w:rFonts w:hint="eastAsia"/>
                <w:highlight w:val="none"/>
              </w:rPr>
              <w:t xml:space="preserve">急停按钮 </w:t>
            </w:r>
            <w:r>
              <w:rPr>
                <w:rFonts w:hint="eastAsia" w:ascii="Wingdings" w:hAnsi="Wingdings"/>
                <w:highlight w:val="none"/>
              </w:rPr>
              <w:t>□</w:t>
            </w:r>
            <w:r>
              <w:rPr>
                <w:rFonts w:hint="eastAsia"/>
                <w:highlight w:val="none"/>
              </w:rPr>
              <w:t xml:space="preserve">光栅 </w:t>
            </w:r>
            <w:r>
              <w:rPr>
                <w:rFonts w:hint="eastAsia" w:ascii="Wingdings" w:hAnsi="Wingdings"/>
                <w:highlight w:val="none"/>
              </w:rPr>
              <w:t>□</w:t>
            </w:r>
            <w:r>
              <w:rPr>
                <w:rFonts w:hint="eastAsia"/>
                <w:highlight w:val="none"/>
              </w:rPr>
              <w:t xml:space="preserve">联锁装置  </w:t>
            </w:r>
            <w:r>
              <w:rPr>
                <w:rFonts w:hint="eastAsia" w:ascii="Wingdings" w:hAnsi="Wingdings"/>
                <w:highlight w:val="none"/>
              </w:rPr>
              <w:t>■</w:t>
            </w:r>
            <w:r>
              <w:rPr>
                <w:rFonts w:hint="eastAsia"/>
                <w:highlight w:val="none"/>
              </w:rPr>
              <w:t xml:space="preserve">漏电开关 </w:t>
            </w:r>
            <w:r>
              <w:rPr>
                <w:rFonts w:hint="eastAsia" w:ascii="Wingdings" w:hAnsi="Wingdings"/>
                <w:highlight w:val="none"/>
              </w:rPr>
              <w:t>□</w:t>
            </w:r>
            <w:r>
              <w:rPr>
                <w:rFonts w:hint="eastAsia"/>
                <w:highlight w:val="none"/>
              </w:rPr>
              <w:t xml:space="preserve">报警系统  </w:t>
            </w:r>
            <w:r>
              <w:rPr>
                <w:rFonts w:hint="eastAsia" w:ascii="Wingdings" w:hAnsi="Wingdings"/>
                <w:highlight w:val="none"/>
              </w:rPr>
              <w:t>□</w:t>
            </w:r>
            <w:r>
              <w:rPr>
                <w:rFonts w:hint="eastAsia"/>
                <w:highlight w:val="none"/>
              </w:rPr>
              <w:t xml:space="preserve">消防系统  </w:t>
            </w:r>
            <w:r>
              <w:rPr>
                <w:rFonts w:hint="eastAsia" w:ascii="Wingdings" w:hAnsi="Wingdings"/>
                <w:highlight w:val="none"/>
              </w:rPr>
              <w:t>□</w:t>
            </w:r>
            <w:r>
              <w:rPr>
                <w:rFonts w:hint="eastAsia"/>
                <w:highlight w:val="none"/>
              </w:rPr>
              <w:t xml:space="preserve">不适用 </w:t>
            </w:r>
          </w:p>
          <w:p>
            <w:pPr>
              <w:rPr>
                <w:highlight w:val="none"/>
                <w:u w:val="single"/>
              </w:rPr>
            </w:pPr>
          </w:p>
          <w:p>
            <w:pPr>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宋体" w:hAnsi="宋体" w:cs="宋体"/>
                <w:highlight w:val="none"/>
              </w:rPr>
              <w:t>■</w:t>
            </w:r>
            <w:r>
              <w:rPr>
                <w:rFonts w:hint="eastAsia"/>
                <w:highlight w:val="none"/>
              </w:rPr>
              <w:t xml:space="preserve">不适用 </w:t>
            </w:r>
          </w:p>
          <w:p>
            <w:pPr>
              <w:rPr>
                <w:highlight w:val="none"/>
              </w:rPr>
            </w:pPr>
            <w:r>
              <w:rPr>
                <w:rFonts w:hint="eastAsia"/>
                <w:highlight w:val="none"/>
              </w:rPr>
              <w:t>辅助场所：</w:t>
            </w:r>
            <w:r>
              <w:rPr>
                <w:rFonts w:hint="eastAsia" w:ascii="Wingdings" w:hAnsi="Wingdings"/>
                <w:highlight w:val="none"/>
              </w:rPr>
              <w:t>□</w:t>
            </w:r>
            <w:r>
              <w:rPr>
                <w:rFonts w:hint="eastAsia"/>
                <w:highlight w:val="none"/>
              </w:rPr>
              <w:t xml:space="preserve">高压配电室 </w:t>
            </w:r>
            <w:r>
              <w:rPr>
                <w:rFonts w:hint="eastAsia" w:ascii="Wingdings" w:hAnsi="Wingdings"/>
                <w:highlight w:val="none"/>
              </w:rPr>
              <w:t>□</w:t>
            </w:r>
            <w:r>
              <w:rPr>
                <w:rFonts w:hint="eastAsia"/>
                <w:highlight w:val="none"/>
              </w:rPr>
              <w:t xml:space="preserve">低压配电室 </w:t>
            </w:r>
            <w:r>
              <w:rPr>
                <w:rFonts w:hint="eastAsia" w:ascii="Wingdings" w:hAnsi="Wingdings"/>
                <w:highlight w:val="none"/>
              </w:rPr>
              <w:t>□</w:t>
            </w:r>
            <w:r>
              <w:rPr>
                <w:rFonts w:hint="eastAsia"/>
                <w:highlight w:val="none"/>
              </w:rPr>
              <w:t xml:space="preserve">空压站 </w:t>
            </w:r>
            <w:r>
              <w:rPr>
                <w:rFonts w:hint="eastAsia" w:ascii="Wingdings" w:hAnsi="Wingdings"/>
                <w:highlight w:val="none"/>
              </w:rPr>
              <w:t>□</w:t>
            </w:r>
            <w:r>
              <w:rPr>
                <w:rFonts w:hint="eastAsia"/>
                <w:highlight w:val="none"/>
              </w:rPr>
              <w:t xml:space="preserve">锅炉房 </w:t>
            </w:r>
            <w:r>
              <w:rPr>
                <w:rFonts w:hint="eastAsia" w:ascii="Wingdings" w:hAnsi="Wingdings"/>
                <w:highlight w:val="none"/>
              </w:rPr>
              <w:t>□</w:t>
            </w:r>
            <w:r>
              <w:rPr>
                <w:rFonts w:hint="eastAsia"/>
                <w:highlight w:val="none"/>
              </w:rPr>
              <w:t xml:space="preserve">食堂  </w:t>
            </w:r>
            <w:r>
              <w:rPr>
                <w:rFonts w:hint="eastAsia" w:ascii="Wingdings" w:hAnsi="Wingdings"/>
                <w:highlight w:val="none"/>
              </w:rPr>
              <w:t>□</w:t>
            </w:r>
            <w:r>
              <w:rPr>
                <w:rFonts w:hint="eastAsia"/>
                <w:highlight w:val="none"/>
              </w:rPr>
              <w:t xml:space="preserve">危化品库  </w:t>
            </w:r>
          </w:p>
          <w:p>
            <w:pPr>
              <w:ind w:firstLine="1050" w:firstLineChars="500"/>
              <w:rPr>
                <w:highlight w:val="none"/>
              </w:rPr>
            </w:pPr>
            <w:r>
              <w:rPr>
                <w:rFonts w:hint="eastAsia" w:ascii="Wingdings" w:hAnsi="Wingdings"/>
                <w:highlight w:val="none"/>
              </w:rPr>
              <w:sym w:font="Wingdings 2" w:char="00A3"/>
            </w:r>
            <w:r>
              <w:rPr>
                <w:rFonts w:hint="eastAsia"/>
                <w:highlight w:val="none"/>
              </w:rPr>
              <w:t xml:space="preserve">危废库  </w:t>
            </w:r>
            <w:r>
              <w:rPr>
                <w:rFonts w:hint="eastAsia" w:ascii="Wingdings" w:hAnsi="Wingdings"/>
                <w:highlight w:val="none"/>
              </w:rPr>
              <w:t>□</w:t>
            </w:r>
            <w:r>
              <w:rPr>
                <w:rFonts w:hint="eastAsia"/>
                <w:highlight w:val="none"/>
              </w:rPr>
              <w:t xml:space="preserve">建筑施工 </w:t>
            </w:r>
            <w:r>
              <w:rPr>
                <w:rFonts w:hint="eastAsia" w:ascii="Wingdings" w:hAnsi="Wingdings"/>
                <w:highlight w:val="none"/>
              </w:rPr>
              <w:t>□</w:t>
            </w:r>
            <w:r>
              <w:rPr>
                <w:rFonts w:hint="eastAsia"/>
                <w:highlight w:val="none"/>
              </w:rPr>
              <w:t xml:space="preserve">污水处理站  </w:t>
            </w:r>
            <w:r>
              <w:rPr>
                <w:rFonts w:hint="eastAsia" w:ascii="Wingdings" w:hAnsi="Wingdings"/>
                <w:highlight w:val="none"/>
              </w:rPr>
              <w:t>□</w:t>
            </w:r>
            <w:r>
              <w:rPr>
                <w:rFonts w:hint="eastAsia"/>
                <w:highlight w:val="none"/>
              </w:rPr>
              <w:t>其他</w:t>
            </w:r>
          </w:p>
          <w:p>
            <w:pPr>
              <w:rPr>
                <w:highlight w:val="none"/>
              </w:rPr>
            </w:pPr>
            <w:r>
              <w:rPr>
                <w:rFonts w:hint="eastAsia"/>
                <w:highlight w:val="none"/>
              </w:rPr>
              <w:t>■组织</w:t>
            </w:r>
            <w:r>
              <w:rPr>
                <w:highlight w:val="none"/>
              </w:rPr>
              <w:t>现有</w:t>
            </w:r>
            <w:r>
              <w:rPr>
                <w:rFonts w:hint="eastAsia"/>
                <w:highlight w:val="none"/>
              </w:rPr>
              <w:t>基础设施可满足职业健康安全管理体系运行；</w:t>
            </w:r>
          </w:p>
          <w:p>
            <w:pPr>
              <w:rPr>
                <w:highlight w:val="none"/>
              </w:rPr>
            </w:pPr>
            <w:r>
              <w:rPr>
                <w:rFonts w:hint="eastAsia"/>
                <w:highlight w:val="none"/>
              </w:rPr>
              <w:t>□组织</w:t>
            </w:r>
            <w:r>
              <w:rPr>
                <w:highlight w:val="none"/>
              </w:rPr>
              <w:t>现有</w:t>
            </w:r>
            <w:r>
              <w:rPr>
                <w:rFonts w:hint="eastAsia"/>
                <w:highlight w:val="none"/>
              </w:rPr>
              <w:t>基础设施可基本满足职业健康安全管理体系运行，但是还有不足需要补充：</w:t>
            </w:r>
            <w:r>
              <w:rPr>
                <w:rFonts w:hint="eastAsia"/>
                <w:highlight w:val="none"/>
                <w:u w:val="single"/>
              </w:rPr>
              <w:t xml:space="preserve">           </w:t>
            </w:r>
          </w:p>
          <w:p>
            <w:pPr>
              <w:rPr>
                <w:highlight w:val="none"/>
                <w:u w:val="single"/>
              </w:rPr>
            </w:pPr>
            <w:r>
              <w:rPr>
                <w:rFonts w:hint="eastAsia"/>
                <w:highlight w:val="none"/>
              </w:rPr>
              <w:t>□组织</w:t>
            </w:r>
            <w:r>
              <w:rPr>
                <w:highlight w:val="none"/>
              </w:rPr>
              <w:t>现有</w:t>
            </w:r>
            <w:r>
              <w:rPr>
                <w:rFonts w:hint="eastAsia"/>
                <w:highlight w:val="none"/>
              </w:rPr>
              <w:t>基础设施完全不能满足职业健康安全管理体系运行，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u w:val="single"/>
              </w:rPr>
            </w:pPr>
            <w:r>
              <w:rPr>
                <w:rFonts w:hint="eastAsia"/>
              </w:rPr>
              <w:t>职业健康安全监测的计量器具有：</w:t>
            </w:r>
            <w:r>
              <w:rPr>
                <w:rFonts w:hint="eastAsia"/>
                <w:u w:val="single"/>
              </w:rPr>
              <w:t xml:space="preserve">            </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highlight w:val="none"/>
              </w:rPr>
            </w:pPr>
            <w:r>
              <w:rPr>
                <w:rFonts w:hint="eastAsia"/>
              </w:rPr>
              <w:t>对国家规定持证上岗的人</w:t>
            </w:r>
            <w:r>
              <w:rPr>
                <w:rFonts w:hint="eastAsia"/>
                <w:highlight w:val="none"/>
              </w:rPr>
              <w:t>员资质进行了有效的管理。</w:t>
            </w:r>
          </w:p>
          <w:p>
            <w:r>
              <w:rPr>
                <w:rFonts w:hint="eastAsia"/>
                <w:highlight w:val="none"/>
              </w:rPr>
              <w:t xml:space="preserve">特种作业人员：■电工 </w:t>
            </w:r>
            <w:r>
              <w:rPr>
                <w:rFonts w:hint="eastAsia" w:ascii="宋体" w:hAnsi="宋体" w:cs="宋体"/>
                <w:highlight w:val="none"/>
              </w:rPr>
              <w:t>■</w:t>
            </w:r>
            <w:r>
              <w:rPr>
                <w:rFonts w:hint="eastAsia"/>
                <w:highlight w:val="none"/>
              </w:rPr>
              <w:t xml:space="preserve">焊工  </w:t>
            </w:r>
            <w:r>
              <w:rPr>
                <w:rFonts w:hint="eastAsia"/>
              </w:rPr>
              <w:t xml:space="preserve">□危化品作业  □制冷工   □其他  </w:t>
            </w:r>
          </w:p>
          <w:p>
            <w:r>
              <w:rPr>
                <w:rFonts w:hint="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rPr>
                    <w:t>■</w:t>
                  </w:r>
                  <w:r>
                    <w:rPr>
                      <w:rFonts w:hint="eastAsia"/>
                    </w:rPr>
                    <w:t>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□减少作业时间  □空间隔离  ■防暑降温用品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r>
              <w:rPr>
                <w:rFonts w:hint="eastAsia"/>
              </w:rPr>
              <w:t xml:space="preserve">特种设备管理：□进行了定期检验  □未进行定期检验的有：                 </w:t>
            </w:r>
          </w:p>
          <w:p>
            <w:r>
              <w:rPr>
                <w:rFonts w:hint="eastAsia"/>
              </w:rPr>
              <w:t>特种设备检测报告，如：</w:t>
            </w:r>
            <w:r>
              <w:rPr>
                <w:rFonts w:hint="eastAsia"/>
                <w:u w:val="single"/>
              </w:rPr>
              <w:t xml:space="preserve">  </w:t>
            </w:r>
            <w:r>
              <w:rPr>
                <w:rFonts w:hint="eastAsia" w:ascii="宋体" w:hAnsi="宋体" w:cs="宋体"/>
                <w:color w:val="000000" w:themeColor="text1"/>
                <w:szCs w:val="21"/>
                <w:u w:val="single"/>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 xml:space="preserve">已发生的更改包括： </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color w:val="000000"/>
                <w:u w:val="single"/>
                <w:lang w:eastAsia="zh-CN"/>
              </w:rPr>
              <w:t>于2022年3月13日进行火灾消防演练</w:t>
            </w:r>
            <w:r>
              <w:rPr>
                <w:rFonts w:hint="eastAsia"/>
              </w:rPr>
              <w:t xml:space="preserve">；并总结了预案的可行性和有效性。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highlight w:val="none"/>
              </w:rPr>
            </w:pPr>
            <w:r>
              <w:rPr>
                <w:rFonts w:hint="eastAsia"/>
              </w:rPr>
              <w:t>组织已建立、实施并保持评</w:t>
            </w:r>
            <w:r>
              <w:rPr>
                <w:rFonts w:hint="eastAsia"/>
                <w:highlight w:val="none"/>
              </w:rPr>
              <w:t>价其合规义务履行情况所需的过程。</w:t>
            </w:r>
          </w:p>
          <w:p>
            <w:pPr>
              <w:rPr>
                <w:highlight w:val="none"/>
              </w:rPr>
            </w:pPr>
            <w:r>
              <w:rPr>
                <w:rFonts w:hint="eastAsia"/>
                <w:highlight w:val="none"/>
              </w:rPr>
              <w:t>实施合规性评价的时间：</w:t>
            </w:r>
          </w:p>
          <w:p>
            <w:pPr>
              <w:rPr>
                <w:rFonts w:hint="eastAsia" w:eastAsia="宋体"/>
                <w:highlight w:val="none"/>
                <w:u w:val="single"/>
                <w:lang w:eastAsia="zh-CN"/>
              </w:rPr>
            </w:pPr>
            <w:r>
              <w:rPr>
                <w:rFonts w:hint="eastAsia"/>
                <w:highlight w:val="none"/>
              </w:rPr>
              <w:t>■定期（每年） ：</w:t>
            </w:r>
            <w:r>
              <w:rPr>
                <w:rFonts w:hint="eastAsia"/>
                <w:highlight w:val="none"/>
                <w:u w:val="single"/>
                <w:lang w:eastAsia="zh-CN"/>
              </w:rPr>
              <w:t>2022.2.26</w:t>
            </w:r>
          </w:p>
          <w:p>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rPr>
              <w:t>□</w:t>
            </w:r>
            <w:r>
              <w:rPr>
                <w:rFonts w:hint="eastAsia"/>
                <w:color w:val="000000" w:themeColor="text1"/>
              </w:rPr>
              <w:t xml:space="preserve">入职 </w:t>
            </w:r>
            <w:r>
              <w:rPr>
                <w:rFonts w:hint="eastAsia" w:ascii="Wingdings" w:hAnsi="Wingdings"/>
                <w:color w:val="000000" w:themeColor="text1"/>
              </w:rPr>
              <w:t>□</w:t>
            </w:r>
            <w:r>
              <w:rPr>
                <w:rFonts w:hint="eastAsia"/>
                <w:color w:val="000000" w:themeColor="text1"/>
              </w:rPr>
              <w:t xml:space="preserve">离职 </w:t>
            </w:r>
            <w:r>
              <w:rPr>
                <w:rFonts w:hint="eastAsia" w:ascii="宋体" w:hAnsi="宋体" w:cs="宋体"/>
                <w:color w:val="000000" w:themeColor="text1"/>
              </w:rPr>
              <w:t>■</w:t>
            </w:r>
            <w:r>
              <w:rPr>
                <w:rFonts w:hint="eastAsia"/>
                <w:color w:val="000000" w:themeColor="text1"/>
              </w:rPr>
              <w:t>在职（定期）</w:t>
            </w:r>
          </w:p>
          <w:p>
            <w:r>
              <w:rPr>
                <w:rFonts w:hint="eastAsia"/>
              </w:rPr>
              <w:t>《职业病体检》编号：</w:t>
            </w:r>
            <w:r>
              <w:rPr>
                <w:rFonts w:hint="eastAsia"/>
                <w:u w:val="single"/>
              </w:rPr>
              <w:t xml:space="preserve">   普通健康体检，见附件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2022年4月13-14日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u w:val="single"/>
                <w:lang w:eastAsia="zh-CN"/>
              </w:rPr>
              <w:t>2022年4月27日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0A410496"/>
    <w:rsid w:val="11F01449"/>
    <w:rsid w:val="46726D23"/>
    <w:rsid w:val="4AB64176"/>
    <w:rsid w:val="56324FEF"/>
    <w:rsid w:val="5D066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adjustRightInd w:val="0"/>
      <w:snapToGrid w:val="0"/>
      <w:spacing w:after="120" w:line="480" w:lineRule="exact"/>
      <w:ind w:firstLine="420" w:firstLineChars="100"/>
    </w:pPr>
    <w:rPr>
      <w:rFonts w:ascii="Times New Roman" w:hAnsi="Times New Roman" w:eastAsia="宋体" w:cs="Times New Roman"/>
      <w:kern w:val="2"/>
      <w:sz w:val="24"/>
      <w:szCs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20672</Words>
  <Characters>21872</Characters>
  <Lines>150</Lines>
  <Paragraphs>42</Paragraphs>
  <TotalTime>0</TotalTime>
  <ScaleCrop>false</ScaleCrop>
  <LinksUpToDate>false</LinksUpToDate>
  <CharactersWithSpaces>24665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2022-06-20T07:39:34Z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