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主管领导：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曹卫华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陪同人员：陈成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审核时间：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lang w:val="en-US" w:eastAsia="zh-CN"/>
              </w:rPr>
              <w:t>6月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日08:3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0-12:00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sz w:val="21"/>
                <w:szCs w:val="21"/>
              </w:rPr>
              <w:t>部门职能与权限；总目标在部门层次的分解落实情况；销售过程管理；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采购过程管理；供方和</w:t>
            </w:r>
            <w:r>
              <w:rPr>
                <w:rFonts w:ascii="宋体" w:hAnsi="宋体"/>
                <w:b/>
                <w:sz w:val="21"/>
                <w:szCs w:val="21"/>
              </w:rPr>
              <w:t>顾客财产管理；售后服务；顾客满意情况</w:t>
            </w:r>
          </w:p>
          <w:p>
            <w:pPr>
              <w:spacing w:line="300" w:lineRule="exact"/>
              <w:jc w:val="left"/>
              <w:rPr>
                <w:rFonts w:hint="default" w:ascii="华文细黑" w:hAnsi="华文细黑" w:eastAsia="华文细黑" w:cs="华文细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b w:val="0"/>
                <w:bCs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ascii="宋体" w:hAnsi="宋体"/>
                <w:b/>
                <w:sz w:val="21"/>
                <w:szCs w:val="21"/>
              </w:rPr>
              <w:t>Q：5.3、6.2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b/>
                <w:sz w:val="21"/>
                <w:szCs w:val="21"/>
              </w:rPr>
              <w:t>8.2、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8.4、</w:t>
            </w:r>
            <w:r>
              <w:rPr>
                <w:rFonts w:ascii="宋体" w:hAnsi="宋体"/>
                <w:b/>
                <w:sz w:val="21"/>
                <w:szCs w:val="21"/>
              </w:rPr>
              <w:t>8.5.3、8.5.5、9.1.2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在手册中确定了</w:t>
            </w:r>
            <w:r>
              <w:rPr>
                <w:rFonts w:hint="eastAsia"/>
                <w:lang w:val="en-US" w:eastAsia="zh-CN"/>
              </w:rPr>
              <w:t>供销部的部门</w:t>
            </w:r>
            <w:r>
              <w:rPr>
                <w:rFonts w:hint="eastAsia"/>
              </w:rPr>
              <w:t>职能</w:t>
            </w:r>
            <w:r>
              <w:rPr>
                <w:rFonts w:hint="eastAsia"/>
                <w:lang w:val="en-US" w:eastAsia="zh-CN"/>
              </w:rPr>
              <w:t>如下：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</w:rPr>
              <w:t>贯彻实施管理方针和管理目标，结合部门实际，</w:t>
            </w:r>
            <w:r>
              <w:rPr>
                <w:rFonts w:hint="eastAsia" w:cs="Times New Roman"/>
                <w:lang w:val="en-US" w:eastAsia="zh-CN"/>
              </w:rPr>
              <w:t>分解落实公司目标</w:t>
            </w:r>
            <w:r>
              <w:rPr>
                <w:rFonts w:hint="eastAsia" w:ascii="Times New Roman" w:hAnsi="Times New Roman" w:cs="Times New Roman"/>
              </w:rPr>
              <w:t xml:space="preserve">； 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</w:rPr>
              <w:t>开展市场调研，开拓新市场；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配合做好内审和管理评审等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</w:t>
            </w:r>
            <w:r>
              <w:rPr>
                <w:rFonts w:hint="eastAsia" w:ascii="Times New Roman" w:hAnsi="Times New Roman" w:cs="Times New Roman"/>
              </w:rPr>
              <w:t>负责公司产品的销售工作，充分</w:t>
            </w:r>
            <w:r>
              <w:rPr>
                <w:rFonts w:hint="eastAsia" w:cs="Times New Roman"/>
                <w:lang w:val="en-US" w:eastAsia="zh-CN"/>
              </w:rPr>
              <w:t>了解</w:t>
            </w:r>
            <w:r>
              <w:rPr>
                <w:rFonts w:hint="eastAsia" w:ascii="Times New Roman" w:hAnsi="Times New Roman" w:cs="Times New Roman"/>
              </w:rPr>
              <w:t>顾客的需求</w:t>
            </w:r>
            <w:r>
              <w:rPr>
                <w:rFonts w:hint="eastAsia" w:cs="Times New Roman"/>
                <w:lang w:eastAsia="zh-CN"/>
              </w:rPr>
              <w:t>，</w:t>
            </w:r>
            <w:r>
              <w:rPr>
                <w:rFonts w:hint="eastAsia" w:cs="Times New Roman"/>
                <w:lang w:val="en-US" w:eastAsia="zh-CN"/>
              </w:rPr>
              <w:t>监视顾客满意情况</w:t>
            </w:r>
            <w:r>
              <w:rPr>
                <w:rFonts w:hint="eastAsia" w:cs="Times New Roman"/>
                <w:lang w:eastAsia="zh-CN"/>
              </w:rPr>
              <w:t>；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5.负责原材料采购等外部提供过程、产品和服务的统管工作；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供销部曹卫华</w:t>
            </w:r>
            <w:r>
              <w:rPr>
                <w:rFonts w:hint="eastAsia" w:ascii="宋体" w:hAnsi="宋体" w:cs="宋体"/>
                <w:szCs w:val="21"/>
              </w:rPr>
              <w:t>，基本清楚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cs="宋体"/>
                <w:szCs w:val="21"/>
              </w:rPr>
              <w:t>部门职责。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管理目标及其实现的策划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6.2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宋体"/>
                <w:szCs w:val="21"/>
              </w:rPr>
              <w:t>涉及的目标及实现情况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drawing>
                <wp:inline distT="0" distB="0" distL="114300" distR="114300">
                  <wp:extent cx="6210935" cy="2020570"/>
                  <wp:effectExtent l="0" t="0" r="12065" b="1143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202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目标可测量，与方针一致。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据2022年5月份截止的目标分解落实考核结果表明：供销部的目标有按要求完成。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产品和服务的要求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Cs w:val="21"/>
              </w:rPr>
              <w:t>Q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Cs w:val="21"/>
                <w:lang w:val="en-US" w:eastAsia="zh-CN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承接业务的方式主要是：通过与顾客签订合同，按顾客要求组织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生产</w:t>
            </w:r>
            <w:r>
              <w:rPr>
                <w:rFonts w:hint="eastAsia"/>
                <w:color w:val="auto"/>
                <w:szCs w:val="21"/>
              </w:rPr>
              <w:t>，并以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电话、APP、</w:t>
            </w:r>
            <w:r>
              <w:rPr>
                <w:rFonts w:hint="eastAsia"/>
                <w:color w:val="auto"/>
                <w:szCs w:val="21"/>
              </w:rPr>
              <w:t>传真等方式进行沟通、确认，对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/>
                <w:color w:val="auto"/>
                <w:szCs w:val="21"/>
              </w:rPr>
              <w:t>要求等给予明确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组织识别产品和服务的要求主要来源于：1.</w:t>
            </w:r>
            <w:r>
              <w:rPr>
                <w:rFonts w:hint="eastAsia"/>
                <w:color w:val="auto"/>
                <w:szCs w:val="21"/>
              </w:rPr>
              <w:t>顾客明确规定的要求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即有销售服务本身的质量要求也包括后续活动的要求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Cs w:val="21"/>
              </w:rPr>
              <w:t>顾客没有明确规定，但预期或规定用途所必要的要求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Cs w:val="21"/>
              </w:rPr>
              <w:t>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/>
                <w:color w:val="auto"/>
                <w:szCs w:val="21"/>
              </w:rPr>
              <w:t>的销售服务有关的法律法规的要求及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附加的对顾客的责任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要求等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华文细黑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组织玻璃瓶</w:t>
            </w:r>
            <w:r>
              <w:rPr>
                <w:rFonts w:hint="eastAsia"/>
                <w:color w:val="auto"/>
                <w:szCs w:val="21"/>
              </w:rPr>
              <w:t>等的销售服务已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成型</w:t>
            </w:r>
            <w:r>
              <w:rPr>
                <w:rFonts w:hint="eastAsia"/>
                <w:color w:val="auto"/>
                <w:szCs w:val="21"/>
              </w:rPr>
              <w:t>，收到合同后在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内评审，没有异议后，总经理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同意盖章</w:t>
            </w:r>
            <w:r>
              <w:rPr>
                <w:rFonts w:hint="eastAsia"/>
                <w:color w:val="auto"/>
                <w:szCs w:val="21"/>
              </w:rPr>
              <w:t>即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代表</w:t>
            </w:r>
            <w:r>
              <w:rPr>
                <w:rFonts w:hint="eastAsia"/>
                <w:color w:val="auto"/>
                <w:szCs w:val="21"/>
              </w:rPr>
              <w:t>完成合同评审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抽查2021.11.3</w:t>
            </w:r>
            <w:r>
              <w:rPr>
                <w:rFonts w:hint="eastAsia"/>
                <w:color w:val="auto"/>
                <w:szCs w:val="21"/>
              </w:rPr>
              <w:t>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广州华祺玻璃制品有限公司</w:t>
            </w:r>
            <w:r>
              <w:rPr>
                <w:rFonts w:hint="eastAsia"/>
                <w:color w:val="auto"/>
                <w:szCs w:val="21"/>
              </w:rPr>
              <w:t>签订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的玻璃瓶购销</w:t>
            </w:r>
            <w:r>
              <w:rPr>
                <w:rFonts w:hint="eastAsia"/>
                <w:color w:val="auto"/>
                <w:szCs w:val="21"/>
              </w:rPr>
              <w:t>合同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</w:rPr>
              <w:t>合同规定了产品名称、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规格、</w:t>
            </w:r>
            <w:r>
              <w:rPr>
                <w:rFonts w:hint="eastAsia"/>
                <w:color w:val="auto"/>
                <w:szCs w:val="21"/>
              </w:rPr>
              <w:t>数量（按买方实际生产需求供应）、单价及金额、交货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时间</w:t>
            </w:r>
            <w:r>
              <w:rPr>
                <w:rFonts w:hint="eastAsia"/>
                <w:color w:val="auto"/>
                <w:szCs w:val="21"/>
              </w:rPr>
              <w:t>、验收标准、结算方式、违约责任等条款，要求明确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有双方盖章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抽查</w:t>
            </w:r>
            <w:r>
              <w:rPr>
                <w:rFonts w:hint="eastAsia"/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/>
                <w:color w:val="auto"/>
                <w:szCs w:val="21"/>
              </w:rPr>
              <w:t>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上海兴雅玻璃材料有限</w:t>
            </w:r>
            <w:r>
              <w:rPr>
                <w:rFonts w:hint="eastAsia"/>
                <w:color w:val="auto"/>
                <w:szCs w:val="21"/>
              </w:rPr>
              <w:t>公司签订</w:t>
            </w:r>
            <w:r>
              <w:rPr>
                <w:rFonts w:hint="eastAsia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玻璃瓶（MOYA-200ml）</w:t>
            </w:r>
            <w:r>
              <w:rPr>
                <w:rFonts w:hint="eastAsia"/>
                <w:color w:val="auto"/>
                <w:szCs w:val="21"/>
              </w:rPr>
              <w:t>订货合同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</w:rPr>
              <w:t>合同规定了产品名称、规格型号、数量、价格、质量要求、交货地点、运输方式、包装标准、验收标准、结算方式、违约责任等条款，要求明确，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有双方盖章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抽查</w:t>
            </w:r>
            <w:r>
              <w:rPr>
                <w:rFonts w:hint="eastAsia"/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Cs w:val="21"/>
              </w:rPr>
              <w:t>与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上海碧波庭实业有限</w:t>
            </w:r>
            <w:r>
              <w:rPr>
                <w:rFonts w:hint="eastAsia"/>
                <w:color w:val="auto"/>
                <w:szCs w:val="21"/>
              </w:rPr>
              <w:t>公司签订</w:t>
            </w:r>
            <w:r>
              <w:rPr>
                <w:rFonts w:hint="eastAsia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精华液等玻璃瓶</w:t>
            </w:r>
            <w:r>
              <w:rPr>
                <w:rFonts w:hint="eastAsia"/>
                <w:color w:val="auto"/>
                <w:szCs w:val="21"/>
              </w:rPr>
              <w:t>订货合同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</w:rPr>
              <w:t>合同规定了产品名称、规格型号、数量、价格、质量要求、交货地点、运输方式、包装标准、验收标准、结算方式、违约责任等条款，要求明确，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有双方盖章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以上合同均已实施，合同评审在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盖章之前由生产和技质等部门按照程序</w:t>
            </w:r>
            <w:r>
              <w:rPr>
                <w:rFonts w:hint="eastAsia"/>
                <w:color w:val="auto"/>
                <w:szCs w:val="21"/>
              </w:rPr>
              <w:t>进行。</w:t>
            </w:r>
          </w:p>
          <w:p>
            <w:pPr>
              <w:spacing w:line="280" w:lineRule="exact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暂无合同变更情况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无相关记录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2" w:type="dxa"/>
            <w:vAlign w:val="top"/>
          </w:tcPr>
          <w:p>
            <w:pPr>
              <w:spacing w:line="280" w:lineRule="exact"/>
              <w:rPr>
                <w:rFonts w:hint="eastAsia" w:ascii="宋体" w:hAnsi="宋体" w:eastAsia="华文细黑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供应商管理</w:t>
            </w:r>
          </w:p>
        </w:tc>
        <w:tc>
          <w:tcPr>
            <w:tcW w:w="998" w:type="dxa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华文细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《管理手册》中明确了“外部提供过程、产品和服务”方面的要求。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华文细黑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组织制定了</w:t>
            </w:r>
            <w:r>
              <w:rPr>
                <w:rFonts w:hint="eastAsia"/>
                <w:color w:val="auto"/>
                <w:szCs w:val="21"/>
              </w:rPr>
              <w:t>《外部提供产品、服务和过程控制程序》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对采购控制作了基本的规定。供销部采购的</w:t>
            </w:r>
            <w:r>
              <w:rPr>
                <w:rFonts w:hint="eastAsia"/>
                <w:color w:val="auto"/>
                <w:szCs w:val="21"/>
              </w:rPr>
              <w:t>主要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产品包括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石英砂、纯碱、方解石、硝酸钠</w:t>
            </w:r>
            <w:r>
              <w:rPr>
                <w:rFonts w:hint="eastAsia"/>
                <w:color w:val="auto"/>
                <w:szCs w:val="21"/>
              </w:rPr>
              <w:t>等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查供方调查、业绩评定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记录，</w:t>
            </w:r>
            <w:r>
              <w:rPr>
                <w:rFonts w:hint="eastAsia"/>
                <w:color w:val="auto"/>
                <w:szCs w:val="21"/>
              </w:rPr>
              <w:t xml:space="preserve"> 基本按采购相关文件进行。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Cs w:val="21"/>
              </w:rPr>
              <w:t>供方调查评价表</w:t>
            </w:r>
            <w:r>
              <w:rPr>
                <w:rFonts w:hint="eastAsia"/>
                <w:color w:val="auto"/>
                <w:szCs w:val="21"/>
                <w:lang w:eastAsia="zh-CN"/>
              </w:rPr>
              <w:t>》，</w:t>
            </w:r>
            <w:r>
              <w:rPr>
                <w:rFonts w:hint="eastAsia"/>
                <w:color w:val="auto"/>
                <w:szCs w:val="21"/>
              </w:rPr>
              <w:t>内容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包括：扩</w:t>
            </w:r>
            <w:r>
              <w:rPr>
                <w:rFonts w:hint="eastAsia"/>
                <w:color w:val="auto"/>
                <w:szCs w:val="21"/>
              </w:rPr>
              <w:t>供方名称、供应产品、评价内容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评价结论等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提供了</w:t>
            </w: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Cs w:val="21"/>
              </w:rPr>
              <w:t>合格供方名录</w:t>
            </w:r>
            <w:r>
              <w:rPr>
                <w:rFonts w:hint="eastAsia"/>
                <w:color w:val="auto"/>
                <w:szCs w:val="21"/>
                <w:lang w:eastAsia="zh-CN"/>
              </w:rPr>
              <w:t>》，</w:t>
            </w:r>
            <w:r>
              <w:rPr>
                <w:rFonts w:hint="eastAsia"/>
                <w:color w:val="auto"/>
                <w:szCs w:val="21"/>
              </w:rPr>
              <w:t>内容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包括</w:t>
            </w:r>
            <w:r>
              <w:rPr>
                <w:rFonts w:hint="eastAsia"/>
                <w:color w:val="auto"/>
                <w:szCs w:val="21"/>
              </w:rPr>
              <w:t>：序号、供方名称、供应产品名称、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联系人</w:t>
            </w:r>
            <w:r>
              <w:rPr>
                <w:rFonts w:hint="eastAsia"/>
                <w:color w:val="auto"/>
                <w:szCs w:val="21"/>
              </w:rPr>
              <w:t>、电话地扯等。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内容</w:t>
            </w:r>
            <w:r>
              <w:rPr>
                <w:rFonts w:hint="eastAsia"/>
                <w:color w:val="auto"/>
                <w:szCs w:val="21"/>
              </w:rPr>
              <w:t>如下：</w:t>
            </w:r>
          </w:p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1.采购合同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供方：南通东仁化工贸易有限公司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采购内容：硝酸钠；</w:t>
            </w:r>
            <w:r>
              <w:rPr>
                <w:rFonts w:hint="eastAsia"/>
                <w:color w:val="auto"/>
                <w:szCs w:val="21"/>
              </w:rPr>
              <w:t>提供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相应</w:t>
            </w:r>
            <w:r>
              <w:rPr>
                <w:rFonts w:hint="eastAsia"/>
                <w:color w:val="auto"/>
                <w:szCs w:val="21"/>
              </w:rPr>
              <w:t>评价表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等评价记录，符合控制要求</w:t>
            </w:r>
            <w:r>
              <w:rPr>
                <w:rFonts w:hint="eastAsia"/>
                <w:color w:val="auto"/>
                <w:szCs w:val="21"/>
              </w:rPr>
              <w:t xml:space="preserve">。 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.供方调查评价表：①企业名称：南通瑞辉燃料有限公司；供货名称：石英砂；评价内容：质保能力、业绩、生产检验设备、质量、价格等；评价结论：良好；②企业名称：上海同洲商贸有限公司；供货名称：纯碱；评价内容：质保能力、业绩、生产检验设备、质量、价格等；评价结论：良好；③企业名称：湖北黄石作新碳酸钙有限公司；供货名称：方解石；评价内容：质保能力、业绩、生产检验设备、质量、价格等；评价结论：良好；④企业名称：南通东仁化工贸易有限公司；供货名称：硝酸钠；评价内容：质保能力、业绩、生产检验设备、质量、价格等；评价结论：良好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3.合格供方名录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供方：杭州中恒物资</w:t>
            </w:r>
            <w:r>
              <w:rPr>
                <w:rFonts w:hint="eastAsia"/>
                <w:color w:val="auto"/>
                <w:szCs w:val="21"/>
              </w:rPr>
              <w:t>有限公司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采购内容：钛白粉；</w:t>
            </w:r>
            <w:r>
              <w:rPr>
                <w:rFonts w:hint="eastAsia"/>
                <w:color w:val="auto"/>
                <w:szCs w:val="21"/>
              </w:rPr>
              <w:t>提供评价表，附其营业执照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、检验报告单等评价记录，符合控制要求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模具制作过程为外包过程，具体控制由生产部实施，但未纳入统一的外部提供过程、产品和服务的评价体系，不符合控制要求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外部供方的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质量</w:t>
            </w:r>
            <w:r>
              <w:rPr>
                <w:rFonts w:hint="eastAsia"/>
                <w:color w:val="auto"/>
                <w:szCs w:val="21"/>
              </w:rPr>
              <w:t>验证详见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技质</w:t>
            </w:r>
            <w:r>
              <w:rPr>
                <w:rFonts w:hint="eastAsia"/>
                <w:color w:val="auto"/>
                <w:szCs w:val="21"/>
              </w:rPr>
              <w:t>部的审核记录。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顾客或外部供方的财产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Q8.5.3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组织对</w:t>
            </w:r>
            <w:r>
              <w:rPr>
                <w:rFonts w:hint="default"/>
              </w:rPr>
              <w:t>顾客或外部供方的财产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识别、防护作了基本规定。组织的供方或顾客财产</w:t>
            </w:r>
            <w:r>
              <w:rPr>
                <w:rFonts w:hint="default"/>
              </w:rPr>
              <w:t>包括：</w:t>
            </w:r>
            <w:r>
              <w:rPr>
                <w:rFonts w:hint="eastAsia"/>
                <w:lang w:val="en-US" w:eastAsia="zh-CN"/>
              </w:rPr>
              <w:t>设计图纸、</w:t>
            </w:r>
            <w:r>
              <w:rPr>
                <w:rFonts w:hint="default"/>
              </w:rPr>
              <w:t>个人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default"/>
              </w:rPr>
              <w:t>等，由</w:t>
            </w:r>
            <w:r>
              <w:rPr>
                <w:rFonts w:hint="eastAsia"/>
                <w:lang w:val="en-US" w:eastAsia="zh-CN"/>
              </w:rPr>
              <w:t>供销部</w:t>
            </w:r>
            <w:r>
              <w:rPr>
                <w:rFonts w:hint="default"/>
              </w:rPr>
              <w:t>门专门人员负责管理，分类登记放置。未发生损坏丢失等现象。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交付后的活动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组织制定了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不合格输出控制程序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，对已销产品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的质量问题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处理事宜作了基本规定。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询问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供销部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负责人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曹卫华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了解到：组织保证所供货物均符合合同规定的质量、规格和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功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能要求，并且所有产品都随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货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附出厂检验合格证明；如客户在使用过程中发现问题，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基本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可通过电话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、文书等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进行解决。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顾客满意</w:t>
            </w:r>
          </w:p>
        </w:tc>
        <w:tc>
          <w:tcPr>
            <w:tcW w:w="998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组织已建立和保持了《顾客满意程度测量控制程序》，对顾客满意的监测的相关内容进行了规定，其包括了对调查时机、方式、方案等。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提供调查记录：抽查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广州华祺玻璃制品有限公司、上海兴雅玻璃有限公司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等《顾客满意程度调查表》，调查内容有：产品质量、价格、交货期、服务质量等，基本完整。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提供《顾客满意度调查报告》，顾客满意率达到9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%，达到了质量目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标的要求。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76C21"/>
    <w:rsid w:val="00077C88"/>
    <w:rsid w:val="000861CC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979E1"/>
    <w:rsid w:val="001A05B6"/>
    <w:rsid w:val="001A3B63"/>
    <w:rsid w:val="001C57A3"/>
    <w:rsid w:val="001F0E7B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1BEA"/>
    <w:rsid w:val="003273C2"/>
    <w:rsid w:val="003445A0"/>
    <w:rsid w:val="003541E0"/>
    <w:rsid w:val="00364D71"/>
    <w:rsid w:val="00382525"/>
    <w:rsid w:val="003840DB"/>
    <w:rsid w:val="00384FEF"/>
    <w:rsid w:val="00397D3F"/>
    <w:rsid w:val="003C12BB"/>
    <w:rsid w:val="003C254E"/>
    <w:rsid w:val="003C6170"/>
    <w:rsid w:val="003E434A"/>
    <w:rsid w:val="0042030E"/>
    <w:rsid w:val="00421E1B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03AAF"/>
    <w:rsid w:val="00715292"/>
    <w:rsid w:val="007469D5"/>
    <w:rsid w:val="0075560B"/>
    <w:rsid w:val="00756C63"/>
    <w:rsid w:val="00761387"/>
    <w:rsid w:val="00774749"/>
    <w:rsid w:val="007861D2"/>
    <w:rsid w:val="007B4E33"/>
    <w:rsid w:val="007C5A7D"/>
    <w:rsid w:val="007C6A31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AF6FB0"/>
    <w:rsid w:val="00B007F3"/>
    <w:rsid w:val="00B03AA7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C1E1A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654"/>
    <w:rsid w:val="00EA2EA2"/>
    <w:rsid w:val="00EB1A5C"/>
    <w:rsid w:val="00EB6AAC"/>
    <w:rsid w:val="00ED41DC"/>
    <w:rsid w:val="00EF78EA"/>
    <w:rsid w:val="00F01C99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15C3CE6"/>
    <w:rsid w:val="03DE78EB"/>
    <w:rsid w:val="041E548B"/>
    <w:rsid w:val="04E8180D"/>
    <w:rsid w:val="0548225D"/>
    <w:rsid w:val="059C6184"/>
    <w:rsid w:val="05F1642E"/>
    <w:rsid w:val="07155A95"/>
    <w:rsid w:val="071F001B"/>
    <w:rsid w:val="0A755CD1"/>
    <w:rsid w:val="0DDA3736"/>
    <w:rsid w:val="0F360E40"/>
    <w:rsid w:val="11B844E6"/>
    <w:rsid w:val="14B556EA"/>
    <w:rsid w:val="15C70407"/>
    <w:rsid w:val="15FB3C44"/>
    <w:rsid w:val="16E82A85"/>
    <w:rsid w:val="172C45C6"/>
    <w:rsid w:val="17310702"/>
    <w:rsid w:val="182E39BC"/>
    <w:rsid w:val="18E63730"/>
    <w:rsid w:val="19AF5A77"/>
    <w:rsid w:val="1A8330B4"/>
    <w:rsid w:val="1AE334BF"/>
    <w:rsid w:val="1F8F5F24"/>
    <w:rsid w:val="1FCA360B"/>
    <w:rsid w:val="245F13B9"/>
    <w:rsid w:val="25B51A95"/>
    <w:rsid w:val="277B1EA4"/>
    <w:rsid w:val="29CA0AEB"/>
    <w:rsid w:val="2A306760"/>
    <w:rsid w:val="2BBD52B7"/>
    <w:rsid w:val="2D314E05"/>
    <w:rsid w:val="2EEA15D4"/>
    <w:rsid w:val="2F010C8D"/>
    <w:rsid w:val="2F442FE7"/>
    <w:rsid w:val="311372E9"/>
    <w:rsid w:val="315E4436"/>
    <w:rsid w:val="32504720"/>
    <w:rsid w:val="35FA59C2"/>
    <w:rsid w:val="36341386"/>
    <w:rsid w:val="36977349"/>
    <w:rsid w:val="370B1400"/>
    <w:rsid w:val="37D20E57"/>
    <w:rsid w:val="389044E9"/>
    <w:rsid w:val="39FC4F8E"/>
    <w:rsid w:val="3C37397E"/>
    <w:rsid w:val="3D457AB4"/>
    <w:rsid w:val="3ED90C45"/>
    <w:rsid w:val="3F055FB6"/>
    <w:rsid w:val="41D20C59"/>
    <w:rsid w:val="45224C47"/>
    <w:rsid w:val="452D7F1C"/>
    <w:rsid w:val="458A74DF"/>
    <w:rsid w:val="48612B74"/>
    <w:rsid w:val="4CC0267D"/>
    <w:rsid w:val="4DED56EF"/>
    <w:rsid w:val="4F660E4F"/>
    <w:rsid w:val="5109500C"/>
    <w:rsid w:val="515F763E"/>
    <w:rsid w:val="53266E1D"/>
    <w:rsid w:val="54DF1EFD"/>
    <w:rsid w:val="552C2EC0"/>
    <w:rsid w:val="5BD930EE"/>
    <w:rsid w:val="5F614678"/>
    <w:rsid w:val="614442C4"/>
    <w:rsid w:val="64375CD3"/>
    <w:rsid w:val="655B398A"/>
    <w:rsid w:val="65F6716B"/>
    <w:rsid w:val="68764A3D"/>
    <w:rsid w:val="6A3A3731"/>
    <w:rsid w:val="6FD164AB"/>
    <w:rsid w:val="70C76378"/>
    <w:rsid w:val="72851A38"/>
    <w:rsid w:val="728C7879"/>
    <w:rsid w:val="728E539F"/>
    <w:rsid w:val="73534DA6"/>
    <w:rsid w:val="745D6C10"/>
    <w:rsid w:val="747D06DB"/>
    <w:rsid w:val="767174B1"/>
    <w:rsid w:val="78322549"/>
    <w:rsid w:val="793547C6"/>
    <w:rsid w:val="794A137F"/>
    <w:rsid w:val="7AD97E9C"/>
    <w:rsid w:val="7B7F28B3"/>
    <w:rsid w:val="7BAD6F9E"/>
    <w:rsid w:val="7C5733F0"/>
    <w:rsid w:val="7C6F4ABE"/>
    <w:rsid w:val="7D323AFB"/>
    <w:rsid w:val="7D9113F4"/>
    <w:rsid w:val="7D923F5F"/>
    <w:rsid w:val="7E365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6">
    <w:name w:val="正文 + 楷体_GB2312"/>
    <w:basedOn w:val="1"/>
    <w:qFormat/>
    <w:uiPriority w:val="0"/>
    <w:pPr>
      <w:ind w:firstLine="630" w:firstLineChars="300"/>
    </w:pPr>
    <w:rPr>
      <w:rFonts w:ascii="楷体_GB2312" w:eastAsia="楷体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2582</Words>
  <Characters>2792</Characters>
  <Lines>23</Lines>
  <Paragraphs>6</Paragraphs>
  <TotalTime>4</TotalTime>
  <ScaleCrop>false</ScaleCrop>
  <LinksUpToDate>false</LinksUpToDate>
  <CharactersWithSpaces>2806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2022-07-05T04:18:17Z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71E8E3C7B1774F8E859668316F4A42D4</vt:lpwstr>
  </property>
</Properties>
</file>