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0455-2022-QEO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河北耀东科技有限公司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河北耀东科技有限公司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河北省石家庄市桥西区新华路388号华业大厦B座1009室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河北省石家庄市桥西区新华路388号华业大厦B座1009室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温俊华</w:t>
            </w:r>
            <w:bookmarkEnd w:id="10"/>
          </w:p>
        </w:tc>
        <w:tc>
          <w:tcPr>
            <w:tcW w:w="1313" w:type="dxa"/>
            <w:vAlign w:val="center"/>
          </w:tcPr>
          <w:p>
            <w:r>
              <w:rPr>
                <w:rFonts w:hint="eastAsia"/>
              </w:rPr>
              <w:t>电话.</w:t>
            </w:r>
          </w:p>
        </w:tc>
        <w:tc>
          <w:tcPr>
            <w:tcW w:w="2180" w:type="dxa"/>
            <w:vAlign w:val="center"/>
          </w:tcPr>
          <w:p>
            <w:bookmarkStart w:id="11" w:name="联系人电话"/>
            <w:r>
              <w:t>13832397800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边翔</w:t>
            </w:r>
            <w:bookmarkEnd w:id="13"/>
          </w:p>
        </w:tc>
        <w:tc>
          <w:tcPr>
            <w:tcW w:w="1313" w:type="dxa"/>
            <w:vAlign w:val="center"/>
          </w:tcPr>
          <w:p>
            <w:r>
              <w:rPr>
                <w:rFonts w:hint="eastAsia"/>
              </w:rPr>
              <w:t>管理者代表</w:t>
            </w:r>
          </w:p>
        </w:tc>
        <w:tc>
          <w:tcPr>
            <w:tcW w:w="2180" w:type="dxa"/>
          </w:tcPr>
          <w:p>
            <w:bookmarkStart w:id="14" w:name="管理者代表"/>
            <w:r>
              <w:t>温俊华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信息系统集成流程：勘察现场-技术方案-施工准备-采购调货-进场施工（线路敷设、设备安装、软件安装）-内部测试-试运行-客户终验；</w:t>
            </w:r>
          </w:p>
          <w:p>
            <w:r>
              <w:rPr>
                <w:rFonts w:hint="default" w:ascii="Times New Roman" w:hAnsi="Times New Roman" w:eastAsia="宋体" w:cs="Times New Roman"/>
                <w:lang w:val="en-US" w:eastAsia="zh-CN"/>
              </w:rPr>
              <w:t>档案数字化加工服务过程：扫描前处理---档案扫描--图像处理--图像质检--图像存储--数据挂接--档案还原--数据质检--档案入库--数据备份--档案数字化加工验收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2022年06月11日 上午至2022年06月12日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jc w:val="both"/>
            </w:pPr>
            <w:r>
              <w:rPr>
                <w:rFonts w:hint="eastAsia"/>
              </w:rPr>
              <w:t>审核方式</w:t>
            </w:r>
          </w:p>
        </w:tc>
        <w:tc>
          <w:tcPr>
            <w:tcW w:w="7831" w:type="dxa"/>
            <w:gridSpan w:val="3"/>
            <w:tcMar>
              <w:left w:w="113" w:type="dxa"/>
            </w:tcMar>
            <w:vAlign w:val="center"/>
          </w:tcPr>
          <w:p>
            <w:pPr>
              <w:jc w:val="both"/>
            </w:pPr>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exact"/>
        </w:trPr>
        <w:tc>
          <w:tcPr>
            <w:tcW w:w="1632" w:type="dxa"/>
            <w:gridSpan w:val="2"/>
            <w:vAlign w:val="center"/>
          </w:tcPr>
          <w:p>
            <w:pPr>
              <w:jc w:val="both"/>
            </w:pPr>
            <w:r>
              <w:rPr>
                <w:rFonts w:hint="eastAsia" w:ascii="宋体" w:hAnsi="宋体" w:cs="宋体"/>
                <w:color w:val="000000"/>
                <w:kern w:val="0"/>
                <w:szCs w:val="21"/>
              </w:rPr>
              <w:t>审核方法</w:t>
            </w:r>
          </w:p>
        </w:tc>
        <w:tc>
          <w:tcPr>
            <w:tcW w:w="7831" w:type="dxa"/>
            <w:gridSpan w:val="3"/>
            <w:tcMar>
              <w:left w:w="113" w:type="dxa"/>
            </w:tcMar>
            <w:vAlign w:val="center"/>
          </w:tcPr>
          <w:p>
            <w:pPr>
              <w:widowControl/>
              <w:jc w:val="both"/>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exact"/>
        </w:trPr>
        <w:tc>
          <w:tcPr>
            <w:tcW w:w="1632" w:type="dxa"/>
            <w:gridSpan w:val="2"/>
            <w:vAlign w:val="center"/>
          </w:tcPr>
          <w:p>
            <w:pPr>
              <w:jc w:val="both"/>
            </w:pPr>
            <w:r>
              <w:rPr>
                <w:rFonts w:hint="eastAsia"/>
              </w:rPr>
              <w:t>审核类型</w:t>
            </w:r>
          </w:p>
        </w:tc>
        <w:tc>
          <w:tcPr>
            <w:tcW w:w="7831" w:type="dxa"/>
            <w:gridSpan w:val="3"/>
            <w:tcMar>
              <w:left w:w="113" w:type="dxa"/>
            </w:tcMar>
            <w:vAlign w:val="center"/>
          </w:tcPr>
          <w:p>
            <w:pPr>
              <w:jc w:val="both"/>
            </w:pPr>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center"/>
          </w:tcPr>
          <w:p>
            <w:pPr>
              <w:tabs>
                <w:tab w:val="left" w:pos="4285"/>
              </w:tabs>
              <w:jc w:val="both"/>
              <w:rPr>
                <w:rFonts w:hint="eastAsia" w:cs="Arial"/>
                <w:b/>
                <w:bCs/>
                <w:color w:val="0000FF"/>
                <w:szCs w:val="21"/>
              </w:rPr>
            </w:pPr>
            <w:r>
              <w:rPr>
                <w:rFonts w:hint="eastAsia" w:cs="Arial"/>
                <w:b/>
                <w:bCs/>
                <w:color w:val="0000FF"/>
                <w:szCs w:val="21"/>
              </w:rPr>
              <w:t>审核地址</w:t>
            </w:r>
          </w:p>
          <w:p>
            <w:pPr>
              <w:tabs>
                <w:tab w:val="left" w:pos="4285"/>
              </w:tabs>
              <w:jc w:val="both"/>
              <w:rPr>
                <w:rFonts w:cs="Arial"/>
                <w:b/>
                <w:bCs/>
                <w:color w:val="0000FF"/>
                <w:szCs w:val="21"/>
              </w:rPr>
            </w:pPr>
            <w:r>
              <w:rPr>
                <w:rFonts w:hint="eastAsia" w:cs="Arial"/>
                <w:b/>
                <w:bCs/>
                <w:color w:val="0000FF"/>
                <w:szCs w:val="21"/>
              </w:rPr>
              <w:t>（含远程）</w:t>
            </w:r>
          </w:p>
        </w:tc>
        <w:tc>
          <w:tcPr>
            <w:tcW w:w="7831" w:type="dxa"/>
            <w:gridSpan w:val="3"/>
            <w:tcMar>
              <w:left w:w="113" w:type="dxa"/>
            </w:tcMar>
            <w:vAlign w:val="center"/>
          </w:tcPr>
          <w:p>
            <w:pPr>
              <w:jc w:val="both"/>
              <w:rPr>
                <w:rFonts w:ascii="宋体"/>
                <w:b/>
                <w:color w:val="0000FF"/>
                <w:szCs w:val="21"/>
              </w:rPr>
            </w:pPr>
            <w:r>
              <w:rPr>
                <w:rFonts w:asciiTheme="minorEastAsia" w:hAnsiTheme="minorEastAsia" w:eastAsiaTheme="minorEastAsia"/>
                <w:sz w:val="20"/>
              </w:rPr>
              <w:t>河北省石家庄市桥西区新华路388号华业大厦B座1009室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exact"/>
        </w:trPr>
        <w:tc>
          <w:tcPr>
            <w:tcW w:w="1632" w:type="dxa"/>
            <w:gridSpan w:val="2"/>
            <w:vAlign w:val="center"/>
          </w:tcPr>
          <w:p>
            <w:pPr>
              <w:jc w:val="both"/>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5" w:hRule="exact"/>
        </w:trPr>
        <w:tc>
          <w:tcPr>
            <w:tcW w:w="1632" w:type="dxa"/>
            <w:gridSpan w:val="2"/>
            <w:vAlign w:val="center"/>
          </w:tcPr>
          <w:p>
            <w:pPr>
              <w:jc w:val="both"/>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vAlign w:val="center"/>
          </w:tcPr>
          <w:p>
            <w:pPr>
              <w:jc w:val="both"/>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Q：信息系统集成服务；档案数字化加工服务。</w:t>
            </w:r>
          </w:p>
          <w:p>
            <w:r>
              <w:t>E：信息系统集成服务；档案数字化加工服务所涉及场所的相关环境管理活动</w:t>
            </w:r>
          </w:p>
          <w:p>
            <w:r>
              <w:t>O：信息系统集成服务；档案数字化加工服务所涉及场所的相关职业健康安全管理活动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Q：33.02.02;33.03.01</w:t>
            </w:r>
          </w:p>
          <w:p>
            <w:r>
              <w:t>E：33.02.02;33.03.01</w:t>
            </w:r>
          </w:p>
          <w:p>
            <w:r>
              <w:t>O：33.02.02;33.03.01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59"/>
        <w:gridCol w:w="1179"/>
        <w:gridCol w:w="1748"/>
        <w:gridCol w:w="17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17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48"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p>
        </w:tc>
        <w:tc>
          <w:tcPr>
            <w:tcW w:w="172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河北耀东科技有限公司</w:t>
            </w:r>
            <w:r>
              <w:rPr>
                <w:rFonts w:hint="eastAsia" w:eastAsia="黑体"/>
                <w:szCs w:val="21"/>
                <w:lang w:val="en-US" w:eastAsia="zh-CN"/>
              </w:rPr>
              <w:t>/</w:t>
            </w:r>
            <w:r>
              <w:rPr>
                <w:rFonts w:hint="eastAsia" w:eastAsia="黑体"/>
                <w:szCs w:val="21"/>
                <w:lang w:val="de-DE" w:eastAsia="ja-JP"/>
              </w:rPr>
              <w:t>河北省石家庄市桥西区新华路388号华业大厦B座1009室</w:t>
            </w:r>
          </w:p>
        </w:tc>
        <w:tc>
          <w:tcPr>
            <w:tcW w:w="1659" w:type="dxa"/>
          </w:tcPr>
          <w:p>
            <w:pPr>
              <w:spacing w:before="40" w:after="40"/>
              <w:rPr>
                <w:rFonts w:eastAsia="黑体"/>
                <w:szCs w:val="21"/>
                <w:lang w:val="de-DE" w:eastAsia="ja-JP"/>
              </w:rPr>
            </w:pPr>
            <w:r>
              <w:rPr>
                <w:rFonts w:hint="eastAsia" w:eastAsia="黑体"/>
                <w:szCs w:val="21"/>
                <w:lang w:val="de-DE" w:eastAsia="ja-JP"/>
              </w:rPr>
              <w:t>河北省石家庄市桥西区新华路388号华业大厦B座1009室</w:t>
            </w:r>
          </w:p>
        </w:tc>
        <w:tc>
          <w:tcPr>
            <w:tcW w:w="1179"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1748" w:type="dxa"/>
            <w:vAlign w:val="center"/>
          </w:tcPr>
          <w:p>
            <w:pPr>
              <w:pStyle w:val="22"/>
              <w:rPr>
                <w:rFonts w:eastAsia="黑体" w:cs="Arial"/>
                <w:sz w:val="21"/>
                <w:szCs w:val="21"/>
                <w:lang w:val="en-US" w:eastAsia="ja-JP"/>
              </w:rPr>
            </w:pPr>
            <w:r>
              <w:rPr>
                <w:sz w:val="21"/>
                <w:szCs w:val="21"/>
              </w:rPr>
              <w:t>信息系统集成服务；档案数字化加工服务</w:t>
            </w:r>
          </w:p>
        </w:tc>
        <w:tc>
          <w:tcPr>
            <w:tcW w:w="1724" w:type="dxa"/>
            <w:vAlign w:val="center"/>
          </w:tcPr>
          <w:p>
            <w:pPr>
              <w:rPr>
                <w:rFonts w:ascii="宋体" w:hAnsi="宋体"/>
                <w:b/>
                <w:color w:val="000000"/>
                <w:szCs w:val="21"/>
                <w:lang w:val="de-DE"/>
              </w:rPr>
            </w:pPr>
            <w:r>
              <w:rPr>
                <w:rFonts w:hint="eastAsia" w:ascii="宋体" w:hAnsi="宋体"/>
                <w:b/>
                <w:color w:val="000000"/>
                <w:szCs w:val="21"/>
                <w:lang w:val="de-DE"/>
              </w:rPr>
              <w:t>GB/T19001-2016GB/T24001-2016</w:t>
            </w:r>
          </w:p>
          <w:p>
            <w:pPr>
              <w:rPr>
                <w:rFonts w:hint="default" w:ascii="宋体" w:hAnsi="宋体" w:eastAsia="宋体"/>
                <w:b/>
                <w:color w:val="000000"/>
                <w:szCs w:val="21"/>
                <w:lang w:val="en-US" w:eastAsia="zh-CN"/>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E:33.02.02,33.03.01</w:t>
            </w:r>
          </w:p>
          <w:p>
            <w:r>
              <w:t>O:33.02.02,33.03.01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r>
              <w:t>Q:33.02.02,33.03.01</w:t>
            </w:r>
          </w:p>
          <w:p>
            <w:r>
              <w:t>E:33.02.02,33.03.01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E:33.02.02,33.03.01</w:t>
            </w:r>
          </w:p>
          <w:p>
            <w:r>
              <w:t>O:33.02.02,33.03.01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213995</wp:posOffset>
                  </wp:positionH>
                  <wp:positionV relativeFrom="paragraph">
                    <wp:posOffset>5080</wp:posOffset>
                  </wp:positionV>
                  <wp:extent cx="789305" cy="37973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789305" cy="379730"/>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widowControl/>
              <w:spacing w:before="40"/>
              <w:jc w:val="left"/>
              <w:rPr>
                <w:rFonts w:hint="eastAsia"/>
                <w:b/>
                <w:bCs/>
              </w:rPr>
            </w:pPr>
            <w:r>
              <w:rPr>
                <w:rFonts w:hint="eastAsia"/>
                <w:b/>
                <w:bCs/>
                <w:lang w:val="en-US" w:eastAsia="zh-CN"/>
              </w:rPr>
              <w:t>诚信服务顾客满意</w:t>
            </w:r>
            <w:r>
              <w:rPr>
                <w:rFonts w:hint="eastAsia"/>
                <w:b/>
                <w:bCs/>
              </w:rPr>
              <w:t>，预防污染保护环境；</w:t>
            </w:r>
          </w:p>
          <w:p>
            <w:pPr>
              <w:shd w:val="clear" w:color="auto" w:fill="C7DAF1" w:themeFill="text2" w:themeFillTint="32"/>
              <w:rPr>
                <w:rFonts w:hint="eastAsia" w:eastAsia="宋体"/>
                <w:u w:val="single"/>
                <w:lang w:eastAsia="zh-CN"/>
              </w:rPr>
            </w:pPr>
            <w:r>
              <w:rPr>
                <w:rFonts w:hint="eastAsia"/>
                <w:b/>
                <w:bCs/>
              </w:rPr>
              <w:t>关爱员工健康安全，持续改进追求卓越</w:t>
            </w:r>
            <w:r>
              <w:rPr>
                <w:rFonts w:hint="eastAsia"/>
                <w:b/>
                <w:bCs/>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生产中心</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公司是是否充分及时收集评估，并转化为公司制度执行，符合新法规要求</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主要职能部门按照要求定期收集评法律法规</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人员不足。能力不足。沟通不畅</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采取的适当措施可包括对在职人员进行培训、辅导或重新分配工作，或者招聘具备能力的人员等。</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295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产品一次交验合格率≥98%</w:t>
                  </w:r>
                </w:p>
              </w:tc>
              <w:tc>
                <w:tcPr>
                  <w:tcW w:w="2955"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ascii="Times New Roman" w:hAnsi="Times New Roman" w:eastAsia="宋体" w:cs="Times New Roman"/>
                      <w:sz w:val="18"/>
                      <w:szCs w:val="18"/>
                      <w:lang w:val="en-US" w:eastAsia="zh-CN"/>
                    </w:rPr>
                    <w:t>一次性</w:t>
                  </w: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eastAsia="宋体"/>
                      <w:lang w:val="en-US" w:eastAsia="zh-CN"/>
                    </w:rPr>
                    <w:t>生产中心</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客户满意率≥95%</w:t>
                  </w:r>
                </w:p>
              </w:tc>
              <w:tc>
                <w:tcPr>
                  <w:tcW w:w="2955"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GB"/>
                    </w:rPr>
                    <w:t>9</w:t>
                  </w:r>
                  <w:r>
                    <w:rPr>
                      <w:rFonts w:hint="eastAsia" w:ascii="宋体" w:hAnsi="宋体"/>
                      <w:lang w:val="en-US" w:eastAsia="zh-CN"/>
                    </w:rPr>
                    <w:t>9</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330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lang w:val="en-US"/>
              </w:rPr>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DA/T 22-2015《归档文件整理规则》等</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审核期间内设计和开发新产品/项目名称：太原市退役军人事务局档案数字化加工</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1463"/>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7" w:type="dxa"/>
                </w:tcPr>
                <w:p>
                  <w:pPr>
                    <w:shd w:val="clear" w:color="auto" w:fill="C7DAF1" w:themeFill="text2" w:themeFillTint="32"/>
                    <w:jc w:val="left"/>
                  </w:pPr>
                  <w:r>
                    <w:rPr>
                      <w:rFonts w:hint="eastAsia"/>
                    </w:rPr>
                    <w:t>产品/服务名称</w:t>
                  </w:r>
                </w:p>
              </w:tc>
              <w:tc>
                <w:tcPr>
                  <w:tcW w:w="1463" w:type="dxa"/>
                </w:tcPr>
                <w:p>
                  <w:pPr>
                    <w:shd w:val="clear" w:color="auto" w:fill="C7DAF1" w:themeFill="text2" w:themeFillTint="32"/>
                    <w:jc w:val="left"/>
                  </w:pPr>
                  <w:r>
                    <w:rPr>
                      <w:rFonts w:hint="eastAsia"/>
                    </w:rPr>
                    <w:t>关键过程</w:t>
                  </w:r>
                </w:p>
              </w:tc>
              <w:tc>
                <w:tcPr>
                  <w:tcW w:w="3132"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7" w:type="dxa"/>
                </w:tcPr>
                <w:p>
                  <w:pPr>
                    <w:shd w:val="clear" w:color="auto" w:fill="C7DAF1" w:themeFill="text2" w:themeFillTint="32"/>
                    <w:jc w:val="left"/>
                  </w:pPr>
                  <w:r>
                    <w:rPr>
                      <w:sz w:val="21"/>
                      <w:szCs w:val="21"/>
                    </w:rPr>
                    <w:t>信息系统集成服务；档案数字化加工服务</w:t>
                  </w:r>
                </w:p>
              </w:tc>
              <w:tc>
                <w:tcPr>
                  <w:tcW w:w="1463"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业务洽谈</w:t>
                  </w:r>
                </w:p>
              </w:tc>
              <w:tc>
                <w:tcPr>
                  <w:tcW w:w="313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single"/>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sz w:val="21"/>
                <w:szCs w:val="21"/>
              </w:rPr>
              <w:t>信息系统集成服务；档案数字化加工服务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lang w:val="en-US" w:eastAsia="zh-CN"/>
              </w:rPr>
              <w:t>服务</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jc w:val="left"/>
              <w:rPr>
                <w:rFonts w:hint="eastAsia"/>
              </w:rPr>
            </w:pPr>
            <w:r>
              <w:rPr>
                <w:rFonts w:hint="eastAsia"/>
                <w:lang w:val="en-US" w:eastAsia="zh-CN"/>
              </w:rPr>
              <w:t>诚信服务顾客满意</w:t>
            </w:r>
            <w:r>
              <w:rPr>
                <w:rFonts w:hint="eastAsia"/>
              </w:rPr>
              <w:t>，预防污染保护环境；</w:t>
            </w:r>
          </w:p>
          <w:p>
            <w:pPr>
              <w:shd w:val="clear" w:color="auto" w:fill="EBF1DE" w:themeFill="accent3" w:themeFillTint="32"/>
              <w:rPr>
                <w:rFonts w:hint="eastAsia"/>
                <w:lang w:eastAsia="zh-CN"/>
              </w:rPr>
            </w:pPr>
            <w:r>
              <w:rPr>
                <w:rFonts w:hint="eastAsia"/>
              </w:rPr>
              <w:t>关爱员工健康安全，持续改进追求卓越</w:t>
            </w:r>
            <w:r>
              <w:rPr>
                <w:rFonts w:hint="eastAsia"/>
                <w:lang w:eastAsia="zh-CN"/>
              </w:rPr>
              <w:t>。</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生产中心</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rPr>
                  </w:pPr>
                  <w:r>
                    <w:rPr>
                      <w:rFonts w:hint="eastAsia" w:ascii="Times New Roman" w:hAnsi="Times New Roman" w:eastAsia="宋体" w:cs="Times New Roman"/>
                      <w:lang w:val="en-US" w:eastAsia="zh-CN"/>
                    </w:rPr>
                    <w:t>电线老化引起火灾，灭火器不在有效期内</w:t>
                  </w:r>
                </w:p>
              </w:tc>
              <w:tc>
                <w:tcPr>
                  <w:tcW w:w="3965" w:type="dxa"/>
                </w:tcPr>
                <w:p>
                  <w:pPr>
                    <w:shd w:val="clear" w:color="auto" w:fill="EBF1DE" w:themeFill="accent3" w:themeFillTint="32"/>
                    <w:rPr>
                      <w:rFonts w:hint="default" w:eastAsia="宋体"/>
                      <w:lang w:val="en-US" w:eastAsia="zh-CN"/>
                    </w:rPr>
                  </w:pPr>
                  <w:r>
                    <w:rPr>
                      <w:rFonts w:hint="eastAsia"/>
                      <w:lang w:val="en-US" w:eastAsia="zh-CN"/>
                    </w:rPr>
                    <w:t>对员工进行培训，定期检测消防设施</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18"/>
                      <w:szCs w:val="18"/>
                      <w:lang w:val="en-US" w:eastAsia="zh-CN" w:bidi="ar-SA"/>
                    </w:rPr>
                  </w:pPr>
                  <w:r>
                    <w:rPr>
                      <w:rFonts w:hint="eastAsia"/>
                      <w:bCs/>
                      <w:sz w:val="18"/>
                      <w:szCs w:val="18"/>
                    </w:rPr>
                    <w:t>固体废弃物分类处理率达100%</w:t>
                  </w:r>
                  <w:r>
                    <w:rPr>
                      <w:rFonts w:hint="eastAsia"/>
                      <w:bCs/>
                      <w:sz w:val="18"/>
                      <w:szCs w:val="18"/>
                      <w:lang w:eastAsia="zh-CN"/>
                    </w:rPr>
                    <w:t>；</w:t>
                  </w:r>
                  <w:r>
                    <w:rPr>
                      <w:rFonts w:hint="eastAsia"/>
                      <w:bCs/>
                      <w:sz w:val="18"/>
                      <w:szCs w:val="18"/>
                      <w:lang w:val="en-US" w:eastAsia="zh-CN"/>
                    </w:rPr>
                    <w:t>火灾事故为0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18"/>
                      <w:szCs w:val="18"/>
                      <w:lang w:val="en-GB" w:eastAsia="zh-CN" w:bidi="ar-SA"/>
                    </w:rPr>
                  </w:pPr>
                  <w:r>
                    <w:rPr>
                      <w:rFonts w:hint="eastAsia" w:ascii="Times New Roman" w:hAnsi="Times New Roman" w:cs="Times New Roman"/>
                      <w:sz w:val="18"/>
                      <w:szCs w:val="18"/>
                      <w:lang w:val="en-US" w:eastAsia="zh-CN"/>
                    </w:rPr>
                    <w:t>对人员进行培训，设置固废分类装置；对火灾进行应急预案演练；定期检查</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330</w:t>
            </w:r>
            <w:r>
              <w:rPr>
                <w:rFonts w:hint="eastAsia"/>
              </w:rPr>
              <w:t>平方米；生产车间个；库房个；实验室个；</w:t>
            </w:r>
          </w:p>
          <w:p>
            <w:pPr>
              <w:shd w:val="clear" w:color="auto" w:fill="EBF1DE" w:themeFill="accent3" w:themeFillTint="32"/>
              <w:rPr>
                <w:rFonts w:hint="eastAsia" w:ascii="Times New Roman" w:hAnsi="Times New Roman" w:eastAsia="宋体" w:cs="Times New Roman"/>
                <w:u w:val="single"/>
              </w:rPr>
            </w:pPr>
            <w:r>
              <w:rPr>
                <w:rFonts w:hint="eastAsia"/>
              </w:rPr>
              <w:t>主要生产设备有：</w:t>
            </w:r>
            <w:r>
              <w:rPr>
                <w:rFonts w:hint="eastAsia" w:ascii="Times New Roman" w:hAnsi="Times New Roman" w:eastAsia="宋体" w:cs="Times New Roman"/>
                <w:u w:val="single"/>
                <w:lang w:val="en-US" w:eastAsia="zh-CN"/>
              </w:rPr>
              <w:t>服务器、电脑、打印机</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中华人民共和国消防法等</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见QMS</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color w:val="000000"/>
                <w:sz w:val="24"/>
              </w:rPr>
              <w:t>20</w:t>
            </w:r>
            <w:r>
              <w:rPr>
                <w:rFonts w:hint="eastAsia"/>
                <w:color w:val="000000"/>
                <w:sz w:val="24"/>
                <w:lang w:val="en-US" w:eastAsia="zh-CN"/>
              </w:rPr>
              <w:t>21</w:t>
            </w:r>
            <w:r>
              <w:rPr>
                <w:rFonts w:hint="eastAsia"/>
                <w:color w:val="000000"/>
                <w:sz w:val="24"/>
              </w:rPr>
              <w:t>年</w:t>
            </w:r>
            <w:r>
              <w:rPr>
                <w:rFonts w:hint="eastAsia"/>
                <w:color w:val="000000"/>
                <w:sz w:val="24"/>
                <w:lang w:val="en-US" w:eastAsia="zh-CN"/>
              </w:rPr>
              <w:t>10</w:t>
            </w:r>
            <w:r>
              <w:rPr>
                <w:rFonts w:hint="eastAsia"/>
                <w:color w:val="000000"/>
                <w:sz w:val="24"/>
              </w:rPr>
              <w:t>月</w:t>
            </w:r>
            <w:r>
              <w:rPr>
                <w:rFonts w:hint="eastAsia"/>
                <w:color w:val="000000"/>
                <w:sz w:val="24"/>
                <w:lang w:val="en-US" w:eastAsia="zh-CN"/>
              </w:rPr>
              <w:t>19</w:t>
            </w:r>
            <w:r>
              <w:rPr>
                <w:rFonts w:hint="eastAsia"/>
                <w:color w:val="000000"/>
                <w:sz w:val="24"/>
              </w:rPr>
              <w:t>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ascii="Times New Roman" w:hAnsi="Times New Roman" w:eastAsia="宋体" w:cs="Times New Roman"/>
                <w:sz w:val="24"/>
              </w:rPr>
              <w:t>20</w:t>
            </w: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widowControl/>
              <w:spacing w:before="40"/>
              <w:jc w:val="left"/>
              <w:rPr>
                <w:rFonts w:hint="eastAsia"/>
                <w:b/>
                <w:bCs/>
              </w:rPr>
            </w:pPr>
            <w:r>
              <w:rPr>
                <w:rFonts w:hint="eastAsia"/>
                <w:b/>
                <w:bCs/>
                <w:lang w:val="en-US" w:eastAsia="zh-CN"/>
              </w:rPr>
              <w:t>诚信服务顾客满意</w:t>
            </w:r>
            <w:r>
              <w:rPr>
                <w:rFonts w:hint="eastAsia"/>
                <w:b/>
                <w:bCs/>
              </w:rPr>
              <w:t>，预防污染保护环境；</w:t>
            </w:r>
          </w:p>
          <w:p>
            <w:pPr>
              <w:rPr>
                <w:rFonts w:hint="eastAsia" w:eastAsia="宋体"/>
                <w:u w:val="single"/>
                <w:lang w:eastAsia="zh-CN"/>
              </w:rPr>
            </w:pPr>
            <w:r>
              <w:rPr>
                <w:rFonts w:hint="eastAsia"/>
                <w:b/>
                <w:bCs/>
              </w:rPr>
              <w:t>关爱员工健康安全，持续改进追求卓越</w:t>
            </w:r>
            <w:r>
              <w:rPr>
                <w:rFonts w:hint="eastAsia"/>
                <w:b/>
                <w:bCs/>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生产中心</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疫情爆发带来的不安定</w:t>
                  </w:r>
                </w:p>
              </w:tc>
              <w:tc>
                <w:tcPr>
                  <w:tcW w:w="3965" w:type="dxa"/>
                  <w:vAlign w:val="top"/>
                </w:tcPr>
                <w:p>
                  <w:pPr>
                    <w:rPr>
                      <w:rFonts w:ascii="Times New Roman" w:hAnsi="Times New Roman" w:eastAsia="宋体" w:cs="Times New Roman"/>
                      <w:kern w:val="2"/>
                      <w:sz w:val="18"/>
                      <w:szCs w:val="18"/>
                      <w:lang w:val="en-US" w:eastAsia="zh-CN" w:bidi="ar-SA"/>
                    </w:rPr>
                  </w:pPr>
                  <w:r>
                    <w:rPr>
                      <w:rFonts w:hint="eastAsia" w:ascii="楷体" w:hAnsi="楷体" w:eastAsia="楷体" w:cs="楷体"/>
                      <w:sz w:val="21"/>
                      <w:szCs w:val="21"/>
                      <w:lang w:val="en-US" w:eastAsia="zh-CN"/>
                    </w:rPr>
                    <w:t>制定疫情应对措施，进出温度测控设施、电梯的定期消杀、外地人员或去过风险地区人员的报备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pPr>
                  <w:r>
                    <w:rPr>
                      <w:rFonts w:hint="eastAsia"/>
                    </w:rPr>
                    <w:t>重大安全事故为0</w:t>
                  </w:r>
                  <w:r>
                    <w:rPr>
                      <w:rFonts w:hint="eastAsia"/>
                      <w:lang w:val="en-US" w:eastAsia="zh-CN"/>
                    </w:rPr>
                    <w:t xml:space="preserve">                </w:t>
                  </w:r>
                  <w:r>
                    <w:rPr>
                      <w:rFonts w:hint="eastAsia"/>
                    </w:rPr>
                    <w:t>火灾事故发生率为0</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办公室对人员进行培训，办公场所设置禁烟警示标识；对火灾进行应急预案演练；定期检查</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330</w:t>
            </w:r>
            <w:r>
              <w:rPr>
                <w:rFonts w:hint="eastAsia"/>
              </w:rPr>
              <w:t>平方米；生产车间个；库房个；实验室个；</w:t>
            </w:r>
          </w:p>
          <w:p>
            <w:pPr>
              <w:rPr>
                <w:rFonts w:hint="eastAsia" w:ascii="Times New Roman" w:hAnsi="Times New Roman" w:eastAsia="宋体" w:cs="Times New Roman"/>
                <w:u w:val="single"/>
              </w:rPr>
            </w:pPr>
            <w:r>
              <w:rPr>
                <w:rFonts w:hint="eastAsia"/>
              </w:rPr>
              <w:t>主要生产设备有：</w:t>
            </w:r>
            <w:r>
              <w:rPr>
                <w:rFonts w:hint="eastAsia" w:ascii="Times New Roman" w:hAnsi="Times New Roman" w:eastAsia="宋体" w:cs="Times New Roman"/>
                <w:u w:val="single"/>
                <w:lang w:val="en-US" w:eastAsia="zh-CN"/>
              </w:rPr>
              <w:t>服务器、电脑、打印机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中华人民共和国消防法、传染病防治法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default" w:eastAsia="宋体"/>
                <w:lang w:val="en-US" w:eastAsia="zh-CN"/>
              </w:rPr>
            </w:pPr>
            <w:r>
              <w:rPr>
                <w:rFonts w:hint="eastAsia"/>
              </w:rPr>
              <w:t>审核期间内，设计和开发新产品/项目名称：</w:t>
            </w:r>
            <w:r>
              <w:rPr>
                <w:rFonts w:hint="eastAsia"/>
                <w:u w:val="single"/>
                <w:lang w:val="en-US" w:eastAsia="zh-CN"/>
              </w:rPr>
              <w:t>见QMS</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触电</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w:t>
                  </w:r>
                  <w:r>
                    <w:rPr>
                      <w:rFonts w:hint="eastAsia"/>
                    </w:rPr>
                    <w:t>漏电保护□绝缘用具检测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管理方案、应急预案</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触电</w:t>
            </w:r>
            <w:r>
              <w:rPr>
                <w:rFonts w:hint="eastAsia"/>
                <w:lang w:eastAsia="zh-CN"/>
              </w:rPr>
              <w:t>）</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color w:val="000000"/>
                <w:sz w:val="24"/>
              </w:rPr>
              <w:t>20</w:t>
            </w:r>
            <w:r>
              <w:rPr>
                <w:rFonts w:hint="eastAsia"/>
                <w:color w:val="000000"/>
                <w:sz w:val="24"/>
                <w:lang w:val="en-US" w:eastAsia="zh-CN"/>
              </w:rPr>
              <w:t>21</w:t>
            </w:r>
            <w:r>
              <w:rPr>
                <w:rFonts w:hint="eastAsia"/>
                <w:color w:val="000000"/>
                <w:sz w:val="24"/>
              </w:rPr>
              <w:t>年</w:t>
            </w:r>
            <w:r>
              <w:rPr>
                <w:rFonts w:hint="eastAsia"/>
                <w:color w:val="000000"/>
                <w:sz w:val="24"/>
                <w:lang w:val="en-US" w:eastAsia="zh-CN"/>
              </w:rPr>
              <w:t>7</w:t>
            </w:r>
            <w:r>
              <w:rPr>
                <w:rFonts w:hint="eastAsia"/>
                <w:color w:val="000000"/>
                <w:sz w:val="24"/>
              </w:rPr>
              <w:t>月</w:t>
            </w:r>
            <w:r>
              <w:rPr>
                <w:rFonts w:hint="eastAsia"/>
                <w:color w:val="000000"/>
                <w:sz w:val="24"/>
                <w:lang w:val="en-US" w:eastAsia="zh-CN"/>
              </w:rPr>
              <w:t>12</w:t>
            </w:r>
            <w:r>
              <w:rPr>
                <w:rFonts w:hint="eastAsia"/>
                <w:color w:val="000000"/>
                <w:sz w:val="24"/>
              </w:rPr>
              <w:t>日</w:t>
            </w:r>
            <w:r>
              <w:rPr>
                <w:rFonts w:hint="eastAsia"/>
              </w:rPr>
              <w:t>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ascii="Times New Roman" w:hAnsi="Times New Roman" w:eastAsia="宋体" w:cs="Times New Roman"/>
                <w:sz w:val="24"/>
              </w:rPr>
              <w:t>20</w:t>
            </w: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29A42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ody Text"/>
    <w:basedOn w:val="1"/>
    <w:qFormat/>
    <w:uiPriority w:val="0"/>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18695</Words>
  <Characters>19635</Characters>
  <Lines>150</Lines>
  <Paragraphs>42</Paragraphs>
  <TotalTime>2</TotalTime>
  <ScaleCrop>false</ScaleCrop>
  <LinksUpToDate>false</LinksUpToDate>
  <CharactersWithSpaces>19756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2022-06-20T09:25:13Z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