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1"/>
        <w:tblW w:w="15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51"/>
        <w:gridCol w:w="12120"/>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81" w:type="dxa"/>
            <w:vMerge w:val="restart"/>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过程与活动、</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抽样计划</w:t>
            </w:r>
          </w:p>
        </w:tc>
        <w:tc>
          <w:tcPr>
            <w:tcW w:w="751" w:type="dxa"/>
            <w:vMerge w:val="restart"/>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涉及</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条款</w:t>
            </w: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受审核部门：</w:t>
            </w:r>
            <w:r>
              <w:rPr>
                <w:rFonts w:hint="eastAsia" w:ascii="宋体" w:hAnsi="宋体" w:eastAsia="宋体" w:cs="Times New Roman"/>
                <w:szCs w:val="21"/>
                <w:lang w:eastAsia="zh-CN"/>
              </w:rPr>
              <w:t>管理</w:t>
            </w:r>
            <w:r>
              <w:rPr>
                <w:rFonts w:hint="eastAsia" w:ascii="宋体" w:hAnsi="宋体" w:eastAsia="宋体" w:cs="Times New Roman"/>
                <w:szCs w:val="21"/>
              </w:rPr>
              <w:t>层         主管领导：</w:t>
            </w:r>
            <w:r>
              <w:rPr>
                <w:rFonts w:hint="eastAsia" w:ascii="宋体" w:hAnsi="宋体" w:eastAsia="宋体" w:cs="Times New Roman"/>
                <w:szCs w:val="21"/>
                <w:lang w:eastAsia="zh-CN"/>
              </w:rPr>
              <w:t>边翔</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陪同人员：</w:t>
            </w:r>
            <w:r>
              <w:rPr>
                <w:rFonts w:hint="eastAsia" w:ascii="宋体" w:hAnsi="宋体" w:eastAsia="宋体" w:cs="Times New Roman"/>
                <w:szCs w:val="21"/>
                <w:lang w:val="en-US" w:eastAsia="zh-CN"/>
              </w:rPr>
              <w:t xml:space="preserve"> 李曙光  </w:t>
            </w:r>
          </w:p>
        </w:tc>
        <w:tc>
          <w:tcPr>
            <w:tcW w:w="748" w:type="dxa"/>
            <w:vMerge w:val="restart"/>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81" w:type="dxa"/>
            <w:vMerge w:val="continue"/>
            <w:vAlign w:val="center"/>
          </w:tcPr>
          <w:p>
            <w:pPr>
              <w:adjustRightInd w:val="0"/>
              <w:snapToGrid w:val="0"/>
              <w:spacing w:line="276" w:lineRule="auto"/>
              <w:rPr>
                <w:rFonts w:hint="eastAsia" w:ascii="宋体" w:hAnsi="宋体" w:eastAsia="宋体" w:cs="Times New Roman"/>
                <w:szCs w:val="21"/>
              </w:rPr>
            </w:pPr>
          </w:p>
        </w:tc>
        <w:tc>
          <w:tcPr>
            <w:tcW w:w="751" w:type="dxa"/>
            <w:vMerge w:val="continue"/>
            <w:vAlign w:val="center"/>
          </w:tcPr>
          <w:p>
            <w:pPr>
              <w:adjustRightInd w:val="0"/>
              <w:snapToGrid w:val="0"/>
              <w:spacing w:line="276" w:lineRule="auto"/>
              <w:rPr>
                <w:rFonts w:hint="eastAsia" w:ascii="宋体" w:hAnsi="宋体" w:eastAsia="宋体" w:cs="Times New Roman"/>
                <w:szCs w:val="21"/>
              </w:rPr>
            </w:pP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审核员：</w:t>
            </w:r>
            <w:r>
              <w:rPr>
                <w:rFonts w:hint="eastAsia" w:ascii="宋体" w:hAnsi="宋体" w:eastAsia="宋体" w:cs="Times New Roman"/>
                <w:szCs w:val="21"/>
                <w:lang w:eastAsia="zh-CN"/>
              </w:rPr>
              <w:t>杨园</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审核时间：2022.</w:t>
            </w:r>
            <w:r>
              <w:rPr>
                <w:rFonts w:hint="eastAsia" w:ascii="宋体" w:hAnsi="宋体" w:eastAsia="宋体" w:cs="Times New Roman"/>
                <w:szCs w:val="21"/>
                <w:lang w:val="en-US" w:eastAsia="zh-CN"/>
              </w:rPr>
              <w:t>6.11</w:t>
            </w:r>
          </w:p>
        </w:tc>
        <w:tc>
          <w:tcPr>
            <w:tcW w:w="748" w:type="dxa"/>
            <w:vMerge w:val="continue"/>
          </w:tcPr>
          <w:p>
            <w:pPr>
              <w:adjustRightInd w:val="0"/>
              <w:snapToGrid w:val="0"/>
              <w:spacing w:line="276"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381" w:type="dxa"/>
            <w:vMerge w:val="continue"/>
            <w:vAlign w:val="center"/>
          </w:tcPr>
          <w:p>
            <w:pPr>
              <w:adjustRightInd w:val="0"/>
              <w:snapToGrid w:val="0"/>
              <w:spacing w:line="276" w:lineRule="auto"/>
              <w:rPr>
                <w:rFonts w:hint="eastAsia" w:ascii="宋体" w:hAnsi="宋体" w:eastAsia="宋体" w:cs="Times New Roman"/>
                <w:szCs w:val="21"/>
              </w:rPr>
            </w:pPr>
          </w:p>
        </w:tc>
        <w:tc>
          <w:tcPr>
            <w:tcW w:w="751" w:type="dxa"/>
            <w:vMerge w:val="continue"/>
            <w:vAlign w:val="center"/>
          </w:tcPr>
          <w:p>
            <w:pPr>
              <w:adjustRightInd w:val="0"/>
              <w:snapToGrid w:val="0"/>
              <w:spacing w:line="276" w:lineRule="auto"/>
              <w:rPr>
                <w:rFonts w:hint="eastAsia" w:ascii="宋体" w:hAnsi="宋体" w:eastAsia="宋体" w:cs="Times New Roman"/>
                <w:szCs w:val="21"/>
              </w:rPr>
            </w:pPr>
          </w:p>
        </w:tc>
        <w:tc>
          <w:tcPr>
            <w:tcW w:w="12120" w:type="dxa"/>
            <w:vAlign w:val="center"/>
          </w:tcPr>
          <w:p>
            <w:pPr>
              <w:adjustRightInd w:val="0"/>
              <w:snapToGrid w:val="0"/>
              <w:spacing w:line="276" w:lineRule="auto"/>
              <w:rPr>
                <w:rFonts w:hint="eastAsia" w:ascii="宋体" w:hAnsi="宋体" w:eastAsia="宋体" w:cs="Times New Roman"/>
                <w:szCs w:val="21"/>
                <w:lang w:val="en-US"/>
              </w:rPr>
            </w:pPr>
            <w:r>
              <w:rPr>
                <w:rFonts w:hint="eastAsia" w:ascii="宋体" w:hAnsi="宋体" w:eastAsia="宋体" w:cs="Times New Roman"/>
                <w:szCs w:val="21"/>
              </w:rPr>
              <w:t>审核条款：</w:t>
            </w:r>
            <w:r>
              <w:rPr>
                <w:rFonts w:hint="eastAsia" w:ascii="宋体" w:hAnsi="宋体" w:eastAsia="宋体" w:cs="Times New Roman"/>
                <w:szCs w:val="21"/>
                <w:lang w:val="en-US" w:eastAsia="zh-CN"/>
              </w:rPr>
              <w:t>QEO:</w:t>
            </w:r>
            <w:r>
              <w:rPr>
                <w:rFonts w:hint="eastAsia" w:ascii="宋体" w:hAnsi="宋体" w:eastAsia="宋体" w:cs="Times New Roman"/>
                <w:szCs w:val="21"/>
              </w:rPr>
              <w:t>4.1</w:t>
            </w:r>
            <w:r>
              <w:rPr>
                <w:rFonts w:hint="eastAsia" w:ascii="宋体" w:hAnsi="宋体" w:eastAsia="宋体" w:cs="Times New Roman"/>
                <w:szCs w:val="21"/>
                <w:lang w:val="en-US" w:eastAsia="zh-CN"/>
              </w:rPr>
              <w:t>/</w:t>
            </w:r>
            <w:r>
              <w:rPr>
                <w:rFonts w:hint="eastAsia" w:ascii="宋体" w:hAnsi="宋体" w:eastAsia="宋体" w:cs="Times New Roman"/>
                <w:szCs w:val="21"/>
              </w:rPr>
              <w:t>4.2</w:t>
            </w:r>
            <w:r>
              <w:rPr>
                <w:rFonts w:hint="eastAsia" w:ascii="宋体" w:hAnsi="宋体" w:eastAsia="宋体" w:cs="Times New Roman"/>
                <w:szCs w:val="21"/>
                <w:lang w:val="en-US" w:eastAsia="zh-CN"/>
              </w:rPr>
              <w:t>/</w:t>
            </w:r>
            <w:r>
              <w:rPr>
                <w:rFonts w:hint="eastAsia" w:ascii="宋体" w:hAnsi="宋体" w:eastAsia="宋体" w:cs="Times New Roman"/>
                <w:szCs w:val="21"/>
              </w:rPr>
              <w:t>4.3</w:t>
            </w:r>
            <w:r>
              <w:rPr>
                <w:rFonts w:hint="eastAsia" w:ascii="宋体" w:hAnsi="宋体" w:eastAsia="宋体" w:cs="Times New Roman"/>
                <w:szCs w:val="21"/>
                <w:lang w:val="en-US" w:eastAsia="zh-CN"/>
              </w:rPr>
              <w:t>/</w:t>
            </w:r>
            <w:r>
              <w:rPr>
                <w:rFonts w:hint="eastAsia" w:ascii="宋体" w:hAnsi="宋体" w:eastAsia="宋体" w:cs="Times New Roman"/>
                <w:szCs w:val="21"/>
              </w:rPr>
              <w:t>4.4</w:t>
            </w:r>
            <w:r>
              <w:rPr>
                <w:rFonts w:hint="eastAsia" w:ascii="宋体" w:hAnsi="宋体" w:eastAsia="宋体" w:cs="Times New Roman"/>
                <w:szCs w:val="21"/>
                <w:lang w:val="en-US" w:eastAsia="zh-CN"/>
              </w:rPr>
              <w:t>/5</w:t>
            </w:r>
            <w:r>
              <w:rPr>
                <w:rFonts w:hint="eastAsia" w:ascii="宋体" w:hAnsi="宋体" w:eastAsia="宋体" w:cs="Times New Roman"/>
                <w:szCs w:val="21"/>
              </w:rPr>
              <w:t>.</w:t>
            </w:r>
            <w:r>
              <w:rPr>
                <w:rFonts w:hint="eastAsia" w:ascii="宋体" w:hAnsi="宋体" w:eastAsia="宋体" w:cs="Times New Roman"/>
                <w:szCs w:val="21"/>
                <w:lang w:val="en-US" w:eastAsia="zh-CN"/>
              </w:rPr>
              <w:t>1/5</w:t>
            </w:r>
            <w:r>
              <w:rPr>
                <w:rFonts w:hint="eastAsia" w:ascii="宋体" w:hAnsi="宋体" w:eastAsia="宋体" w:cs="Times New Roman"/>
                <w:szCs w:val="21"/>
              </w:rPr>
              <w:t>.</w:t>
            </w:r>
            <w:r>
              <w:rPr>
                <w:rFonts w:hint="eastAsia" w:ascii="宋体" w:hAnsi="宋体" w:eastAsia="宋体" w:cs="Times New Roman"/>
                <w:szCs w:val="21"/>
                <w:lang w:val="en-US" w:eastAsia="zh-CN"/>
              </w:rPr>
              <w:t>2/5.3/5.4/6.1/6.2/7.1/9.3/10</w:t>
            </w:r>
            <w:r>
              <w:rPr>
                <w:rFonts w:hint="eastAsia" w:ascii="宋体" w:hAnsi="宋体" w:eastAsia="宋体" w:cs="Times New Roman"/>
                <w:szCs w:val="21"/>
              </w:rPr>
              <w:t>.</w:t>
            </w:r>
            <w:r>
              <w:rPr>
                <w:rFonts w:hint="eastAsia" w:ascii="宋体" w:hAnsi="宋体" w:eastAsia="宋体" w:cs="Times New Roman"/>
                <w:szCs w:val="21"/>
                <w:lang w:val="en-US" w:eastAsia="zh-CN"/>
              </w:rPr>
              <w:t>1/10.3   Q 6.3</w:t>
            </w:r>
          </w:p>
        </w:tc>
        <w:tc>
          <w:tcPr>
            <w:tcW w:w="748" w:type="dxa"/>
            <w:vMerge w:val="continue"/>
          </w:tcPr>
          <w:p>
            <w:pPr>
              <w:adjustRightInd w:val="0"/>
              <w:snapToGrid w:val="0"/>
              <w:spacing w:line="276" w:lineRule="auto"/>
              <w:rPr>
                <w:rFonts w:hint="eastAsia"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理解组织及其环境</w:t>
            </w:r>
          </w:p>
        </w:tc>
        <w:tc>
          <w:tcPr>
            <w:tcW w:w="751"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QEO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4.1</w:t>
            </w:r>
          </w:p>
        </w:tc>
        <w:tc>
          <w:tcPr>
            <w:tcW w:w="12120"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●企业基本情况：</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eastAsia="zh-CN"/>
              </w:rPr>
              <w:t>现场查看了企业的</w:t>
            </w:r>
            <w:r>
              <w:rPr>
                <w:rFonts w:hint="eastAsia" w:ascii="宋体" w:hAnsi="宋体" w:eastAsia="宋体" w:cs="Times New Roman"/>
                <w:szCs w:val="21"/>
              </w:rPr>
              <w:t>营业执照</w:t>
            </w:r>
            <w:r>
              <w:rPr>
                <w:rFonts w:hint="eastAsia" w:ascii="宋体" w:hAnsi="宋体" w:eastAsia="宋体" w:cs="Times New Roman"/>
                <w:szCs w:val="21"/>
                <w:lang w:eastAsia="zh-CN"/>
              </w:rPr>
              <w:t>，编号：</w:t>
            </w:r>
            <w:r>
              <w:rPr>
                <w:rFonts w:hint="eastAsia" w:ascii="宋体" w:hAnsi="宋体" w:eastAsia="宋体" w:cs="Times New Roman"/>
                <w:szCs w:val="21"/>
              </w:rPr>
              <w:t>91130100MA07Q10F0H</w:t>
            </w:r>
            <w:r>
              <w:rPr>
                <w:rFonts w:hint="eastAsia" w:ascii="宋体" w:hAnsi="宋体" w:eastAsia="宋体" w:cs="Times New Roman"/>
                <w:szCs w:val="21"/>
                <w:lang w:val="en-US" w:eastAsia="zh-CN"/>
              </w:rPr>
              <w:t>；有效期：</w:t>
            </w:r>
            <w:r>
              <w:rPr>
                <w:rFonts w:hint="eastAsia" w:ascii="宋体" w:hAnsi="宋体" w:eastAsia="宋体" w:cs="Times New Roman"/>
                <w:szCs w:val="21"/>
              </w:rPr>
              <w:t>2016-04-20 至 2036-04-19</w:t>
            </w:r>
            <w:r>
              <w:rPr>
                <w:rFonts w:hint="eastAsia" w:ascii="宋体" w:hAnsi="宋体" w:eastAsia="宋体" w:cs="Times New Roman"/>
                <w:szCs w:val="21"/>
                <w:lang w:val="en-US" w:eastAsia="zh-CN"/>
              </w:rPr>
              <w:t>；经营地址：</w:t>
            </w:r>
            <w:bookmarkStart w:id="0" w:name="注册地址"/>
            <w:r>
              <w:rPr>
                <w:rFonts w:hint="eastAsia" w:ascii="宋体" w:hAnsi="宋体" w:eastAsia="宋体" w:cs="Times New Roman"/>
                <w:szCs w:val="21"/>
              </w:rPr>
              <w:t>河北省石家庄市桥西区新华路388号华业大厦B座1009室</w:t>
            </w:r>
            <w:bookmarkEnd w:id="0"/>
            <w:r>
              <w:rPr>
                <w:rFonts w:hint="eastAsia" w:ascii="宋体" w:hAnsi="宋体" w:eastAsia="宋体" w:cs="Times New Roman"/>
                <w:szCs w:val="21"/>
                <w:lang w:eastAsia="zh-CN"/>
              </w:rPr>
              <w:t>，主营业务：</w:t>
            </w:r>
            <w:r>
              <w:rPr>
                <w:rFonts w:hint="eastAsia" w:ascii="宋体" w:hAnsi="宋体" w:eastAsia="宋体" w:cs="Times New Roman"/>
                <w:szCs w:val="21"/>
              </w:rPr>
              <w:t>信息系统集成服务；档案数字化加工服务。</w:t>
            </w:r>
            <w:r>
              <w:rPr>
                <w:rFonts w:hint="eastAsia" w:ascii="宋体" w:hAnsi="宋体" w:eastAsia="宋体" w:cs="Times New Roman"/>
                <w:szCs w:val="21"/>
                <w:lang w:eastAsia="zh-CN"/>
              </w:rPr>
              <w:t>有稳定的客户群体，主要为政府机关单位。</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eastAsia="zh-CN"/>
              </w:rPr>
              <w:t>●</w:t>
            </w:r>
            <w:r>
              <w:rPr>
                <w:rFonts w:hint="eastAsia" w:ascii="宋体" w:hAnsi="宋体" w:eastAsia="宋体" w:cs="Times New Roman"/>
                <w:szCs w:val="21"/>
              </w:rPr>
              <w:t>内部因素和外部因素：</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编制并执行《组织环境分析控制程序》，办公室为归口部门，</w:t>
            </w:r>
            <w:r>
              <w:rPr>
                <w:rFonts w:hint="eastAsia" w:ascii="宋体" w:hAnsi="宋体" w:eastAsia="宋体" w:cs="Times New Roman"/>
                <w:szCs w:val="21"/>
              </w:rPr>
              <w:t>负责内部环境中组织总体表现、组织知识、组织文化、人力因素、组织治理相关因素的分析、评价。</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查见《组织环境识别表》，评审内容包含内外部因素，具体现状描述，信息来源，优劣势分析。</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识别的外部环境主要有：政治环境、法律、经济环境、社会文化环境、技术环境、自然环境、竞争力等方面；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识别的内部环境主要有：企业文化、公司价值观、知识积累、绩效、财务因素、资源因素、人力因素等方面；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——抽外部环境，技术环境，技术水平：主要业务涵盖信息系统集成服务；档案数字化加工服务，已在该领域拥有多年的经营销售经验；技术成熟。SWOT分析为公司优势；</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——抽内部因素运营因素，公司由总经理负责制，实行扁平化管理，办事效率高，管理成本低，决策时间短。SWOT分析为公司优势；</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编制了《内外部环境分析报告》，</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优势如：企业运作能力强，企业无负债，银行信誉好，具有较强的融资能力；员工素质较高，企业机制比较灵活等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劣势如：自主开发和创新能力弱，在技术上无法占领制高点；缺乏强有效的营销经验等</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根据企业优劣势制定了发展策略。总经理</w:t>
            </w:r>
            <w:r>
              <w:rPr>
                <w:rFonts w:hint="eastAsia" w:ascii="宋体" w:hAnsi="宋体" w:eastAsia="宋体" w:cs="Times New Roman"/>
                <w:szCs w:val="21"/>
                <w:lang w:eastAsia="zh-CN"/>
              </w:rPr>
              <w:t>介绍，</w:t>
            </w:r>
            <w:r>
              <w:rPr>
                <w:rFonts w:hint="eastAsia" w:ascii="宋体" w:hAnsi="宋体" w:eastAsia="宋体" w:cs="Times New Roman"/>
                <w:szCs w:val="21"/>
                <w:lang w:val="en-US" w:eastAsia="zh-CN"/>
              </w:rPr>
              <w:t>政府推动数字化给企业带来了一定的契机。</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eastAsia="zh-CN"/>
              </w:rPr>
              <w:t>公司每年定期</w:t>
            </w:r>
            <w:r>
              <w:rPr>
                <w:rFonts w:hint="eastAsia" w:ascii="宋体" w:hAnsi="宋体" w:eastAsia="宋体" w:cs="Times New Roman"/>
                <w:szCs w:val="21"/>
              </w:rPr>
              <w:t>对这些内外部因素</w:t>
            </w:r>
            <w:r>
              <w:rPr>
                <w:rFonts w:hint="eastAsia" w:ascii="宋体" w:hAnsi="宋体" w:eastAsia="宋体" w:cs="Times New Roman"/>
                <w:szCs w:val="21"/>
                <w:lang w:eastAsia="zh-CN"/>
              </w:rPr>
              <w:t>进行监视和评审，方式主要有：</w:t>
            </w:r>
            <w:r>
              <w:rPr>
                <w:rFonts w:hint="eastAsia" w:ascii="宋体" w:hAnsi="宋体" w:eastAsia="宋体" w:cs="Times New Roman"/>
                <w:szCs w:val="21"/>
              </w:rPr>
              <w:t>网站获取、顾客沟通（总结、会议、培训等形式）及内部沟通总结等方式。</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理解相关方的需求和期望</w:t>
            </w:r>
          </w:p>
        </w:tc>
        <w:tc>
          <w:tcPr>
            <w:tcW w:w="75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 xml:space="preserve">QEO </w:t>
            </w:r>
            <w:r>
              <w:rPr>
                <w:rFonts w:hint="eastAsia" w:ascii="宋体" w:hAnsi="宋体" w:eastAsia="宋体" w:cs="Times New Roman"/>
                <w:szCs w:val="21"/>
              </w:rPr>
              <w:t xml:space="preserve">4.2 </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查见编制了《管理手册》、《</w:t>
            </w:r>
            <w:r>
              <w:rPr>
                <w:rFonts w:hint="eastAsia" w:ascii="宋体" w:hAnsi="宋体" w:eastAsia="宋体" w:cs="Times New Roman"/>
                <w:szCs w:val="21"/>
                <w:lang w:eastAsia="zh-CN"/>
              </w:rPr>
              <w:t>相关方管理控制程序</w:t>
            </w:r>
            <w:r>
              <w:rPr>
                <w:rFonts w:hint="eastAsia" w:ascii="宋体" w:hAnsi="宋体" w:eastAsia="宋体" w:cs="Times New Roman"/>
                <w:szCs w:val="21"/>
                <w:lang w:val="en-US" w:eastAsia="zh-CN"/>
              </w:rPr>
              <w:t>》，由</w:t>
            </w:r>
            <w:r>
              <w:rPr>
                <w:rFonts w:hint="eastAsia" w:ascii="宋体" w:hAnsi="宋体" w:eastAsia="宋体" w:cs="Times New Roman"/>
                <w:szCs w:val="21"/>
                <w:lang w:eastAsia="zh-CN"/>
              </w:rPr>
              <w:t>办公室每年确定与质量、环境和职业健康安全管理体系有关的相关方，编制了《相关方的需求和期望》，评审了相关方的需求及监视指标，识别了相关方：供应商、员工、公司客户、审核机构、政府机构、临近单位、公司、住户、供电局等；</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——抽供应商期望</w:t>
            </w:r>
            <w:r>
              <w:rPr>
                <w:rFonts w:hint="eastAsia" w:ascii="宋体" w:hAnsi="宋体" w:eastAsia="宋体" w:cs="Times New Roman"/>
                <w:szCs w:val="21"/>
              </w:rPr>
              <w:t>：</w:t>
            </w:r>
            <w:r>
              <w:rPr>
                <w:rFonts w:hint="eastAsia" w:ascii="宋体" w:hAnsi="宋体" w:eastAsia="宋体" w:cs="Times New Roman"/>
                <w:szCs w:val="21"/>
                <w:lang w:eastAsia="zh-CN"/>
              </w:rPr>
              <w:t>长期合作，双赢；进料合格率高；及时付款；制定了应对措施和检测指标：采购合格率，年度绩效考核；结果评价：以满足</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——抽</w:t>
            </w:r>
            <w:r>
              <w:rPr>
                <w:rFonts w:hint="eastAsia" w:ascii="宋体" w:hAnsi="宋体" w:eastAsia="宋体" w:cs="Times New Roman"/>
                <w:szCs w:val="21"/>
              </w:rPr>
              <w:t>政府</w:t>
            </w:r>
            <w:r>
              <w:rPr>
                <w:rFonts w:hint="eastAsia" w:ascii="宋体" w:hAnsi="宋体" w:eastAsia="宋体" w:cs="Times New Roman"/>
                <w:szCs w:val="21"/>
                <w:lang w:eastAsia="zh-CN"/>
              </w:rPr>
              <w:t>监管机构</w:t>
            </w:r>
            <w:r>
              <w:rPr>
                <w:rFonts w:hint="eastAsia" w:ascii="宋体" w:hAnsi="宋体" w:eastAsia="宋体" w:cs="Times New Roman"/>
                <w:szCs w:val="21"/>
              </w:rPr>
              <w:t>：安全经营，无安全事故</w:t>
            </w:r>
            <w:r>
              <w:rPr>
                <w:rFonts w:hint="eastAsia" w:ascii="宋体" w:hAnsi="宋体" w:eastAsia="宋体" w:cs="Times New Roman"/>
                <w:szCs w:val="21"/>
                <w:lang w:eastAsia="zh-CN"/>
              </w:rPr>
              <w:t>；符合地方法规；监视指标：合规性评价；</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另</w:t>
            </w:r>
            <w:r>
              <w:rPr>
                <w:rFonts w:hint="eastAsia" w:ascii="宋体" w:hAnsi="宋体" w:eastAsia="宋体" w:cs="Times New Roman"/>
                <w:szCs w:val="21"/>
                <w:lang w:eastAsia="zh-CN"/>
              </w:rPr>
              <w:t>查</w:t>
            </w:r>
            <w:r>
              <w:rPr>
                <w:rFonts w:hint="eastAsia" w:ascii="宋体" w:hAnsi="宋体" w:eastAsia="宋体" w:cs="Times New Roman"/>
                <w:szCs w:val="21"/>
              </w:rPr>
              <w:t>其他相关方</w:t>
            </w:r>
            <w:r>
              <w:rPr>
                <w:rFonts w:hint="eastAsia" w:ascii="宋体" w:hAnsi="宋体" w:eastAsia="宋体" w:cs="Times New Roman"/>
                <w:szCs w:val="21"/>
                <w:lang w:eastAsia="zh-CN"/>
              </w:rPr>
              <w:t>评审了其</w:t>
            </w:r>
            <w:r>
              <w:rPr>
                <w:rFonts w:hint="eastAsia" w:ascii="宋体" w:hAnsi="宋体" w:eastAsia="宋体" w:cs="Times New Roman"/>
                <w:szCs w:val="21"/>
              </w:rPr>
              <w:t>需求，</w:t>
            </w:r>
            <w:r>
              <w:rPr>
                <w:rFonts w:hint="eastAsia" w:ascii="宋体" w:hAnsi="宋体" w:eastAsia="宋体" w:cs="Times New Roman"/>
                <w:szCs w:val="21"/>
                <w:lang w:eastAsia="zh-CN"/>
              </w:rPr>
              <w:t>建立了检测指标，</w:t>
            </w:r>
            <w:r>
              <w:rPr>
                <w:rFonts w:hint="eastAsia" w:ascii="宋体" w:hAnsi="宋体" w:eastAsia="宋体" w:cs="Times New Roman"/>
                <w:szCs w:val="21"/>
              </w:rPr>
              <w:t>符合要求。</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rPr>
              <w:t>目前企业未发生处罚、相关方投诉事件</w:t>
            </w:r>
            <w:r>
              <w:rPr>
                <w:rFonts w:hint="eastAsia" w:ascii="宋体" w:hAnsi="宋体" w:eastAsia="宋体" w:cs="Times New Roman"/>
                <w:szCs w:val="21"/>
                <w:lang w:eastAsia="zh-CN"/>
              </w:rPr>
              <w:t>。</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确定管理体系的范围</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4.3</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查见公司《管理手册》YD-QEOM-2021，版本A/0,发布实施时间：2021年 6月 1 日。明确了管理体系的范围及边界。</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公司认证的范围</w:t>
            </w:r>
            <w:bookmarkStart w:id="1" w:name="审核范围"/>
            <w:r>
              <w:rPr>
                <w:rFonts w:hint="eastAsia" w:ascii="宋体" w:hAnsi="宋体" w:eastAsia="宋体" w:cs="Times New Roman"/>
                <w:szCs w:val="21"/>
                <w:lang w:val="en-US" w:eastAsia="zh-CN"/>
              </w:rPr>
              <w:t>：</w:t>
            </w:r>
          </w:p>
          <w:bookmarkEnd w:id="1"/>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Q：信息系统集成服务；档案数字化加工服务。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E：信息系统集成服务；档案数字化加工服务所涉及场所的相关环境管理活动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O：信息系统集成服务；档案数字化加工服务所涉及场所的相关职业健康安全管理活动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注册地址：</w:t>
            </w:r>
            <w:bookmarkStart w:id="2" w:name="生产地址"/>
            <w:r>
              <w:rPr>
                <w:rFonts w:hint="eastAsia" w:ascii="宋体" w:hAnsi="宋体" w:eastAsia="宋体" w:cs="Times New Roman"/>
                <w:szCs w:val="21"/>
                <w:lang w:val="en-US" w:eastAsia="zh-CN"/>
              </w:rPr>
              <w:t>河北省石家庄市桥西区新华路388号华业大厦B座1009室</w:t>
            </w:r>
            <w:bookmarkEnd w:id="2"/>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经营地址：河北省石家庄市桥西区新华路388号华业大厦B座1009室</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及系统集成在建项目临时场所；</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在确定管理体系的范围时考虑了公司的内外部因素和相关方的需求和期望，考虑了公司的产品和服务，考率了与公司的宗旨和战略方向一致。符合标准要求。</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管理体系及其过程</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 xml:space="preserve">4.4 </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zh-CN"/>
              </w:rPr>
              <w:t xml:space="preserve">本公司按照 </w:t>
            </w:r>
            <w:r>
              <w:rPr>
                <w:rFonts w:hint="eastAsia" w:ascii="宋体" w:hAnsi="宋体" w:eastAsia="宋体" w:cs="Times New Roman"/>
                <w:szCs w:val="21"/>
              </w:rPr>
              <w:t>GB/T19001-2016</w:t>
            </w:r>
            <w:r>
              <w:rPr>
                <w:rFonts w:hint="eastAsia" w:ascii="宋体" w:hAnsi="宋体" w:eastAsia="宋体" w:cs="Times New Roman"/>
                <w:szCs w:val="21"/>
                <w:lang w:val="zh-CN"/>
              </w:rPr>
              <w:t xml:space="preserve">、 </w:t>
            </w:r>
            <w:r>
              <w:rPr>
                <w:rFonts w:hint="eastAsia" w:ascii="宋体" w:hAnsi="宋体" w:eastAsia="宋体" w:cs="Times New Roman"/>
                <w:szCs w:val="21"/>
              </w:rPr>
              <w:t>GB/T2</w:t>
            </w:r>
            <w:r>
              <w:rPr>
                <w:rFonts w:hint="eastAsia" w:ascii="宋体" w:hAnsi="宋体" w:eastAsia="宋体" w:cs="Times New Roman"/>
                <w:szCs w:val="21"/>
                <w:lang w:val="zh-CN"/>
              </w:rPr>
              <w:t>4001</w:t>
            </w:r>
            <w:r>
              <w:rPr>
                <w:rFonts w:hint="eastAsia" w:ascii="宋体" w:hAnsi="宋体" w:eastAsia="宋体" w:cs="Times New Roman"/>
                <w:szCs w:val="21"/>
              </w:rPr>
              <w:t>-2016</w:t>
            </w:r>
            <w:r>
              <w:rPr>
                <w:rFonts w:hint="eastAsia" w:ascii="宋体" w:hAnsi="宋体" w:eastAsia="宋体" w:cs="Times New Roman"/>
                <w:szCs w:val="21"/>
                <w:lang w:val="zh-CN"/>
              </w:rPr>
              <w:t>和GB/T45001-2020</w:t>
            </w:r>
            <w:r>
              <w:rPr>
                <w:rFonts w:hint="eastAsia" w:ascii="宋体" w:hAnsi="宋体" w:eastAsia="宋体" w:cs="Times New Roman"/>
                <w:szCs w:val="21"/>
              </w:rPr>
              <w:t>等</w:t>
            </w:r>
            <w:r>
              <w:rPr>
                <w:rFonts w:hint="eastAsia" w:ascii="宋体" w:hAnsi="宋体" w:eastAsia="宋体" w:cs="Times New Roman"/>
                <w:szCs w:val="21"/>
                <w:lang w:val="zh-CN"/>
              </w:rPr>
              <w:t>标准的要求，</w:t>
            </w:r>
            <w:r>
              <w:rPr>
                <w:rFonts w:hint="eastAsia" w:ascii="宋体" w:hAnsi="宋体" w:eastAsia="宋体" w:cs="Times New Roman"/>
                <w:szCs w:val="21"/>
              </w:rPr>
              <w:t>识别了经营各环节的过程及其相互作用，建立了</w:t>
            </w:r>
            <w:r>
              <w:rPr>
                <w:rFonts w:hint="eastAsia" w:ascii="宋体" w:hAnsi="宋体" w:eastAsia="宋体" w:cs="Times New Roman"/>
                <w:szCs w:val="21"/>
                <w:lang w:val="zh-CN"/>
              </w:rPr>
              <w:t>质量/环境/职业健康安全管理体系,</w:t>
            </w:r>
            <w:r>
              <w:rPr>
                <w:rFonts w:hint="eastAsia" w:ascii="宋体" w:hAnsi="宋体" w:eastAsia="宋体" w:cs="Times New Roman"/>
                <w:szCs w:val="21"/>
              </w:rPr>
              <w:t>并形成文件，本公司全体员工将有效地贯彻执行并持续改进其有效性。</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管理体系及其过程：公司于202</w:t>
            </w:r>
            <w:r>
              <w:rPr>
                <w:rFonts w:hint="eastAsia" w:ascii="宋体" w:hAnsi="宋体" w:eastAsia="宋体" w:cs="Times New Roman"/>
                <w:szCs w:val="21"/>
                <w:lang w:val="en-US" w:eastAsia="zh-CN"/>
              </w:rPr>
              <w:t>1</w:t>
            </w:r>
            <w:r>
              <w:rPr>
                <w:rFonts w:hint="eastAsia" w:ascii="宋体" w:hAnsi="宋体" w:eastAsia="宋体" w:cs="Times New Roman"/>
                <w:szCs w:val="21"/>
              </w:rPr>
              <w:t>年</w:t>
            </w:r>
            <w:r>
              <w:rPr>
                <w:rFonts w:hint="eastAsia" w:ascii="宋体" w:hAnsi="宋体" w:eastAsia="宋体" w:cs="Times New Roman"/>
                <w:szCs w:val="21"/>
                <w:lang w:val="en-US" w:eastAsia="zh-CN"/>
              </w:rPr>
              <w:t>6月</w:t>
            </w:r>
            <w:r>
              <w:rPr>
                <w:rFonts w:hint="eastAsia" w:ascii="宋体" w:hAnsi="宋体" w:eastAsia="宋体" w:cs="Times New Roman"/>
                <w:szCs w:val="21"/>
              </w:rPr>
              <w:t>对质量/环境/职业健康安全管理体系进行策划，识别了各个过程、环境因素、危险源等，编制了管理手册、程序文件、</w:t>
            </w:r>
            <w:r>
              <w:rPr>
                <w:rFonts w:hint="eastAsia" w:ascii="宋体" w:hAnsi="宋体" w:eastAsia="宋体" w:cs="Times New Roman"/>
                <w:szCs w:val="21"/>
                <w:lang w:eastAsia="zh-CN"/>
              </w:rPr>
              <w:t>三级作业</w:t>
            </w:r>
            <w:r>
              <w:rPr>
                <w:rFonts w:hint="eastAsia" w:ascii="宋体" w:hAnsi="宋体" w:eastAsia="宋体" w:cs="Times New Roman"/>
                <w:szCs w:val="21"/>
              </w:rPr>
              <w:t>文件及记录，于202</w:t>
            </w:r>
            <w:r>
              <w:rPr>
                <w:rFonts w:hint="eastAsia" w:ascii="宋体" w:hAnsi="宋体" w:eastAsia="宋体" w:cs="Times New Roman"/>
                <w:szCs w:val="21"/>
                <w:lang w:val="en-US" w:eastAsia="zh-CN"/>
              </w:rPr>
              <w:t>1</w:t>
            </w:r>
            <w:r>
              <w:rPr>
                <w:rFonts w:hint="eastAsia" w:ascii="宋体" w:hAnsi="宋体" w:eastAsia="宋体" w:cs="Times New Roman"/>
                <w:szCs w:val="21"/>
              </w:rPr>
              <w:t>年</w:t>
            </w:r>
            <w:r>
              <w:rPr>
                <w:rFonts w:hint="eastAsia" w:ascii="宋体" w:hAnsi="宋体" w:eastAsia="宋体" w:cs="Times New Roman"/>
                <w:szCs w:val="21"/>
                <w:lang w:val="en-US" w:eastAsia="zh-CN"/>
              </w:rPr>
              <w:t>6</w:t>
            </w:r>
            <w:r>
              <w:rPr>
                <w:rFonts w:hint="eastAsia" w:ascii="宋体" w:hAnsi="宋体" w:eastAsia="宋体" w:cs="Times New Roman"/>
                <w:szCs w:val="21"/>
              </w:rPr>
              <w:t>月</w:t>
            </w:r>
            <w:r>
              <w:rPr>
                <w:rFonts w:hint="eastAsia" w:ascii="宋体" w:hAnsi="宋体" w:eastAsia="宋体" w:cs="Times New Roman"/>
                <w:szCs w:val="21"/>
                <w:lang w:val="en-US" w:eastAsia="zh-CN"/>
              </w:rPr>
              <w:t>1</w:t>
            </w:r>
            <w:r>
              <w:rPr>
                <w:rFonts w:hint="eastAsia" w:ascii="宋体" w:hAnsi="宋体" w:eastAsia="宋体" w:cs="Times New Roman"/>
                <w:szCs w:val="21"/>
              </w:rPr>
              <w:t>日</w:t>
            </w:r>
            <w:r>
              <w:rPr>
                <w:rFonts w:hint="eastAsia" w:ascii="宋体" w:hAnsi="宋体" w:eastAsia="宋体" w:cs="Times New Roman"/>
                <w:szCs w:val="21"/>
                <w:lang w:val="zh-CN"/>
              </w:rPr>
              <w:t>发布</w:t>
            </w:r>
            <w:r>
              <w:rPr>
                <w:rFonts w:hint="eastAsia" w:ascii="宋体" w:hAnsi="宋体" w:eastAsia="宋体" w:cs="Times New Roman"/>
                <w:szCs w:val="21"/>
              </w:rPr>
              <w:t>并</w:t>
            </w:r>
            <w:r>
              <w:rPr>
                <w:rFonts w:hint="eastAsia" w:ascii="宋体" w:hAnsi="宋体" w:eastAsia="宋体" w:cs="Times New Roman"/>
                <w:szCs w:val="21"/>
                <w:lang w:val="zh-CN"/>
              </w:rPr>
              <w:t>实施。</w:t>
            </w:r>
            <w:r>
              <w:rPr>
                <w:rFonts w:hint="eastAsia" w:ascii="宋体" w:hAnsi="宋体" w:eastAsia="宋体" w:cs="Times New Roman"/>
                <w:szCs w:val="21"/>
              </w:rPr>
              <w:t>经过</w:t>
            </w:r>
            <w:r>
              <w:rPr>
                <w:rFonts w:hint="eastAsia" w:ascii="宋体" w:hAnsi="宋体" w:eastAsia="宋体" w:cs="Times New Roman"/>
                <w:szCs w:val="21"/>
                <w:lang w:eastAsia="zh-CN"/>
              </w:rPr>
              <w:t>近一年</w:t>
            </w:r>
            <w:r>
              <w:rPr>
                <w:rFonts w:hint="eastAsia" w:ascii="宋体" w:hAnsi="宋体" w:eastAsia="宋体" w:cs="Times New Roman"/>
                <w:szCs w:val="21"/>
              </w:rPr>
              <w:t>的运行，管理体系运行正常。</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无</w:t>
            </w:r>
            <w:r>
              <w:rPr>
                <w:rFonts w:hint="eastAsia" w:ascii="宋体" w:hAnsi="宋体" w:eastAsia="宋体" w:cs="Times New Roman"/>
                <w:szCs w:val="21"/>
                <w:lang w:eastAsia="zh-CN"/>
              </w:rPr>
              <w:t>外包过程</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领导作用和承诺</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5.1</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rPr>
              <w:t>公司最高管理者通过以下活动证实其对质量环境职业健康安全管理体系的领导作用和承诺：</w:t>
            </w:r>
            <w:r>
              <w:rPr>
                <w:rFonts w:hint="eastAsia" w:ascii="宋体" w:hAnsi="宋体" w:eastAsia="宋体" w:cs="Times New Roman"/>
                <w:szCs w:val="21"/>
              </w:rPr>
              <w:br w:type="textWrapping"/>
            </w:r>
            <w:r>
              <w:rPr>
                <w:rFonts w:hint="eastAsia" w:ascii="宋体" w:hAnsi="宋体" w:eastAsia="宋体" w:cs="Times New Roman"/>
                <w:szCs w:val="21"/>
                <w:lang w:eastAsia="zh-CN"/>
              </w:rPr>
              <w:t>制定方针和目标，建立培训系统，建立合理的组织结构，建立有效的沟通渠道，创造良好的氛围，推动改进，对管理体系有效性承担责任等方面；</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与总经理洪文沟通，有较强的管意识，能说出自己对于体系的领导作用和承诺，回答基本正确。</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公司最高管理者组织相关部门制订发展规划、管理承诺、管理方针及管理目标，</w:t>
            </w:r>
            <w:r>
              <w:rPr>
                <w:rFonts w:hint="eastAsia" w:ascii="宋体" w:hAnsi="宋体" w:eastAsia="宋体" w:cs="Times New Roman"/>
                <w:szCs w:val="21"/>
                <w:lang w:eastAsia="zh-CN"/>
              </w:rPr>
              <w:t>始终致力于顾客满意，</w:t>
            </w:r>
            <w:r>
              <w:rPr>
                <w:rFonts w:hint="eastAsia" w:ascii="宋体" w:hAnsi="宋体" w:eastAsia="宋体" w:cs="Times New Roman"/>
                <w:szCs w:val="21"/>
              </w:rPr>
              <w:t>提高员工队伍整体素质。</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管理方针</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5.2</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eastAsia="zh-CN"/>
              </w:rPr>
              <w:t>查见《</w:t>
            </w:r>
            <w:r>
              <w:rPr>
                <w:rFonts w:hint="eastAsia" w:ascii="宋体" w:hAnsi="宋体" w:eastAsia="宋体" w:cs="Times New Roman"/>
                <w:szCs w:val="21"/>
              </w:rPr>
              <w:t>管</w:t>
            </w:r>
            <w:r>
              <w:rPr>
                <w:rFonts w:hint="eastAsia" w:ascii="宋体" w:hAnsi="宋体" w:eastAsia="宋体" w:cs="Times New Roman"/>
                <w:szCs w:val="21"/>
                <w:lang w:eastAsia="zh-CN"/>
              </w:rPr>
              <w:t>理手册》YD-QEOM-2021，</w:t>
            </w:r>
            <w:r>
              <w:rPr>
                <w:rFonts w:hint="eastAsia" w:ascii="宋体" w:hAnsi="宋体" w:eastAsia="宋体" w:cs="Times New Roman"/>
                <w:szCs w:val="21"/>
              </w:rPr>
              <w:t>制定了</w:t>
            </w:r>
            <w:r>
              <w:rPr>
                <w:rFonts w:hint="eastAsia" w:ascii="宋体" w:hAnsi="宋体" w:eastAsia="宋体" w:cs="Times New Roman"/>
                <w:szCs w:val="21"/>
                <w:lang w:eastAsia="zh-CN"/>
              </w:rPr>
              <w:t>企业的质量、环境、安全</w:t>
            </w:r>
            <w:r>
              <w:rPr>
                <w:rFonts w:hint="eastAsia" w:ascii="宋体" w:hAnsi="宋体" w:eastAsia="宋体" w:cs="Times New Roman"/>
                <w:szCs w:val="21"/>
              </w:rPr>
              <w:t>管理方针：</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诚信服务顾客满意</w:t>
            </w:r>
            <w:r>
              <w:rPr>
                <w:rFonts w:hint="eastAsia" w:ascii="宋体" w:hAnsi="宋体" w:eastAsia="宋体" w:cs="Times New Roman"/>
                <w:szCs w:val="21"/>
              </w:rPr>
              <w:t>，预防污染保护环境；</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关爱员工健康安全，持续改进追求卓越。</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公司的管理方针记录在</w:t>
            </w:r>
            <w:r>
              <w:rPr>
                <w:rFonts w:hint="eastAsia" w:ascii="宋体" w:hAnsi="宋体" w:eastAsia="宋体" w:cs="Times New Roman"/>
                <w:szCs w:val="21"/>
                <w:lang w:eastAsia="zh-CN"/>
              </w:rPr>
              <w:t>《</w:t>
            </w:r>
            <w:r>
              <w:rPr>
                <w:rFonts w:hint="eastAsia" w:ascii="宋体" w:hAnsi="宋体" w:eastAsia="宋体" w:cs="Times New Roman"/>
                <w:szCs w:val="21"/>
              </w:rPr>
              <w:t>管理手册</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YD-QEOM-2021</w:t>
            </w:r>
            <w:r>
              <w:rPr>
                <w:rFonts w:hint="eastAsia" w:ascii="宋体" w:hAnsi="宋体" w:eastAsia="宋体" w:cs="Times New Roman"/>
                <w:szCs w:val="21"/>
              </w:rPr>
              <w:t>中，并在组织内部得到广泛的宣传、沟通。</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方针是管理层共同研究决定的，结合了公司</w:t>
            </w:r>
            <w:r>
              <w:rPr>
                <w:rFonts w:hint="eastAsia" w:ascii="宋体" w:hAnsi="宋体" w:eastAsia="宋体" w:cs="Times New Roman"/>
                <w:szCs w:val="21"/>
                <w:lang w:eastAsia="zh-CN"/>
              </w:rPr>
              <w:t>服务</w:t>
            </w:r>
            <w:r>
              <w:rPr>
                <w:rFonts w:hint="eastAsia" w:ascii="宋体" w:hAnsi="宋体" w:eastAsia="宋体" w:cs="Times New Roman"/>
                <w:szCs w:val="21"/>
              </w:rPr>
              <w:t>特点和目前的实际状况。方针初步制定后，由公司员工进行讨论，在公司</w:t>
            </w:r>
            <w:r>
              <w:rPr>
                <w:rFonts w:hint="eastAsia" w:ascii="宋体" w:hAnsi="宋体" w:eastAsia="宋体" w:cs="Times New Roman"/>
                <w:szCs w:val="21"/>
                <w:lang w:eastAsia="zh-CN"/>
              </w:rPr>
              <w:t>管理</w:t>
            </w:r>
            <w:r>
              <w:rPr>
                <w:rFonts w:hint="eastAsia" w:ascii="宋体" w:hAnsi="宋体" w:eastAsia="宋体" w:cs="Times New Roman"/>
                <w:szCs w:val="21"/>
              </w:rPr>
              <w:t>体系文件的发布会上，对管理方针和目标进行了讲解，使全体员工能够理解。同时，</w:t>
            </w:r>
            <w:r>
              <w:rPr>
                <w:rFonts w:hint="eastAsia" w:ascii="宋体" w:hAnsi="宋体" w:eastAsia="宋体" w:cs="Times New Roman"/>
                <w:szCs w:val="21"/>
                <w:lang w:eastAsia="zh-CN"/>
              </w:rPr>
              <w:t>通过贯标培训</w:t>
            </w:r>
            <w:r>
              <w:rPr>
                <w:rFonts w:hint="eastAsia" w:ascii="宋体" w:hAnsi="宋体" w:eastAsia="宋体" w:cs="Times New Roman"/>
                <w:szCs w:val="21"/>
              </w:rPr>
              <w:t>、文件下发，内部理解，实施过程中，始终强调方针的意义的内涵。</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eastAsia="zh-CN"/>
              </w:rPr>
              <w:t>管理方针</w:t>
            </w:r>
            <w:r>
              <w:rPr>
                <w:rFonts w:hint="eastAsia" w:ascii="宋体" w:hAnsi="宋体" w:eastAsia="宋体" w:cs="Times New Roman"/>
                <w:szCs w:val="21"/>
              </w:rPr>
              <w:t>通过</w:t>
            </w:r>
            <w:r>
              <w:rPr>
                <w:rFonts w:hint="eastAsia" w:ascii="宋体" w:hAnsi="宋体" w:eastAsia="宋体" w:cs="Times New Roman"/>
                <w:szCs w:val="21"/>
                <w:lang w:eastAsia="zh-CN"/>
              </w:rPr>
              <w:t>签订安全协议</w:t>
            </w:r>
            <w:r>
              <w:rPr>
                <w:rFonts w:hint="eastAsia" w:ascii="宋体" w:hAnsi="宋体" w:eastAsia="宋体" w:cs="Times New Roman"/>
                <w:szCs w:val="21"/>
              </w:rPr>
              <w:t>、</w:t>
            </w:r>
            <w:r>
              <w:rPr>
                <w:rFonts w:hint="eastAsia" w:ascii="宋体" w:hAnsi="宋体" w:eastAsia="宋体" w:cs="Times New Roman"/>
                <w:szCs w:val="21"/>
                <w:lang w:eastAsia="zh-CN"/>
              </w:rPr>
              <w:t>相关方</w:t>
            </w:r>
            <w:r>
              <w:rPr>
                <w:rFonts w:hint="eastAsia" w:ascii="宋体" w:hAnsi="宋体" w:eastAsia="宋体" w:cs="Times New Roman"/>
                <w:szCs w:val="21"/>
              </w:rPr>
              <w:t>告知、合同等方式向相关方提供。</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经</w:t>
            </w:r>
            <w:r>
              <w:rPr>
                <w:rFonts w:hint="eastAsia" w:ascii="宋体" w:hAnsi="宋体" w:eastAsia="宋体" w:cs="Times New Roman"/>
                <w:szCs w:val="21"/>
                <w:lang w:val="en-US" w:eastAsia="zh-CN"/>
              </w:rPr>
              <w:t>2022年3月20日的内审和2022</w:t>
            </w:r>
            <w:r>
              <w:rPr>
                <w:rFonts w:hint="eastAsia" w:ascii="宋体" w:hAnsi="宋体" w:eastAsia="宋体" w:cs="Times New Roman"/>
                <w:szCs w:val="21"/>
              </w:rPr>
              <w:t>年</w:t>
            </w:r>
            <w:r>
              <w:rPr>
                <w:rFonts w:hint="eastAsia" w:ascii="宋体" w:hAnsi="宋体" w:eastAsia="宋体" w:cs="Times New Roman"/>
                <w:szCs w:val="21"/>
                <w:lang w:val="en-US" w:eastAsia="zh-CN"/>
              </w:rPr>
              <w:t>4</w:t>
            </w:r>
            <w:r>
              <w:rPr>
                <w:rFonts w:hint="eastAsia" w:ascii="宋体" w:hAnsi="宋体" w:eastAsia="宋体" w:cs="Times New Roman"/>
                <w:szCs w:val="21"/>
              </w:rPr>
              <w:t>月</w:t>
            </w:r>
            <w:r>
              <w:rPr>
                <w:rFonts w:hint="eastAsia" w:ascii="宋体" w:hAnsi="宋体" w:eastAsia="宋体" w:cs="Times New Roman"/>
                <w:szCs w:val="21"/>
                <w:lang w:val="en-US" w:eastAsia="zh-CN"/>
              </w:rPr>
              <w:t>15</w:t>
            </w:r>
            <w:r>
              <w:rPr>
                <w:rFonts w:hint="eastAsia" w:ascii="宋体" w:hAnsi="宋体" w:eastAsia="宋体" w:cs="Times New Roman"/>
                <w:szCs w:val="21"/>
              </w:rPr>
              <w:t>日</w:t>
            </w:r>
            <w:r>
              <w:rPr>
                <w:rFonts w:hint="eastAsia" w:ascii="宋体" w:hAnsi="宋体" w:eastAsia="宋体" w:cs="Times New Roman"/>
                <w:szCs w:val="21"/>
                <w:lang w:eastAsia="zh-CN"/>
              </w:rPr>
              <w:t>召开</w:t>
            </w:r>
            <w:r>
              <w:rPr>
                <w:rFonts w:hint="eastAsia" w:ascii="宋体" w:hAnsi="宋体" w:eastAsia="宋体" w:cs="Times New Roman"/>
                <w:szCs w:val="21"/>
              </w:rPr>
              <w:t>的管理评审</w:t>
            </w:r>
            <w:r>
              <w:rPr>
                <w:rFonts w:hint="eastAsia" w:ascii="宋体" w:hAnsi="宋体" w:eastAsia="宋体" w:cs="Times New Roman"/>
                <w:szCs w:val="21"/>
                <w:lang w:eastAsia="zh-CN"/>
              </w:rPr>
              <w:t>会议评价</w:t>
            </w:r>
            <w:r>
              <w:rPr>
                <w:rFonts w:hint="eastAsia" w:ascii="宋体" w:hAnsi="宋体" w:eastAsia="宋体" w:cs="Times New Roman"/>
                <w:szCs w:val="21"/>
              </w:rPr>
              <w:t>，管理方针适应其宗旨和环境并支持其长远战略方向；为制定管理目标提供框架；包括满足适用要求的承诺和持续改进质量管理体系的承诺。方针基本能够满足标准的要求。</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基本符合要求。</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组织的岗位、职责和权限</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5.3</w:t>
            </w:r>
          </w:p>
          <w:p>
            <w:pPr>
              <w:adjustRightInd w:val="0"/>
              <w:snapToGrid w:val="0"/>
              <w:spacing w:line="276" w:lineRule="auto"/>
              <w:rPr>
                <w:rFonts w:hint="eastAsia" w:ascii="宋体" w:hAnsi="宋体" w:eastAsia="宋体" w:cs="Times New Roman"/>
                <w:szCs w:val="21"/>
              </w:rPr>
            </w:pPr>
          </w:p>
        </w:tc>
        <w:tc>
          <w:tcPr>
            <w:tcW w:w="12120"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rPr>
              <w:t>为了有效的实施质量、环境、职业健康安全管理，本公司确定了公司结构：</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——公司总经理、体系负责人为公司的管理层。</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rPr>
              <w:t>——公司设置管理部门如下：</w:t>
            </w:r>
            <w:r>
              <w:rPr>
                <w:rFonts w:hint="eastAsia" w:ascii="宋体" w:hAnsi="宋体" w:eastAsia="宋体" w:cs="Times New Roman"/>
                <w:szCs w:val="21"/>
                <w:lang w:eastAsia="zh-CN"/>
              </w:rPr>
              <w:t>办公室</w:t>
            </w:r>
            <w:r>
              <w:rPr>
                <w:rFonts w:hint="eastAsia" w:ascii="宋体" w:hAnsi="宋体" w:eastAsia="宋体" w:cs="Times New Roman"/>
                <w:szCs w:val="21"/>
              </w:rPr>
              <w:t>、</w:t>
            </w:r>
            <w:r>
              <w:rPr>
                <w:rFonts w:hint="eastAsia" w:ascii="宋体" w:hAnsi="宋体" w:eastAsia="宋体" w:cs="Times New Roman"/>
                <w:szCs w:val="21"/>
                <w:lang w:eastAsia="zh-CN"/>
              </w:rPr>
              <w:t>业务部、生产中心、技术部。</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eastAsia="zh-CN"/>
              </w:rPr>
              <w:t>《管理手册》</w:t>
            </w:r>
            <w:r>
              <w:rPr>
                <w:rFonts w:hint="eastAsia" w:ascii="宋体" w:hAnsi="宋体" w:eastAsia="宋体" w:cs="Times New Roman"/>
                <w:szCs w:val="21"/>
              </w:rPr>
              <w:t>规定了各级各岗位人员职责、权限和相互关系，并在公司内对各级员工进行了必要的传达；</w:t>
            </w:r>
            <w:r>
              <w:rPr>
                <w:rFonts w:hint="eastAsia" w:ascii="宋体" w:hAnsi="宋体" w:eastAsia="宋体" w:cs="Times New Roman"/>
                <w:szCs w:val="21"/>
                <w:lang w:eastAsia="zh-CN"/>
              </w:rPr>
              <w:t>制定了《岗位任职要求》，</w:t>
            </w:r>
            <w:r>
              <w:rPr>
                <w:rFonts w:hint="eastAsia" w:ascii="宋体" w:hAnsi="宋体" w:eastAsia="宋体" w:cs="Times New Roman"/>
                <w:szCs w:val="21"/>
              </w:rPr>
              <w:t>规定了各岗位职责及权限，对本公司各主要岗位职责权限进行了确定</w:t>
            </w:r>
            <w:r>
              <w:rPr>
                <w:rFonts w:hint="eastAsia" w:ascii="宋体" w:hAnsi="宋体" w:eastAsia="宋体" w:cs="Times New Roman"/>
                <w:szCs w:val="21"/>
                <w:lang w:eastAsia="zh-CN"/>
              </w:rPr>
              <w:t>。</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eastAsia="zh-CN"/>
              </w:rPr>
              <w:t>具体</w:t>
            </w:r>
            <w:r>
              <w:rPr>
                <w:rFonts w:hint="eastAsia" w:ascii="宋体" w:hAnsi="宋体" w:eastAsia="宋体" w:cs="Times New Roman"/>
                <w:szCs w:val="21"/>
              </w:rPr>
              <w:t>岗位职责及权限见</w:t>
            </w:r>
            <w:r>
              <w:rPr>
                <w:rFonts w:hint="eastAsia" w:ascii="宋体" w:hAnsi="宋体" w:eastAsia="宋体" w:cs="Times New Roman"/>
                <w:szCs w:val="21"/>
                <w:lang w:eastAsia="zh-CN"/>
              </w:rPr>
              <w:t>各部门审核记录</w:t>
            </w:r>
            <w:r>
              <w:rPr>
                <w:rFonts w:hint="eastAsia" w:ascii="宋体" w:hAnsi="宋体" w:eastAsia="宋体" w:cs="Times New Roman"/>
                <w:szCs w:val="21"/>
              </w:rPr>
              <w:t>。</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top"/>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应对风险和机遇的措施</w:t>
            </w:r>
          </w:p>
          <w:p>
            <w:pPr>
              <w:adjustRightInd w:val="0"/>
              <w:snapToGrid w:val="0"/>
              <w:spacing w:line="276" w:lineRule="auto"/>
              <w:rPr>
                <w:rFonts w:hint="eastAsia" w:ascii="宋体" w:hAnsi="宋体" w:eastAsia="宋体" w:cs="Times New Roman"/>
                <w:szCs w:val="21"/>
              </w:rPr>
            </w:pPr>
          </w:p>
          <w:p>
            <w:pPr>
              <w:adjustRightInd w:val="0"/>
              <w:snapToGrid w:val="0"/>
              <w:spacing w:line="276" w:lineRule="auto"/>
              <w:rPr>
                <w:rFonts w:hint="eastAsia" w:ascii="宋体" w:hAnsi="宋体" w:eastAsia="宋体" w:cs="Times New Roman"/>
                <w:szCs w:val="21"/>
                <w:lang w:val="en-US" w:eastAsia="zh-CN"/>
              </w:rPr>
            </w:pPr>
          </w:p>
        </w:tc>
        <w:tc>
          <w:tcPr>
            <w:tcW w:w="751"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rPr>
              <w:t>Q</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6.1</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EO</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6.1.1</w:t>
            </w:r>
          </w:p>
        </w:tc>
        <w:tc>
          <w:tcPr>
            <w:tcW w:w="12120"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查企业编制了《风险和机遇应对控制程序》，编制了《风险管理计划》，落实了职责权限的分配，风险控制，风险控制措施验证的要求。</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查见《风险和机遇评估分析表》，针对公司现状，企业对各部门不同过程的风险及公共风险进行了识别并制定了对应的管理措施，规定了执行部门和实施时间，</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风险：不能按时交付/交付的产品不符合客户的要求，人员不足，能力不足，组织知识不足，电脑故障引起的数据、资料、信息丢失等。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制定了对应的措施：营销计划管制.销售过程的品质控制。成品的品质检验。对在职人员进行培训、辅导或重新分配工作，或者招聘具备能力的人员等。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识别出的风险落实了责任部门，查对风险控制措施有效性进行了评价。均有效。边翔2022-5-31。</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相关措施由责任部门负责人进行跟踪实施和验证，查验均按要求执行。风险和机遇已提交至管理评审。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基本符合要求。</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环境因素、危险源</w:t>
            </w:r>
          </w:p>
        </w:tc>
        <w:tc>
          <w:tcPr>
            <w:tcW w:w="751" w:type="dxa"/>
            <w:vAlign w:val="center"/>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EO</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6.1.2</w:t>
            </w:r>
          </w:p>
          <w:p>
            <w:pPr>
              <w:adjustRightInd w:val="0"/>
              <w:snapToGrid w:val="0"/>
              <w:spacing w:line="276" w:lineRule="auto"/>
              <w:rPr>
                <w:rFonts w:hint="eastAsia" w:ascii="宋体" w:hAnsi="宋体" w:eastAsia="宋体" w:cs="Times New Roman"/>
                <w:szCs w:val="21"/>
                <w:lang w:val="en-US" w:eastAsia="zh-CN"/>
              </w:rPr>
            </w:pP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制定并执行《</w:t>
            </w:r>
            <w:r>
              <w:rPr>
                <w:rFonts w:hint="eastAsia" w:ascii="宋体" w:hAnsi="宋体" w:eastAsia="宋体" w:cs="Times New Roman"/>
                <w:szCs w:val="21"/>
                <w:lang w:val="en-US" w:eastAsia="zh-CN"/>
              </w:rPr>
              <w:fldChar w:fldCharType="begin"/>
            </w:r>
            <w:r>
              <w:rPr>
                <w:rFonts w:hint="eastAsia" w:ascii="宋体" w:hAnsi="宋体" w:eastAsia="宋体" w:cs="Times New Roman"/>
                <w:szCs w:val="21"/>
                <w:lang w:val="en-US" w:eastAsia="zh-CN"/>
              </w:rPr>
              <w:instrText xml:space="preserve"> HYPERLINK \l "_Toc152476257" </w:instrText>
            </w:r>
            <w:r>
              <w:rPr>
                <w:rFonts w:hint="eastAsia" w:ascii="宋体" w:hAnsi="宋体" w:eastAsia="宋体" w:cs="Times New Roman"/>
                <w:szCs w:val="21"/>
                <w:lang w:val="en-US" w:eastAsia="zh-CN"/>
              </w:rPr>
              <w:fldChar w:fldCharType="separate"/>
            </w:r>
            <w:r>
              <w:rPr>
                <w:rFonts w:hint="eastAsia" w:ascii="宋体" w:hAnsi="宋体" w:eastAsia="宋体" w:cs="Times New Roman"/>
                <w:szCs w:val="21"/>
                <w:lang w:val="en-US" w:eastAsia="zh-CN"/>
              </w:rPr>
              <w:t>环境因素识别与评价控制程序</w:t>
            </w:r>
            <w:r>
              <w:rPr>
                <w:rFonts w:hint="eastAsia" w:ascii="宋体" w:hAnsi="宋体" w:eastAsia="宋体" w:cs="Times New Roman"/>
                <w:szCs w:val="21"/>
                <w:lang w:val="en-US" w:eastAsia="zh-CN"/>
              </w:rPr>
              <w:fldChar w:fldCharType="end"/>
            </w:r>
            <w:r>
              <w:rPr>
                <w:rFonts w:hint="eastAsia" w:ascii="宋体" w:hAnsi="宋体" w:eastAsia="宋体" w:cs="Times New Roman"/>
                <w:szCs w:val="21"/>
                <w:lang w:val="en-US" w:eastAsia="zh-CN"/>
              </w:rPr>
              <w:t>》及《危险源识别及风险评价控制程序》。由各部门进行环境因素和危险源的识别，办公室负责各部门环境因素、危险源的汇总，进行综合评价并行成清单。</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查见《环境因素识别评价表》及《危险源辨识评价表》，分别对办公区和服务现场所涉及的环境因素和危险源进行了辨识和登记，编制了《重要环境因素清单》及《不可接受风险清单》，评价出的重要环境因素为</w:t>
            </w:r>
            <w:r>
              <w:rPr>
                <w:rFonts w:hint="default" w:ascii="宋体" w:hAnsi="宋体" w:eastAsia="宋体" w:cs="Times New Roman"/>
                <w:szCs w:val="21"/>
                <w:lang w:val="en-US" w:eastAsia="zh-CN"/>
              </w:rPr>
              <w:t>固体废弃物排放、火灾</w:t>
            </w:r>
            <w:r>
              <w:rPr>
                <w:rFonts w:hint="eastAsia" w:ascii="宋体" w:hAnsi="宋体" w:eastAsia="宋体" w:cs="Times New Roman"/>
                <w:szCs w:val="21"/>
                <w:lang w:val="en-US" w:eastAsia="zh-CN"/>
              </w:rPr>
              <w:t>。不可接受风险为</w:t>
            </w:r>
            <w:r>
              <w:rPr>
                <w:rFonts w:hint="default" w:ascii="宋体" w:hAnsi="宋体" w:eastAsia="宋体" w:cs="Times New Roman"/>
                <w:szCs w:val="21"/>
                <w:lang w:val="en-US" w:eastAsia="zh-CN"/>
              </w:rPr>
              <w:t>火灾、触电</w:t>
            </w:r>
            <w:r>
              <w:rPr>
                <w:rFonts w:hint="eastAsia" w:ascii="宋体" w:hAnsi="宋体" w:eastAsia="宋体" w:cs="Times New Roman"/>
                <w:szCs w:val="21"/>
                <w:lang w:val="en-US" w:eastAsia="zh-CN"/>
              </w:rPr>
              <w:t>。</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评价基本准确，详见各部门相关条款审核记录。</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合规性义务、法律法规要求</w:t>
            </w:r>
          </w:p>
        </w:tc>
        <w:tc>
          <w:tcPr>
            <w:tcW w:w="751" w:type="dxa"/>
            <w:vAlign w:val="center"/>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EO</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6.1.3</w:t>
            </w: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为使公司管理体系运行合法有效、符合法律规定及相关方要求，编制了《法律法规和其他要求控制程序》，规定法律、法规及其他要求的范围、获取方法、确认及分发。</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办公室负责适用的产品和质量/环境/安全方面的法律法规的识别、获取和更新，并评价其适用性；</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提供了《环境/安全法律法规清单》，法律法规及其他要求在办公室存档一份，并已电子版的形式发到各部门电脑上。</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定期在网上查看法规的更新情况，目前均为最新版本。</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381"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策划措施</w:t>
            </w:r>
          </w:p>
        </w:tc>
        <w:tc>
          <w:tcPr>
            <w:tcW w:w="751" w:type="dxa"/>
            <w:vAlign w:val="center"/>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EO</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6.1.4</w:t>
            </w: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组织管理层策划关于开展管理体系中所采取措施，以便管理环境/安全目标、环境因素、危险源、合规性义务、法律法规组织识别的风险等等。通过合规性评价、目标考核、运行方案、管理评审、内外部沟通等方式以保证管理体系达到预期结果。具体见各部门审核记录。</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center"/>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rPr>
              <w:t>目标</w:t>
            </w:r>
          </w:p>
        </w:tc>
        <w:tc>
          <w:tcPr>
            <w:tcW w:w="751" w:type="dxa"/>
            <w:vAlign w:val="center"/>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QEO</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rPr>
              <w:t>6.2</w:t>
            </w: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●查《管理手册》明确了公司的管理目标：</w:t>
            </w:r>
          </w:p>
          <w:tbl>
            <w:tblPr>
              <w:tblStyle w:val="11"/>
              <w:tblpPr w:leftFromText="180" w:rightFromText="180" w:vertAnchor="text" w:horzAnchor="page" w:tblpX="292" w:tblpY="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286" w:type="dxa"/>
                  <w:vMerge w:val="restart"/>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质量目标</w:t>
                  </w:r>
                </w:p>
              </w:tc>
              <w:tc>
                <w:tcPr>
                  <w:tcW w:w="3046" w:type="dxa"/>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产品一次交验合格率≥98%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286" w:type="dxa"/>
                  <w:vMerge w:val="continue"/>
                  <w:noWrap w:val="0"/>
                  <w:vAlign w:val="center"/>
                </w:tcPr>
                <w:p>
                  <w:pPr>
                    <w:adjustRightInd w:val="0"/>
                    <w:snapToGrid w:val="0"/>
                    <w:spacing w:line="276" w:lineRule="auto"/>
                    <w:rPr>
                      <w:rFonts w:hint="eastAsia" w:ascii="宋体" w:hAnsi="宋体" w:eastAsia="宋体" w:cs="Times New Roman"/>
                      <w:szCs w:val="21"/>
                    </w:rPr>
                  </w:pPr>
                </w:p>
              </w:tc>
              <w:tc>
                <w:tcPr>
                  <w:tcW w:w="3046" w:type="dxa"/>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客户满意率≥9</w:t>
                  </w:r>
                  <w:r>
                    <w:rPr>
                      <w:rFonts w:hint="eastAsia" w:ascii="宋体" w:hAnsi="宋体" w:eastAsia="宋体" w:cs="Times New Roman"/>
                      <w:szCs w:val="21"/>
                      <w:lang w:val="en-US" w:eastAsia="zh-CN"/>
                    </w:rPr>
                    <w:t>5</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86" w:type="dxa"/>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环境目标、指标</w:t>
                  </w:r>
                </w:p>
              </w:tc>
              <w:tc>
                <w:tcPr>
                  <w:tcW w:w="3046" w:type="dxa"/>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固废处理达标排放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286" w:type="dxa"/>
                  <w:vMerge w:val="restart"/>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职业健康安全目标</w:t>
                  </w:r>
                </w:p>
              </w:tc>
              <w:tc>
                <w:tcPr>
                  <w:tcW w:w="3046" w:type="dxa"/>
                  <w:tcBorders>
                    <w:bottom w:val="single" w:color="000000" w:sz="4" w:space="0"/>
                  </w:tcBorders>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重大安全事故为0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86" w:type="dxa"/>
                  <w:vMerge w:val="continue"/>
                  <w:noWrap w:val="0"/>
                  <w:vAlign w:val="center"/>
                </w:tcPr>
                <w:p>
                  <w:pPr>
                    <w:adjustRightInd w:val="0"/>
                    <w:snapToGrid w:val="0"/>
                    <w:spacing w:line="276" w:lineRule="auto"/>
                    <w:rPr>
                      <w:rFonts w:hint="eastAsia" w:ascii="宋体" w:hAnsi="宋体" w:eastAsia="宋体" w:cs="Times New Roman"/>
                      <w:szCs w:val="21"/>
                    </w:rPr>
                  </w:pPr>
                </w:p>
              </w:tc>
              <w:tc>
                <w:tcPr>
                  <w:tcW w:w="3046" w:type="dxa"/>
                  <w:tcBorders>
                    <w:top w:val="single" w:color="000000" w:sz="4" w:space="0"/>
                    <w:bottom w:val="single" w:color="000000" w:sz="4" w:space="0"/>
                  </w:tcBorders>
                  <w:noWrap w:val="0"/>
                  <w:vAlign w:val="center"/>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火灾事故发生率为0</w:t>
                  </w:r>
                </w:p>
              </w:tc>
            </w:tr>
          </w:tbl>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为确保以上目标的实现，制定了《三体系目标分解考核办法》，管理目标分解至各部门，制定了考核方法和考核频次。</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eastAsia="zh-CN"/>
              </w:rPr>
              <w:t>提供了《目标、指标完成情况监控记录》，定期</w:t>
            </w:r>
            <w:r>
              <w:rPr>
                <w:rFonts w:hint="eastAsia" w:ascii="宋体" w:hAnsi="宋体" w:eastAsia="宋体" w:cs="Times New Roman"/>
                <w:szCs w:val="21"/>
              </w:rPr>
              <w:t>对目标进行考核</w:t>
            </w:r>
            <w:r>
              <w:rPr>
                <w:rFonts w:hint="eastAsia" w:ascii="宋体" w:hAnsi="宋体" w:eastAsia="宋体" w:cs="Times New Roman"/>
                <w:szCs w:val="21"/>
                <w:lang w:eastAsia="zh-CN"/>
              </w:rPr>
              <w:t>。从考核记录来看，</w:t>
            </w:r>
            <w:r>
              <w:rPr>
                <w:rFonts w:hint="eastAsia" w:ascii="宋体" w:hAnsi="宋体" w:eastAsia="宋体" w:cs="Times New Roman"/>
                <w:szCs w:val="21"/>
                <w:lang w:val="en-US" w:eastAsia="zh-CN"/>
              </w:rPr>
              <w:t>2021年和2022年1季度均完成了目标考核。</w:t>
            </w:r>
          </w:p>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针对重要环境因素和不可接受风险，制定了《环境</w:t>
            </w:r>
            <w:r>
              <w:rPr>
                <w:rFonts w:hint="eastAsia" w:ascii="宋体" w:hAnsi="宋体" w:eastAsia="宋体" w:cs="Times New Roman"/>
                <w:szCs w:val="21"/>
                <w:lang w:val="en-US" w:eastAsia="zh-CN"/>
              </w:rPr>
              <w:t>/安全</w:t>
            </w:r>
            <w:r>
              <w:rPr>
                <w:rFonts w:hint="eastAsia" w:ascii="宋体" w:hAnsi="宋体" w:eastAsia="宋体" w:cs="Times New Roman"/>
                <w:szCs w:val="21"/>
                <w:lang w:eastAsia="zh-CN"/>
              </w:rPr>
              <w:t>目标指标管理方案》，有管理措施和资金投入，并定期检查管理方案落实情况</w:t>
            </w:r>
            <w:r>
              <w:rPr>
                <w:rFonts w:hint="eastAsia" w:ascii="宋体" w:hAnsi="宋体" w:eastAsia="宋体" w:cs="Times New Roman"/>
                <w:szCs w:val="21"/>
              </w:rPr>
              <w:t>，</w:t>
            </w:r>
            <w:r>
              <w:rPr>
                <w:rFonts w:hint="eastAsia" w:ascii="宋体" w:hAnsi="宋体" w:eastAsia="宋体" w:cs="Times New Roman"/>
                <w:szCs w:val="21"/>
                <w:lang w:eastAsia="zh-CN"/>
              </w:rPr>
              <w:t>截至审核，各部门均完成了设定的目标。</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eastAsia="zh-CN"/>
              </w:rPr>
              <w:t>详细情况</w:t>
            </w:r>
            <w:r>
              <w:rPr>
                <w:rFonts w:hint="eastAsia" w:ascii="宋体" w:hAnsi="宋体" w:eastAsia="宋体" w:cs="Times New Roman"/>
                <w:szCs w:val="21"/>
              </w:rPr>
              <w:t>见各部门</w:t>
            </w:r>
            <w:r>
              <w:rPr>
                <w:rFonts w:hint="eastAsia" w:ascii="宋体" w:hAnsi="宋体" w:eastAsia="宋体" w:cs="Times New Roman"/>
                <w:szCs w:val="21"/>
                <w:lang w:eastAsia="zh-CN"/>
              </w:rPr>
              <w:t>审核记录</w:t>
            </w:r>
            <w:r>
              <w:rPr>
                <w:rFonts w:hint="eastAsia" w:ascii="宋体" w:hAnsi="宋体" w:eastAsia="宋体" w:cs="Times New Roman"/>
                <w:szCs w:val="21"/>
              </w:rPr>
              <w:t>。</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381"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变更的策划</w:t>
            </w:r>
          </w:p>
        </w:tc>
        <w:tc>
          <w:tcPr>
            <w:tcW w:w="751"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6.3</w:t>
            </w:r>
          </w:p>
          <w:p>
            <w:pPr>
              <w:adjustRightInd w:val="0"/>
              <w:snapToGrid w:val="0"/>
              <w:spacing w:line="276" w:lineRule="auto"/>
              <w:rPr>
                <w:rFonts w:hint="eastAsia" w:ascii="宋体" w:hAnsi="宋体" w:eastAsia="宋体" w:cs="Times New Roman"/>
                <w:szCs w:val="21"/>
                <w:lang w:val="en-US" w:eastAsia="zh-CN"/>
              </w:rPr>
            </w:pPr>
          </w:p>
        </w:tc>
        <w:tc>
          <w:tcPr>
            <w:tcW w:w="12120"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rPr>
              <w:t>●</w:t>
            </w:r>
            <w:r>
              <w:rPr>
                <w:rFonts w:hint="eastAsia" w:ascii="宋体" w:hAnsi="宋体" w:eastAsia="宋体" w:cs="Times New Roman"/>
                <w:szCs w:val="21"/>
                <w:lang w:val="en-US" w:eastAsia="zh-CN"/>
              </w:rPr>
              <w:t>制定并执行《组织变更管理控制程序》。</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公司于2021年6月份建立质量管理体系以来，为使公司质量管理体系有效运行，并持续改进，各部门按质量管理体系文件中的规定贯彻实施，文件中的规定与实际运作应保持一致。</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随着质量管理体系的变化，质量方针、目标的变化，定期评审及时修订质量管理体系文件，确保其有效性、充分性和适宜性。质量管理体系建立后，不断完善，持续改进，提高有效性和效率。</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公司自运行以来没有发生变更。</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资源</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7.1</w:t>
            </w:r>
          </w:p>
        </w:tc>
        <w:tc>
          <w:tcPr>
            <w:tcW w:w="12120"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公司确定并提供为建立、实施、保持和持续改进职业健康安全管理体系所需的资源。</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人力资源：目前职工人数20人。有本公司的销售网络和稳定的客户群体。</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基础设施：现场巡视，办公位于华业大厦1004，建筑面积约330㎡，整体环境良好，干净整洁。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现场查看办公设施主要是服务器、电脑、打印机、开票机、电话等，满足工作需要。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项目服务人员配备了台钻、安装工具、扫描仪。</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办公区楼道内配有灭火器和消防栓，现场查看均在有效期压力范围内。</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定期为员工发放口罩、手套、和医用酒精等劳保用品。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水电供应由办公室负责。</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各部门负责保持各自部门的环境卫生和安全控制。各种废弃物的分类处置，办公室负责监督检查。</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每个员工都有责任创造和谐、舒适的工作环境。</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管理评审</w:t>
            </w:r>
          </w:p>
        </w:tc>
        <w:tc>
          <w:tcPr>
            <w:tcW w:w="751"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QEO</w:t>
            </w:r>
          </w:p>
          <w:p>
            <w:pPr>
              <w:adjustRightInd w:val="0"/>
              <w:snapToGrid w:val="0"/>
              <w:spacing w:line="276" w:lineRule="auto"/>
              <w:rPr>
                <w:rFonts w:hint="eastAsia" w:ascii="宋体" w:hAnsi="宋体" w:eastAsia="宋体" w:cs="Times New Roman"/>
                <w:szCs w:val="21"/>
                <w:lang w:val="en-US"/>
              </w:rPr>
            </w:pPr>
            <w:r>
              <w:rPr>
                <w:rFonts w:hint="eastAsia" w:ascii="宋体" w:hAnsi="宋体" w:eastAsia="宋体" w:cs="Times New Roman"/>
                <w:szCs w:val="21"/>
                <w:lang w:val="en-US" w:eastAsia="zh-CN"/>
              </w:rPr>
              <w:t>9.3</w:t>
            </w:r>
          </w:p>
        </w:tc>
        <w:tc>
          <w:tcPr>
            <w:tcW w:w="12120"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●执行《管理评审控制程序》，按程序要求进行管理评审，每年至少一次，总经理主持。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查企业策划并于2022年4月15日开展管理管理评审，提供了管理评审计划、管理评审会议记录、管理评审报告、管理评审决议及改进措施及各部门体系运行报告。</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1.查《管理评审计划》，明确了管理评审目的、准则、参加评审的人员、评审的内容和各部门需准备的评审材料。编制：温俊华，审批：边翔，2022.4.2。</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2.2022年4月15日在公司会议室由总经理和管代召开主持了管理评审。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提供了管理评审会议记录，会议记录有各部门签到，提供了管理者代表做的管理体系运行情况报告及各部门领导所做的本部门体系运行工作汇报。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管理评审内容包括：管理方针、目标和指标的适宜性及目标指标的实施情况、组织架构设置、资源配置、体系文件评审情况、内审、事件、不符合、纠正、预防措施应用处理、合规义务遵守情况、产品和服务的符合性，过程绩效，环境/职业健康安全绩效、风险和机遇管理措施等，管理评审输入较全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查看各部门体系运行报告，包括本部门工作情况，目标指标完成情况，内审情况等方面。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管理评审报告》，评审结论：公司已按照GB/T19001-2016、GB/T24001-2016、GB/T45001-2020标准建立了符合本公司实际的管理体系，体系是持续适宜的、充分的和有效的。基本能够得到实施和保持。方针、目标和指标是适应的，正在通过体系的运行不断实现。</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管理评审提出改进决议两项：</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1）.为解决监管力度不够的情况，要求办公室今后每季度至少组织一次对体系运行情况的监督检查；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2）.办公室继续抓好对员工的质量、环境、职业健康安全意识教育。</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编制了《管理评审决议及改进措施》，</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决议内容</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措施</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责任部门</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责任人</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加强新版标准文件学</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组织培训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办公室</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温俊华</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生产中心服务过程强化服务意识</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组织培训</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生产中心</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温俊华</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针对管理评审提出的改进意见，组织了培训，提供了培训记录，管理评审提出的改进措施已培训完成，目前已实施完成。</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1"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持续改进</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10.1</w:t>
            </w:r>
          </w:p>
          <w:p>
            <w:pPr>
              <w:adjustRightInd w:val="0"/>
              <w:snapToGrid w:val="0"/>
              <w:spacing w:line="276" w:lineRule="auto"/>
              <w:rPr>
                <w:rFonts w:hint="eastAsia" w:ascii="宋体" w:hAnsi="宋体" w:eastAsia="宋体" w:cs="Times New Roman"/>
                <w:szCs w:val="21"/>
              </w:rPr>
            </w:pP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企业通过建立管理方针、管理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企业充分识别和评价存在的改进机会，以持续满足顾客和相关方要求改进的方法措施包括：</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1）引导创新、修改和改进现有过程或实施新过程的突破项目；</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2）在现有过程中开展渐进、持续的改进活动；</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3）纠正所存在不符合的原因等。</w:t>
            </w:r>
          </w:p>
        </w:tc>
        <w:tc>
          <w:tcPr>
            <w:tcW w:w="748" w:type="dxa"/>
          </w:tcPr>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eastAsia="zh-CN"/>
              </w:rPr>
              <w:t>预防和纠正措施</w:t>
            </w:r>
          </w:p>
        </w:tc>
        <w:tc>
          <w:tcPr>
            <w:tcW w:w="751" w:type="dxa"/>
          </w:tcPr>
          <w:p>
            <w:pPr>
              <w:adjustRightInd w:val="0"/>
              <w:snapToGrid w:val="0"/>
              <w:spacing w:line="276" w:lineRule="auto"/>
              <w:rPr>
                <w:rFonts w:hint="eastAsia" w:ascii="宋体" w:hAnsi="宋体" w:eastAsia="宋体" w:cs="Times New Roman"/>
                <w:szCs w:val="21"/>
                <w:lang w:eastAsia="zh-CN"/>
              </w:rPr>
            </w:pPr>
            <w:r>
              <w:rPr>
                <w:rFonts w:hint="eastAsia" w:ascii="宋体" w:hAnsi="宋体" w:eastAsia="宋体" w:cs="Times New Roman"/>
                <w:szCs w:val="21"/>
                <w:lang w:val="en-US" w:eastAsia="zh-CN"/>
              </w:rPr>
              <w:t>QE</w:t>
            </w:r>
            <w:r>
              <w:rPr>
                <w:rFonts w:hint="eastAsia" w:ascii="宋体" w:hAnsi="宋体" w:eastAsia="宋体" w:cs="Times New Roman"/>
                <w:szCs w:val="21"/>
                <w:lang w:eastAsia="zh-CN"/>
              </w:rPr>
              <w:t>O</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rPr>
              <w:t>10.3</w:t>
            </w:r>
          </w:p>
        </w:tc>
        <w:tc>
          <w:tcPr>
            <w:tcW w:w="12120"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企业编制了《不合格和纠正措施控制程序》，并通过内审、管理评审、分析和评价、纠正和纠正措施、管理方针和管理目标等有关信息来源来实现对管理体系的持续改进，同时通过日常运行中发现的问题及时调整解决，以达到持续改进管理体系的目的，以提升职业健康安全管理体系绩效。</w:t>
            </w:r>
          </w:p>
          <w:p>
            <w:pPr>
              <w:adjustRightInd w:val="0"/>
              <w:snapToGrid w:val="0"/>
              <w:spacing w:line="276" w:lineRule="auto"/>
              <w:rPr>
                <w:rFonts w:hint="eastAsia" w:ascii="宋体" w:hAnsi="宋体" w:eastAsia="宋体" w:cs="Times New Roman"/>
                <w:szCs w:val="21"/>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日常监视和测量过程中发现的不合格、不符合要求相关责任部门及时制定相应的改进、纠正和纠正措施，以实现管理体系的持续改进。</w:t>
            </w:r>
          </w:p>
        </w:tc>
        <w:tc>
          <w:tcPr>
            <w:tcW w:w="748"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81"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法律法规执行情况、一阶段不符合验证等</w:t>
            </w:r>
          </w:p>
        </w:tc>
        <w:tc>
          <w:tcPr>
            <w:tcW w:w="751" w:type="dxa"/>
            <w:vAlign w:val="center"/>
          </w:tcPr>
          <w:p>
            <w:pPr>
              <w:adjustRightInd w:val="0"/>
              <w:snapToGrid w:val="0"/>
              <w:spacing w:line="276" w:lineRule="auto"/>
              <w:rPr>
                <w:rFonts w:hint="eastAsia" w:ascii="宋体" w:hAnsi="宋体" w:eastAsia="宋体" w:cs="Times New Roman"/>
                <w:szCs w:val="21"/>
              </w:rPr>
            </w:pPr>
          </w:p>
        </w:tc>
        <w:tc>
          <w:tcPr>
            <w:tcW w:w="12120"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范围的确认：见4.3条款审核记录，符合要求</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资质的确认：见4.1条款审核记录，符合要求</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法律法规执行情况：进行了合规性评价，符合要求；</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质量抽查及顾客投诉情况：经询问自公司成立以来未发生过质量、安全和环境事故。</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一阶段不符合验证：一阶段未发现不符合。</w:t>
            </w:r>
          </w:p>
        </w:tc>
        <w:tc>
          <w:tcPr>
            <w:tcW w:w="748" w:type="dxa"/>
          </w:tcPr>
          <w:p>
            <w:pPr>
              <w:adjustRightInd w:val="0"/>
              <w:snapToGrid w:val="0"/>
              <w:spacing w:line="276" w:lineRule="auto"/>
              <w:rPr>
                <w:rFonts w:hint="eastAsia" w:ascii="宋体" w:hAnsi="宋体" w:eastAsia="宋体" w:cs="Times New Roman"/>
                <w:szCs w:val="21"/>
                <w:lang w:val="en-US" w:eastAsia="zh-CN"/>
              </w:rPr>
            </w:pPr>
          </w:p>
        </w:tc>
      </w:tr>
    </w:tbl>
    <w:p>
      <w:pPr>
        <w:rPr>
          <w:rFonts w:hint="eastAsia" w:ascii="Times New Roman" w:hAnsi="Times New Roman" w:eastAsia="宋体" w:cs="Times New Roman"/>
          <w:bCs w:val="0"/>
          <w:spacing w:val="0"/>
          <w:kern w:val="2"/>
          <w:sz w:val="24"/>
          <w:szCs w:val="24"/>
          <w:lang w:val="en-US" w:eastAsia="zh-CN" w:bidi="ar-SA"/>
        </w:rPr>
      </w:pPr>
    </w:p>
    <w:p>
      <w:pPr>
        <w:pStyle w:val="15"/>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51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过程与活动、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抽样计划</w:t>
            </w:r>
          </w:p>
        </w:tc>
        <w:tc>
          <w:tcPr>
            <w:tcW w:w="1225"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涉及</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条款</w:t>
            </w:r>
          </w:p>
        </w:tc>
        <w:tc>
          <w:tcPr>
            <w:tcW w:w="10512"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受审核部门：生产中心    主管领导：李曙光      陪同人员：张瑛燕</w:t>
            </w:r>
          </w:p>
        </w:tc>
        <w:tc>
          <w:tcPr>
            <w:tcW w:w="1077"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22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0512"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审核员：杨园            审核时间：2022年06月12日 8</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3</w:t>
            </w:r>
            <w:r>
              <w:rPr>
                <w:rFonts w:hint="default" w:ascii="宋体" w:hAnsi="宋体" w:eastAsia="宋体" w:cs="Times New Roman"/>
                <w:szCs w:val="21"/>
                <w:lang w:val="en-US" w:eastAsia="zh-CN"/>
              </w:rPr>
              <w:t>0-1</w:t>
            </w:r>
            <w:r>
              <w:rPr>
                <w:rFonts w:hint="eastAsia" w:ascii="宋体" w:hAnsi="宋体" w:eastAsia="宋体" w:cs="Times New Roman"/>
                <w:szCs w:val="21"/>
                <w:lang w:val="en-US" w:eastAsia="zh-CN"/>
              </w:rPr>
              <w:t>6</w:t>
            </w:r>
            <w:r>
              <w:rPr>
                <w:rFonts w:hint="default" w:ascii="宋体" w:hAnsi="宋体" w:eastAsia="宋体" w:cs="Times New Roman"/>
                <w:szCs w:val="21"/>
                <w:lang w:val="en-US" w:eastAsia="zh-CN"/>
              </w:rPr>
              <w:t>:</w:t>
            </w:r>
            <w:r>
              <w:rPr>
                <w:rFonts w:hint="eastAsia" w:ascii="宋体" w:hAnsi="宋体" w:eastAsia="宋体" w:cs="Times New Roman"/>
                <w:szCs w:val="21"/>
                <w:lang w:val="en-US" w:eastAsia="zh-CN"/>
              </w:rPr>
              <w:t>0</w:t>
            </w:r>
            <w:r>
              <w:rPr>
                <w:rFonts w:hint="default" w:ascii="宋体" w:hAnsi="宋体" w:eastAsia="宋体" w:cs="Times New Roman"/>
                <w:szCs w:val="21"/>
                <w:lang w:val="en-US" w:eastAsia="zh-CN"/>
              </w:rPr>
              <w:t>0</w:t>
            </w:r>
          </w:p>
        </w:tc>
        <w:tc>
          <w:tcPr>
            <w:tcW w:w="1077" w:type="dxa"/>
            <w:vMerge w:val="continue"/>
          </w:tcPr>
          <w:p>
            <w:pPr>
              <w:adjustRightInd w:val="0"/>
              <w:snapToGrid w:val="0"/>
              <w:spacing w:line="276" w:lineRule="auto"/>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22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0512"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审核条款： Q:5.3/6.2/7.1.3/7.1.4/8.5.2/8.5.3/8.5.4/9.1.3</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          EO:5.3/6.2</w:t>
            </w:r>
          </w:p>
        </w:tc>
        <w:tc>
          <w:tcPr>
            <w:tcW w:w="1077" w:type="dxa"/>
            <w:vMerge w:val="continue"/>
          </w:tcPr>
          <w:p>
            <w:pPr>
              <w:adjustRightInd w:val="0"/>
              <w:snapToGrid w:val="0"/>
              <w:spacing w:line="276" w:lineRule="auto"/>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岗位职责、权限</w:t>
            </w:r>
          </w:p>
        </w:tc>
        <w:tc>
          <w:tcPr>
            <w:tcW w:w="1225"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QEO5.3</w:t>
            </w:r>
          </w:p>
        </w:tc>
        <w:tc>
          <w:tcPr>
            <w:tcW w:w="10512"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生产中心部门负责人：李曙光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询问其职责权限：负责产品策划全过程，负责技术、工艺培训，负责现场的标识、搬运和顾客财产、产品防护与不合格品的控制，负责制定应急准备和响应计划，当现场出现紧急情况时，负责具体实施；负责本部门风险评价、组织辨识和评价本部门的环境因素、危险源，对本部门的环境因素、危险源进行控制管理方面的工作、设备管理、本部门目标管理等工作。</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职责明确，回答基本完整。</w:t>
            </w:r>
          </w:p>
        </w:tc>
        <w:tc>
          <w:tcPr>
            <w:tcW w:w="1077"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目标</w:t>
            </w:r>
          </w:p>
        </w:tc>
        <w:tc>
          <w:tcPr>
            <w:tcW w:w="1225"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QEO6.2</w:t>
            </w:r>
          </w:p>
        </w:tc>
        <w:tc>
          <w:tcPr>
            <w:tcW w:w="10512"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 xml:space="preserve">查见《管理手册》制定了公司的管理目标，为确保实现三体系管理目标，编制了《三体系目标分解考核办法》，对目标进行了分解，查见《目标指标完成情况监控记录》：                                                </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生产中心部门目标：                      考核情况（2022年1季度）</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生产计划准时完成率≥99%</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产品交验一次合格率≥98%</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生产设备完好率≥99%</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监视和测量设备定期校验率≥95%         </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不合格品评审率100%</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消防器材完好率100%，火灾发生率为“0”  </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100%  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固体废弃物统一处理率达100%，          </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对生产过程有效控制，重大生产安全人身及责任事故为0</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火灾事故发生率0</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触电事故发生率0                            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评价人：温俊华   2022年4月5日。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另查2021年3/4季度目标考核情况，目标已全部实现。</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抽查管理方案情况，编制了《环境/职业健康安全目标指标管理方案》：</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——抽目标指标：固废合理处置率100% </w:t>
            </w:r>
          </w:p>
          <w:p>
            <w:pPr>
              <w:adjustRightInd w:val="0"/>
              <w:snapToGrid w:val="0"/>
              <w:spacing w:line="276" w:lineRule="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管理方案：固废定点暂存，集中清运，固体废弃物分类放置区，可回收和不可回收的固体废弃物分类堆放，按分类标准加以划分。委托有关单位定期及时清运各类固废。进行培训，加强使用和操作管理，减少固废产生。</w:t>
            </w:r>
          </w:p>
          <w:p>
            <w:pPr>
              <w:adjustRightInd w:val="0"/>
              <w:snapToGrid w:val="0"/>
              <w:spacing w:line="276" w:lineRule="auto"/>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费用：</w:t>
            </w:r>
            <w:r>
              <w:rPr>
                <w:rFonts w:hint="eastAsia" w:ascii="宋体" w:hAnsi="宋体" w:eastAsia="宋体" w:cs="Times New Roman"/>
                <w:szCs w:val="21"/>
                <w:lang w:val="en-US" w:eastAsia="zh-CN"/>
              </w:rPr>
              <w:t>5000</w:t>
            </w:r>
            <w:r>
              <w:rPr>
                <w:rFonts w:hint="default" w:ascii="宋体" w:hAnsi="宋体" w:eastAsia="宋体" w:cs="Times New Roman"/>
                <w:szCs w:val="21"/>
                <w:lang w:val="en-US" w:eastAsia="zh-CN"/>
              </w:rPr>
              <w:t>元，起止时间：</w:t>
            </w:r>
            <w:r>
              <w:rPr>
                <w:rFonts w:hint="eastAsia" w:ascii="宋体" w:hAnsi="宋体" w:eastAsia="宋体" w:cs="Times New Roman"/>
                <w:szCs w:val="21"/>
                <w:lang w:val="en-US" w:eastAsia="zh-CN"/>
              </w:rPr>
              <w:t>长期   责任部门：各部门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——抽目标、指标：火灾事故为0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管理方案：加强日常巡视；加强设备设施检查管理；现场如有动火必须严格按动火手续办理证件，并采取有效防范措施；进行消防专队训练，并组织消防演练；</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费用：4000元 </w:t>
            </w:r>
            <w:r>
              <w:rPr>
                <w:rFonts w:hint="default" w:ascii="宋体" w:hAnsi="宋体" w:eastAsia="宋体" w:cs="Times New Roman"/>
                <w:szCs w:val="21"/>
                <w:lang w:val="en-US" w:eastAsia="zh-CN"/>
              </w:rPr>
              <w:t>起止时间：</w:t>
            </w:r>
            <w:r>
              <w:rPr>
                <w:rFonts w:hint="eastAsia" w:ascii="宋体" w:hAnsi="宋体" w:eastAsia="宋体" w:cs="Times New Roman"/>
                <w:szCs w:val="21"/>
                <w:lang w:val="en-US" w:eastAsia="zh-CN"/>
              </w:rPr>
              <w:t>长期   责任部门：各部门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每季度组织一次对目标、指标管理方案进行程度、完成情况的考核，查看</w:t>
            </w: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21年和2022年第一季度的目标、指标管理方案完成情况考核，达到了阶段性的目标要求。</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制定的指标和管理方案基本可行。</w:t>
            </w:r>
          </w:p>
        </w:tc>
        <w:tc>
          <w:tcPr>
            <w:tcW w:w="1077"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基础设施</w:t>
            </w:r>
          </w:p>
        </w:tc>
        <w:tc>
          <w:tcPr>
            <w:tcW w:w="1225" w:type="dxa"/>
            <w:vAlign w:val="top"/>
          </w:tcPr>
          <w:p>
            <w:pPr>
              <w:adjustRightInd w:val="0"/>
              <w:snapToGrid w:val="0"/>
              <w:spacing w:line="276" w:lineRule="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Q7.1.3</w:t>
            </w:r>
          </w:p>
          <w:p>
            <w:pPr>
              <w:adjustRightInd w:val="0"/>
              <w:snapToGrid w:val="0"/>
              <w:spacing w:line="276" w:lineRule="auto"/>
              <w:rPr>
                <w:rFonts w:hint="default" w:ascii="宋体" w:hAnsi="宋体" w:eastAsia="宋体" w:cs="Times New Roman"/>
                <w:szCs w:val="21"/>
                <w:lang w:val="en-US" w:eastAsia="zh-CN"/>
              </w:rPr>
            </w:pPr>
          </w:p>
        </w:tc>
        <w:tc>
          <w:tcPr>
            <w:tcW w:w="10512"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●企业办公地址位于华业大厦1004，有经理室，综合办公室，会议室。</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●企业编制了《办公设施管理制度》《办公设施维护保养规定》。提供了《主要服务设施清单》：配备了服务器、扫描仪、投影仪、办公桌椅，电脑、电话、空调，技术人员配备了安装工具、台钻、条码机。</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编制了《主要服务设施维护保养计划》，电脑、打印机等年底统一检修，主要是系统升级、漏洞、补丁。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现场查看，办公设备完好，维护保养基本得当，能够满足日常办公需要。</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查见《设备维护记录》，电脑、打印机、条码机进行了检修维护，时间：2021.12.26。</w:t>
            </w:r>
          </w:p>
        </w:tc>
        <w:tc>
          <w:tcPr>
            <w:tcW w:w="1077"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运行环境</w:t>
            </w:r>
          </w:p>
        </w:tc>
        <w:tc>
          <w:tcPr>
            <w:tcW w:w="1225" w:type="dxa"/>
            <w:vAlign w:val="top"/>
          </w:tcPr>
          <w:p>
            <w:pPr>
              <w:adjustRightInd w:val="0"/>
              <w:snapToGrid w:val="0"/>
              <w:spacing w:line="276" w:lineRule="auto"/>
              <w:rPr>
                <w:rFonts w:hint="eastAsia" w:ascii="宋体" w:hAnsi="宋体" w:eastAsia="宋体" w:cs="Times New Roman"/>
                <w:szCs w:val="21"/>
                <w:lang w:val="en-US" w:eastAsia="zh-CN"/>
              </w:rPr>
            </w:pPr>
            <w:r>
              <w:rPr>
                <w:rFonts w:hint="default" w:ascii="宋体" w:hAnsi="宋体" w:eastAsia="宋体" w:cs="Times New Roman"/>
                <w:szCs w:val="21"/>
                <w:lang w:val="en-US" w:eastAsia="zh-CN"/>
              </w:rPr>
              <w:t>Q7.1.</w:t>
            </w:r>
            <w:r>
              <w:rPr>
                <w:rFonts w:hint="eastAsia" w:ascii="宋体" w:hAnsi="宋体" w:eastAsia="宋体" w:cs="Times New Roman"/>
                <w:szCs w:val="21"/>
                <w:lang w:val="en-US" w:eastAsia="zh-CN"/>
              </w:rPr>
              <w:t>4</w:t>
            </w:r>
          </w:p>
          <w:p>
            <w:pPr>
              <w:adjustRightInd w:val="0"/>
              <w:snapToGrid w:val="0"/>
              <w:spacing w:line="276" w:lineRule="auto"/>
              <w:rPr>
                <w:rFonts w:hint="default" w:ascii="宋体" w:hAnsi="宋体" w:eastAsia="宋体" w:cs="Times New Roman"/>
                <w:szCs w:val="21"/>
                <w:lang w:val="en-US" w:eastAsia="zh-CN"/>
              </w:rPr>
            </w:pPr>
          </w:p>
        </w:tc>
        <w:tc>
          <w:tcPr>
            <w:tcW w:w="10512"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●查看企业办公现场，面积约300平；现场宽敞明亮，通道畅通，布局合理。</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办公区配备了所需的办公设备和空调等设施。配有监控，楼道内有应急灯。</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办公室负责水电供应。</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垃圾分类处置，员工每日上下班能够及时清理环境。</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工作环境得到良好的控制。</w:t>
            </w:r>
          </w:p>
        </w:tc>
        <w:tc>
          <w:tcPr>
            <w:tcW w:w="1077"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标识和可追溯性</w:t>
            </w:r>
          </w:p>
        </w:tc>
        <w:tc>
          <w:tcPr>
            <w:tcW w:w="1225"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Q8.5.2</w:t>
            </w:r>
          </w:p>
        </w:tc>
        <w:tc>
          <w:tcPr>
            <w:tcW w:w="10512" w:type="dxa"/>
            <w:vAlign w:val="top"/>
          </w:tcPr>
          <w:p>
            <w:pPr>
              <w:adjustRightInd w:val="0"/>
              <w:snapToGrid w:val="0"/>
              <w:spacing w:line="276" w:lineRule="auto"/>
              <w:rPr>
                <w:rFonts w:ascii="宋体" w:hAnsi="宋体"/>
                <w:szCs w:val="21"/>
              </w:rPr>
            </w:pPr>
            <w:r>
              <w:rPr>
                <w:rFonts w:hint="eastAsia" w:ascii="宋体" w:hAnsi="宋体"/>
                <w:szCs w:val="21"/>
              </w:rPr>
              <w:t>产品标识分为项目设备安装产品的标识和监视测量状态的标识。</w:t>
            </w:r>
          </w:p>
          <w:p>
            <w:pPr>
              <w:adjustRightInd w:val="0"/>
              <w:snapToGrid w:val="0"/>
              <w:spacing w:line="276" w:lineRule="auto"/>
              <w:rPr>
                <w:rFonts w:ascii="宋体" w:hAnsi="宋体"/>
                <w:szCs w:val="21"/>
              </w:rPr>
            </w:pPr>
            <w:r>
              <w:rPr>
                <w:rFonts w:hint="eastAsia" w:ascii="宋体" w:hAnsi="宋体"/>
                <w:szCs w:val="21"/>
              </w:rPr>
              <w:t>设备标识，采取设备序列号对应相应的标签进行标识，注明型号、规格、数量、到货日期等内容。项目实施过程中设备材料的标识采取机打号卡进行标识。</w:t>
            </w:r>
          </w:p>
          <w:p>
            <w:pPr>
              <w:adjustRightInd w:val="0"/>
              <w:snapToGrid w:val="0"/>
              <w:spacing w:line="276" w:lineRule="auto"/>
              <w:rPr>
                <w:rFonts w:ascii="宋体" w:hAnsi="宋体"/>
                <w:szCs w:val="21"/>
              </w:rPr>
            </w:pPr>
            <w:r>
              <w:rPr>
                <w:rFonts w:hint="eastAsia" w:ascii="宋体" w:hAnsi="宋体"/>
                <w:szCs w:val="21"/>
              </w:rPr>
              <w:t>项目检验状态标识规定为：合格、不合格、待调试三类，在现场以标牌作为标识。查看，调试状态分别类标识清楚，容易识别，满足要求。</w:t>
            </w:r>
          </w:p>
          <w:p>
            <w:pPr>
              <w:adjustRightInd w:val="0"/>
              <w:snapToGrid w:val="0"/>
              <w:spacing w:line="276" w:lineRule="auto"/>
              <w:rPr>
                <w:rFonts w:hint="eastAsia" w:ascii="宋体" w:hAnsi="宋体"/>
                <w:szCs w:val="21"/>
              </w:rPr>
            </w:pPr>
            <w:r>
              <w:rPr>
                <w:rFonts w:hint="eastAsia" w:ascii="宋体" w:hAnsi="宋体"/>
                <w:szCs w:val="21"/>
              </w:rPr>
              <w:t>可追溯性：集成：完工验收报告→项目检查记录→进货检验记录</w:t>
            </w:r>
          </w:p>
          <w:p>
            <w:pPr>
              <w:adjustRightInd w:val="0"/>
              <w:snapToGrid w:val="0"/>
              <w:spacing w:line="276" w:lineRule="auto"/>
              <w:rPr>
                <w:rFonts w:ascii="宋体" w:hAnsi="宋体"/>
                <w:szCs w:val="21"/>
              </w:rPr>
            </w:pPr>
            <w:r>
              <w:rPr>
                <w:rFonts w:hint="eastAsia" w:ascii="宋体" w:hAnsi="宋体"/>
                <w:szCs w:val="21"/>
              </w:rPr>
              <w:t xml:space="preserve">               数字加工后档案编号</w:t>
            </w:r>
            <w:r>
              <w:rPr>
                <w:rFonts w:ascii="宋体" w:hAnsi="宋体"/>
                <w:szCs w:val="21"/>
              </w:rPr>
              <w:t>—数据处理人员</w:t>
            </w:r>
            <w:r>
              <w:rPr>
                <w:rFonts w:hint="eastAsia" w:ascii="宋体" w:hAnsi="宋体"/>
                <w:szCs w:val="21"/>
              </w:rPr>
              <w:t>/</w:t>
            </w:r>
            <w:r>
              <w:rPr>
                <w:rFonts w:ascii="宋体" w:hAnsi="宋体"/>
                <w:szCs w:val="21"/>
              </w:rPr>
              <w:t>过程记录</w:t>
            </w:r>
            <w:r>
              <w:rPr>
                <w:rFonts w:hint="eastAsia" w:ascii="宋体" w:hAnsi="宋体"/>
                <w:szCs w:val="21"/>
              </w:rPr>
              <w:t>--原始档案编号</w:t>
            </w:r>
          </w:p>
          <w:p>
            <w:pPr>
              <w:adjustRightInd w:val="0"/>
              <w:snapToGrid w:val="0"/>
              <w:spacing w:line="276" w:lineRule="auto"/>
              <w:rPr>
                <w:rFonts w:hint="eastAsia" w:ascii="宋体" w:hAnsi="宋体" w:eastAsia="宋体" w:cs="Times New Roman"/>
                <w:szCs w:val="21"/>
                <w:lang w:val="en-US" w:eastAsia="zh-CN"/>
              </w:rPr>
            </w:pPr>
            <w:r>
              <w:rPr>
                <w:rFonts w:hint="eastAsia"/>
              </w:rPr>
              <w:t xml:space="preserve">          </w:t>
            </w:r>
            <w:r>
              <w:rPr>
                <w:rFonts w:hint="eastAsia" w:ascii="宋体" w:hAnsi="宋体"/>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077"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顾客或外部供方财产管理</w:t>
            </w:r>
          </w:p>
        </w:tc>
        <w:tc>
          <w:tcPr>
            <w:tcW w:w="1225"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Q8.5.3</w:t>
            </w:r>
          </w:p>
        </w:tc>
        <w:tc>
          <w:tcPr>
            <w:tcW w:w="10512"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公司的顾客或外部供方财产主要是顾客提供的需数字化处理的档案资料、顾客或外部供方的知识产权（包括提供的规范，技术资料等）和顾客或供方的个人信息。对档案数字化加工过程中接触到的客户的档案信息，严格执行保密协议，禁止摘抄或复制，禁止带入和带出磁盘、光盘等存储介质，因工作需要必须带入工作现场的，由甲方书面同意、并办理检查登记手续。工作人员变动时，要办理好客户信息交接后续，做好离职安全保密检查工作。项目完成后，对使用的设备和存储介质必须清楚所有档案和目录数据。</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现场询问，自体系运行以来没有档案数据、顾客或外部供方个人信息泄露情况发生。</w:t>
            </w:r>
          </w:p>
        </w:tc>
        <w:tc>
          <w:tcPr>
            <w:tcW w:w="1077"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产品防护</w:t>
            </w:r>
          </w:p>
        </w:tc>
        <w:tc>
          <w:tcPr>
            <w:tcW w:w="1225"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Q8.5.4</w:t>
            </w:r>
          </w:p>
        </w:tc>
        <w:tc>
          <w:tcPr>
            <w:tcW w:w="10512"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企业提供的服务主要防护措施主要是防病毒措施。用于数字化加工或系统集成的计算机、扫描仪、及各种软件等应进行计算机病毒检查，工作中应采取相应防病毒措施。同时要采取现代保密技术防护手段，防止档案机密泄露。</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档案数字化加工现场，严禁携带易燃易爆物品进入工作场所，防火、防潮。</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进出甲方工作现场，登记手续齐全，管理比较规范。</w:t>
            </w:r>
          </w:p>
        </w:tc>
        <w:tc>
          <w:tcPr>
            <w:tcW w:w="1077"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分析与评价</w:t>
            </w:r>
          </w:p>
        </w:tc>
        <w:tc>
          <w:tcPr>
            <w:tcW w:w="1225"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Q9.1.3</w:t>
            </w:r>
          </w:p>
        </w:tc>
        <w:tc>
          <w:tcPr>
            <w:tcW w:w="10512"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●查通过体系运行进行监视和测量结果的分析评价：</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1、产品的符合性：通过采购验证和设备进厂验收、甲方最终验收及不合格品的控制达到产品的符合性；</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2、顾客满意度调查：查见《顾客满意度调查报告》，2021年12月28日进行了顾客满意度调查，顾客满意度达到99分，达到了预期目标；</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3、质量管理绩效和有效性；</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4、员工制定了绩效考核制度；</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通过内审和管理评审，不断改进完善质量管理体系运行；员工每年进行岗位职责评定；</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针对识别出的风险和机遇采取了相应的措施；优选供应商，加强质量管理、拓展销售渠道。</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管理体系改进的需求：增加管理体系标准和管理体系手册的培训。</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●综上所述，基本符合标准要求。</w:t>
            </w:r>
          </w:p>
        </w:tc>
        <w:tc>
          <w:tcPr>
            <w:tcW w:w="1077"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bl>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tbl>
      <w:tblPr>
        <w:tblStyle w:val="11"/>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1225"/>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95"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过程与活动、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抽样计划</w:t>
            </w:r>
          </w:p>
        </w:tc>
        <w:tc>
          <w:tcPr>
            <w:tcW w:w="1225"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涉及</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条款</w:t>
            </w:r>
          </w:p>
        </w:tc>
        <w:tc>
          <w:tcPr>
            <w:tcW w:w="10004"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受审核部门：业务部        主管领导：张海成        陪同人员：张田泽</w:t>
            </w:r>
          </w:p>
        </w:tc>
        <w:tc>
          <w:tcPr>
            <w:tcW w:w="1585" w:type="dxa"/>
            <w:vMerge w:val="restart"/>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9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22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0004"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审核员：杨园             审核时间：2022年06月11日   </w:t>
            </w:r>
          </w:p>
        </w:tc>
        <w:tc>
          <w:tcPr>
            <w:tcW w:w="1585" w:type="dxa"/>
            <w:vMerge w:val="continue"/>
          </w:tcPr>
          <w:p>
            <w:pPr>
              <w:adjustRightInd w:val="0"/>
              <w:snapToGrid w:val="0"/>
              <w:spacing w:line="276" w:lineRule="auto"/>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225" w:type="dxa"/>
            <w:vMerge w:val="continue"/>
            <w:vAlign w:val="center"/>
          </w:tcPr>
          <w:p>
            <w:pPr>
              <w:adjustRightInd w:val="0"/>
              <w:snapToGrid w:val="0"/>
              <w:spacing w:line="276" w:lineRule="auto"/>
              <w:rPr>
                <w:rFonts w:hint="eastAsia" w:ascii="宋体" w:hAnsi="宋体" w:eastAsia="宋体" w:cs="Times New Roman"/>
                <w:szCs w:val="21"/>
                <w:lang w:val="en-US" w:eastAsia="zh-CN"/>
              </w:rPr>
            </w:pPr>
          </w:p>
        </w:tc>
        <w:tc>
          <w:tcPr>
            <w:tcW w:w="10004" w:type="dxa"/>
            <w:vAlign w:val="center"/>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审核条款：Q</w:t>
            </w:r>
            <w:r>
              <w:rPr>
                <w:rFonts w:hint="default" w:ascii="宋体" w:hAnsi="宋体" w:eastAsia="宋体" w:cs="Times New Roman"/>
                <w:szCs w:val="21"/>
                <w:lang w:val="en-US" w:eastAsia="zh-CN"/>
              </w:rPr>
              <w:t>5.3/6.2</w:t>
            </w:r>
            <w:r>
              <w:rPr>
                <w:rFonts w:hint="eastAsia" w:ascii="宋体" w:hAnsi="宋体" w:eastAsia="宋体" w:cs="Times New Roman"/>
                <w:szCs w:val="21"/>
                <w:lang w:val="en-US" w:eastAsia="zh-CN"/>
              </w:rPr>
              <w:t>/8.2/8.5.5/9.1.2</w:t>
            </w:r>
          </w:p>
          <w:p>
            <w:pPr>
              <w:adjustRightInd w:val="0"/>
              <w:snapToGrid w:val="0"/>
              <w:spacing w:line="276" w:lineRule="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E</w:t>
            </w:r>
            <w:r>
              <w:rPr>
                <w:rFonts w:hint="eastAsia" w:ascii="宋体" w:hAnsi="宋体" w:eastAsia="宋体" w:cs="Times New Roman"/>
                <w:szCs w:val="21"/>
                <w:lang w:val="en-US" w:eastAsia="zh-CN"/>
              </w:rPr>
              <w:t>O</w:t>
            </w:r>
            <w:r>
              <w:rPr>
                <w:rFonts w:hint="default" w:ascii="宋体" w:hAnsi="宋体" w:eastAsia="宋体" w:cs="Times New Roman"/>
                <w:szCs w:val="21"/>
                <w:lang w:val="en-US" w:eastAsia="zh-CN"/>
              </w:rPr>
              <w:t>5.3/6.2/</w:t>
            </w:r>
            <w:r>
              <w:rPr>
                <w:rFonts w:hint="eastAsia" w:ascii="宋体" w:hAnsi="宋体" w:eastAsia="宋体" w:cs="Times New Roman"/>
                <w:szCs w:val="21"/>
                <w:lang w:val="en-US" w:eastAsia="zh-CN"/>
              </w:rPr>
              <w:t>6.1.2/</w:t>
            </w:r>
            <w:r>
              <w:rPr>
                <w:rFonts w:hint="default" w:ascii="宋体" w:hAnsi="宋体" w:eastAsia="宋体" w:cs="Times New Roman"/>
                <w:szCs w:val="21"/>
                <w:lang w:val="en-US" w:eastAsia="zh-CN"/>
              </w:rPr>
              <w:t>8.1/8.2</w:t>
            </w:r>
          </w:p>
        </w:tc>
        <w:tc>
          <w:tcPr>
            <w:tcW w:w="1585" w:type="dxa"/>
            <w:vMerge w:val="continue"/>
          </w:tcPr>
          <w:p>
            <w:pPr>
              <w:adjustRightInd w:val="0"/>
              <w:snapToGrid w:val="0"/>
              <w:spacing w:line="276" w:lineRule="auto"/>
              <w:rPr>
                <w:rFonts w:hint="eastAsia" w:ascii="宋体" w:hAnsi="宋体" w:eastAsia="宋体"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组织的岗位、职责权限</w:t>
            </w:r>
          </w:p>
        </w:tc>
        <w:tc>
          <w:tcPr>
            <w:tcW w:w="122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QEO </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5.3</w:t>
            </w:r>
          </w:p>
        </w:tc>
        <w:tc>
          <w:tcPr>
            <w:tcW w:w="10004"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业务部负责人：张海成</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业务部主要负责公司销售管理工作，市场开拓，业务洽谈，售后服务，负责进行市场调查与顾客满意度的调查销售管理工作；向顾客进行环保及安全宣传；贯彻执行公司的方针和管理目标，本部门环境因素、危险源的识别及其控制，落实管理手册在本部门的运行，对相关方的控制。</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职责明确，回答基本完整。</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目标、方案</w:t>
            </w:r>
          </w:p>
        </w:tc>
        <w:tc>
          <w:tcPr>
            <w:tcW w:w="122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QEO </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6.2</w:t>
            </w:r>
          </w:p>
        </w:tc>
        <w:tc>
          <w:tcPr>
            <w:tcW w:w="10004"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查看《目标指标完成情况监控记录》，业务部目标完成情况：</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部门目标：                  考核情况</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合同评审率100%</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顾客满意率≥95%</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（非顾客原因）准时交货率≥99%</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本部门固体废弃物集中处理率达100%</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 xml:space="preserve"> 100%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意外伤害事故发生为0                </w:t>
            </w:r>
            <w:r>
              <w:rPr>
                <w:rFonts w:hint="eastAsia" w:ascii="宋体" w:hAnsi="宋体" w:eastAsia="宋体" w:cs="Times New Roman"/>
                <w:szCs w:val="21"/>
                <w:lang w:val="en-US" w:eastAsia="zh-CN"/>
              </w:rPr>
              <w:tab/>
            </w:r>
            <w:r>
              <w:rPr>
                <w:rFonts w:hint="eastAsia" w:ascii="宋体" w:hAnsi="宋体" w:eastAsia="宋体" w:cs="Times New Roman"/>
                <w:szCs w:val="21"/>
                <w:lang w:val="en-US" w:eastAsia="zh-CN"/>
              </w:rPr>
              <w:t>0</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评价人：温俊华，2022年4月5日。顾客满意度一般为每年年底进行，本次未考核。</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另查2021年目标考核情况，目标已全部实现。</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抽查管理方案情况，编制了《环境/职业健康安全目标、指标管理方案》，管理方案同办公室，</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每季度组织一次对目标、指标管理方案进行程度、完成情况的考核，</w:t>
            </w:r>
            <w:r>
              <w:rPr>
                <w:rFonts w:hint="default" w:ascii="宋体" w:hAnsi="宋体" w:eastAsia="宋体" w:cs="Times New Roman"/>
                <w:szCs w:val="21"/>
                <w:lang w:val="en-US" w:eastAsia="zh-CN"/>
              </w:rPr>
              <w:t>20</w:t>
            </w:r>
            <w:r>
              <w:rPr>
                <w:rFonts w:hint="eastAsia" w:ascii="宋体" w:hAnsi="宋体" w:eastAsia="宋体" w:cs="Times New Roman"/>
                <w:szCs w:val="21"/>
                <w:lang w:val="en-US" w:eastAsia="zh-CN"/>
              </w:rPr>
              <w:t>21年3、4季度和2022年第一季度的目标、指标管理方案完成情况考核，达到了阶段性的目标要求。制定的指标和管理方案基本可行。</w:t>
            </w:r>
          </w:p>
        </w:tc>
        <w:tc>
          <w:tcPr>
            <w:tcW w:w="1585" w:type="dxa"/>
          </w:tcPr>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环境因素、危险源识别</w:t>
            </w:r>
          </w:p>
        </w:tc>
        <w:tc>
          <w:tcPr>
            <w:tcW w:w="122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EO6.1.2</w:t>
            </w:r>
          </w:p>
        </w:tc>
        <w:tc>
          <w:tcPr>
            <w:tcW w:w="10004"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●执行《环境因素识别与评价控制程序》、《危险源识别及风险评价控制程序》，符合标准要求。</w:t>
            </w:r>
          </w:p>
          <w:p>
            <w:pPr>
              <w:adjustRightInd w:val="0"/>
              <w:snapToGrid w:val="0"/>
              <w:spacing w:line="276" w:lineRule="auto"/>
              <w:rPr>
                <w:rFonts w:hint="default" w:ascii="宋体" w:hAnsi="宋体" w:eastAsia="宋体" w:cs="Times New Roman"/>
                <w:szCs w:val="21"/>
                <w:lang w:val="en-US" w:eastAsia="zh-CN"/>
              </w:rPr>
            </w:pPr>
            <w:r>
              <w:rPr>
                <w:rFonts w:hint="default" w:ascii="宋体" w:hAnsi="宋体" w:eastAsia="宋体" w:cs="Times New Roman"/>
                <w:szCs w:val="21"/>
                <w:lang w:val="en-US" w:eastAsia="zh-CN"/>
              </w:rPr>
              <w:t>提供</w:t>
            </w:r>
            <w:r>
              <w:rPr>
                <w:rFonts w:hint="eastAsia" w:ascii="宋体" w:hAnsi="宋体" w:eastAsia="宋体" w:cs="Times New Roman"/>
                <w:szCs w:val="21"/>
                <w:lang w:val="en-US" w:eastAsia="zh-CN"/>
              </w:rPr>
              <w:t>了</w:t>
            </w:r>
            <w:r>
              <w:rPr>
                <w:rFonts w:hint="default" w:ascii="宋体" w:hAnsi="宋体" w:eastAsia="宋体" w:cs="Times New Roman"/>
                <w:szCs w:val="21"/>
                <w:lang w:val="en-US" w:eastAsia="zh-CN"/>
              </w:rPr>
              <w:t>《环境因素</w:t>
            </w:r>
            <w:r>
              <w:rPr>
                <w:rFonts w:hint="eastAsia" w:ascii="宋体" w:hAnsi="宋体" w:eastAsia="宋体" w:cs="Times New Roman"/>
                <w:szCs w:val="21"/>
                <w:lang w:val="en-US" w:eastAsia="zh-CN"/>
              </w:rPr>
              <w:t>辨识评价一览表</w:t>
            </w:r>
            <w:r>
              <w:rPr>
                <w:rFonts w:hint="default" w:ascii="宋体" w:hAnsi="宋体" w:eastAsia="宋体" w:cs="Times New Roman"/>
                <w:szCs w:val="21"/>
                <w:lang w:val="en-US" w:eastAsia="zh-CN"/>
              </w:rPr>
              <w:t>》，其中包括办公区、生产区等，</w:t>
            </w:r>
            <w:r>
              <w:rPr>
                <w:rFonts w:hint="eastAsia" w:ascii="宋体" w:hAnsi="宋体" w:eastAsia="宋体" w:cs="Times New Roman"/>
                <w:szCs w:val="21"/>
                <w:lang w:val="en-US" w:eastAsia="zh-CN"/>
              </w:rPr>
              <w:t>根据活动过程识别了环境因素，业务部涉及的环境因素有办公过程水电能源的消耗，废纸张、废电池、废灯管的废弃，生活污水排放，车辆尾气排放，油的消耗，电线老化引起火灾，废弃灭火器的处理等方面，评价出了重要环境因素，编制了《重要环境因素清单》，其中涉及业务部的有：固废排放，潜在火灾。</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提供了《危险源辨识和风险评价登记表》，包括办公区域和项目服务现场，根据活动过程识别了危险源，业务部涉及的危险源有：火灾、触电、楼梯跌倒、上下班路上和出差引起的车辆伤害，新冠病毒感染，物体打击等。评价出了不可接受风险，编制了《重要环境因素清单》，涉及业务部的有：触电、火灾。</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根据识别出的重要环境因素和重大危险源，制定了控制措施，如管理方案，运行控制，应急预案和演练等。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评价基本准确。</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顾客沟通</w:t>
            </w:r>
          </w:p>
        </w:tc>
        <w:tc>
          <w:tcPr>
            <w:tcW w:w="122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Q8.2.1</w:t>
            </w:r>
          </w:p>
        </w:tc>
        <w:tc>
          <w:tcPr>
            <w:tcW w:w="10004"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公司通过走访、电话、邮件等方式与顾客交流，主要进行以下沟通：</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1、在产品交付中向顾客提供系统集成方案的有关信息。</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2、接受顾客问询、询价、合同的处理。</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3、根据合同要求进行有关的事宜，对顾客的投诉或意见进行及时处理和答复。</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到目前为止，未发生顾客不满意及投诉现象。</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与产品有关要求的确定</w:t>
            </w:r>
          </w:p>
        </w:tc>
        <w:tc>
          <w:tcPr>
            <w:tcW w:w="122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Q8.2.2</w:t>
            </w:r>
          </w:p>
        </w:tc>
        <w:tc>
          <w:tcPr>
            <w:tcW w:w="10004"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查公司产品销售情况</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业务部主要负责公司销售，业务部负责人介绍，公司主要通过投标和签订合同方式进行销售。提供了《合同登记表》，销售合同均进行了登记，登记了客户名称，订购产品，订单金额，签订时间，订单编号，评审日期，等内容。</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查公司产品销售合同</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——抽合同签订日期为2021年9月1日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甲方：石家庄腾翔盛业电子科技有限公司</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乙方：河北耀东科技有限公司</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项目名称：档案数字化加工、信息系统集成服务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看合同，约定了技术服务内容，协作事项，项目验收，售后服务，合同变更，费用支付方式，技术成果，违约责任，合同解除，技术服务内容及报价明细表等内容，查合同有双方签字盖章，双方另签有保密协议。</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——抽合同签订日期为2021年12月21日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甲方：孟村回族自治县档案馆</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乙方：河北耀东科技有限公司</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技术服务内容：档案数字化加工</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看合同，约定了技术服务内容，协作事项，项目验收，售后服务，合同变更，费用支付方式，技术成果，违约责任，合同解除，技术服务内容及报价明细表等内容，查合同有双方签字盖章，双方另签有保密协议。</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另查其他月份销售合同2份，合同明确了技术服务的内容，验收方式，验收要求，结算方式，违约责任等，合同均有双方</w:t>
            </w:r>
            <w:r>
              <w:rPr>
                <w:rFonts w:hint="eastAsia" w:ascii="宋体" w:hAnsi="宋体" w:cs="Times New Roman"/>
                <w:szCs w:val="21"/>
                <w:lang w:val="en-US" w:eastAsia="zh-CN"/>
              </w:rPr>
              <w:t>签</w:t>
            </w:r>
            <w:r>
              <w:rPr>
                <w:rFonts w:hint="eastAsia" w:ascii="宋体" w:hAnsi="宋体" w:eastAsia="宋体" w:cs="Times New Roman"/>
                <w:szCs w:val="21"/>
                <w:lang w:val="en-US" w:eastAsia="zh-CN"/>
              </w:rPr>
              <w:t>章。</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产品有关要求的评审及变更</w:t>
            </w:r>
          </w:p>
        </w:tc>
        <w:tc>
          <w:tcPr>
            <w:tcW w:w="122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Q8.2.3</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Q8.2.4</w:t>
            </w:r>
          </w:p>
        </w:tc>
        <w:tc>
          <w:tcPr>
            <w:tcW w:w="10004"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制定了《产品和服务的要求控制程序》，业务部主管介绍销售订单/合同签订前，由办公室、业务部、生产中心和总经理进行评审，评审通过后方可签订合同。</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提供了合同/订单评审表，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——抽顾客名称：孟村回族自治县档案馆，合同评审日期：2021.12.20，交付日期：按客户要求。评审内容包括：</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业务部门对顾客技术要求、质量要求、支持服务、价格等，交付及售后服务能力进行了评审，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生产中心对服务能力、技术保证及交货期、检验检测能力进行了评审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办公室对公司物料供应能力，评审标书或合同的合法、完整性、明确性进行了评审，最后总经理作出评审结论，可以签订合同。</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另查其他销售合同均经过合同评审后方可签订。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评审内容包括客户的技术要求、质量要求、支持服务、价格等，交付及售后服务能力，生产能力、工艺技术保证及交货期物料供应能力；评审标书或合同的合法、完整性、明确性等。评审结果：可满足顾客要求，同意签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2" w:char="F098"/>
            </w:r>
            <w:r>
              <w:rPr>
                <w:rFonts w:hint="eastAsia" w:ascii="宋体" w:hAnsi="宋体" w:eastAsia="宋体" w:cs="Times New Roman"/>
                <w:szCs w:val="21"/>
                <w:lang w:val="en-US" w:eastAsia="zh-CN"/>
              </w:rPr>
              <w:t>公司目前暂无合同更改情况。</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交付后的活动</w:t>
            </w:r>
          </w:p>
        </w:tc>
        <w:tc>
          <w:tcPr>
            <w:tcW w:w="122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Q8.5.5</w:t>
            </w:r>
          </w:p>
        </w:tc>
        <w:tc>
          <w:tcPr>
            <w:tcW w:w="10004"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●信息系统集成项目和档案数字化加工服在客户最终验收后，按合同要求提供售后服务：</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业务部通过电话跟踪沟通及定期拜访、客户满意度调查等方式确认交付及交付后服务的满意程度。</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集成项目完工验收，业务部负责与客户沟通，如甲方需要进行设备维修或维护，公司安排技术人员电话知道或上门服务。出现故障及时系响应，通过通讯设备进行远程指导或进行现场验收指导。</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对于使用过程中出现的硬件质量问题，在保期内的，依据合同要求由企业进行维修或调换。</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档案数字化加工项目验收后，企业依据合同要求提供数据维护服务，如：目录数据错误修改，漏扫描文件的补扫，不规范图像文件的处理。</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●发生因产品质量问题导致的客户反馈均有当值业务人员及时跟踪处理，并填写反馈表，必要时按《不合格控制程序》执行。</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●目前未发生因质量问题被投诉的情况。</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895"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运行控制</w:t>
            </w:r>
          </w:p>
        </w:tc>
        <w:tc>
          <w:tcPr>
            <w:tcW w:w="1225" w:type="dxa"/>
            <w:vAlign w:val="top"/>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EO8.1</w:t>
            </w:r>
          </w:p>
        </w:tc>
        <w:tc>
          <w:tcPr>
            <w:tcW w:w="10004" w:type="dxa"/>
            <w:vAlign w:val="top"/>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部门应执行的运行控制文件包括：安全管理制度、消防管理制度、相关方环境职业健康安全要求、员工职业健康及劳动保护管理办法、节水、节电管理办法、环境和职业健康安全运行控制程序、相关方管理控制程序等</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●查运行控制情况：</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1、办公过程注意节约用电，业务部做到人走灯灭，电脑长时间不用时关机，下班前要关闭电源；</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办公过程产生的固废（一般为废纸张、废包装等）按办公室要求放到指定地点，并统一外售；办公用品按要求由办公室负责发放，作好记录；废弃的防疫物资按办公室要求统一丢弃至专用垃圾桶进行处理；提供了《办公固废处置记录》，</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劳保用品由办公室统一发放，提供了发放记录，现场查看，有口罩，医用酒精，消毒液等。业务部全体人员在公司办公和外出谈业务过程中，严格注意防护，全程佩戴口罩，做好疫情防护工作。办公区域每日清洁消毒，有清洁记录。</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4、工作时间平均每天不超过8小时，公司为员工办理了意外伤害等保险；</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5、外出办公要求遵守道路交通安全法和《车辆管理规定》，不违章行驶，驾驶证和车辆定期年审，确保出行安全；</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6、提供了《施加影响相关方一览表》及《相关方告知书》，通过告知书告知各位来访人员公司有关安全方面应注意的事项及相关规定。</w:t>
            </w:r>
          </w:p>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7、消防器材每月进行一次检查，提供了《消防安全检查记录表》，定期对办公区域、走廊过道、服务现场的消防器材、响应措施等进行检查，目前无隐患。</w:t>
            </w:r>
            <w:bookmarkStart w:id="3" w:name="_GoBack"/>
            <w:bookmarkEnd w:id="3"/>
            <w:r>
              <w:rPr>
                <w:rFonts w:hint="eastAsia" w:ascii="宋体" w:hAnsi="宋体" w:eastAsia="宋体" w:cs="Times New Roman"/>
                <w:szCs w:val="21"/>
                <w:lang w:val="en-US" w:eastAsia="zh-CN"/>
              </w:rPr>
              <w:t>提供了《安全检查记录》，对电器线路、安全防护、通道是否顺畅、安全隐患等情况进行检查，每周一次，目前未发现问题。</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现场查看办公室设备、电器状态良好，配置了灭火器，无火灾、触电隐患，废弃物无混放现象。</w:t>
            </w:r>
          </w:p>
        </w:tc>
        <w:tc>
          <w:tcPr>
            <w:tcW w:w="1585"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95"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应急准备和响应</w:t>
            </w:r>
          </w:p>
        </w:tc>
        <w:tc>
          <w:tcPr>
            <w:tcW w:w="1225"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EO8.2</w:t>
            </w:r>
          </w:p>
        </w:tc>
        <w:tc>
          <w:tcPr>
            <w:tcW w:w="10004" w:type="dxa"/>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cs="Times New Roman"/>
                <w:szCs w:val="21"/>
                <w:lang w:val="en-US" w:eastAsia="zh-CN"/>
              </w:rPr>
              <w:t>经询问</w:t>
            </w:r>
            <w:r>
              <w:rPr>
                <w:rFonts w:hint="eastAsia" w:ascii="宋体" w:hAnsi="宋体" w:eastAsia="宋体" w:cs="Times New Roman"/>
                <w:szCs w:val="21"/>
                <w:lang w:val="en-US" w:eastAsia="zh-CN"/>
              </w:rPr>
              <w:t>2021年10月19日参加了公司组织的火灾应急演练，2021年7月12日参加了公司组织的触电事故应急演练，</w:t>
            </w:r>
            <w:r>
              <w:rPr>
                <w:rFonts w:hint="eastAsia" w:ascii="宋体" w:hAnsi="宋体" w:cs="Times New Roman"/>
                <w:szCs w:val="21"/>
                <w:lang w:val="en-US" w:eastAsia="zh-CN"/>
              </w:rPr>
              <w:t>详见办公室EO8.2条款记录</w:t>
            </w:r>
            <w:r>
              <w:rPr>
                <w:rFonts w:hint="eastAsia" w:ascii="宋体" w:hAnsi="宋体" w:eastAsia="宋体" w:cs="Times New Roman"/>
                <w:szCs w:val="21"/>
                <w:lang w:val="en-US" w:eastAsia="zh-CN"/>
              </w:rPr>
              <w:t>。</w:t>
            </w:r>
          </w:p>
        </w:tc>
        <w:tc>
          <w:tcPr>
            <w:tcW w:w="1585"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89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顾客满意度</w:t>
            </w:r>
          </w:p>
        </w:tc>
        <w:tc>
          <w:tcPr>
            <w:tcW w:w="1225" w:type="dxa"/>
            <w:vAlign w:val="center"/>
          </w:tcPr>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Q9.1.2</w:t>
            </w:r>
          </w:p>
        </w:tc>
        <w:tc>
          <w:tcPr>
            <w:tcW w:w="10004" w:type="dxa"/>
          </w:tcPr>
          <w:p>
            <w:pPr>
              <w:adjustRightInd w:val="0"/>
              <w:snapToGrid w:val="0"/>
              <w:spacing w:line="276" w:lineRule="auto"/>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制定并执行《顾客投诉及满意测量控制程序》，公司通过电话，走访等形式，接受顾客反馈，了解顾客顾客满意度信息，发放“客户满意度调查表”对顾客满意度进行定量测量。</w:t>
            </w:r>
          </w:p>
          <w:p>
            <w:pPr>
              <w:adjustRightInd w:val="0"/>
              <w:snapToGrid w:val="0"/>
              <w:spacing w:line="276" w:lineRule="auto"/>
              <w:rPr>
                <w:rFonts w:hint="eastAsia" w:ascii="宋体" w:hAnsi="宋体" w:eastAsia="宋体" w:cs="Times New Roman"/>
                <w:szCs w:val="21"/>
                <w:lang w:val="en-US" w:eastAsia="zh-CN"/>
              </w:rPr>
            </w:pPr>
            <w:r>
              <w:rPr>
                <w:rFonts w:hint="eastAsia" w:ascii="宋体" w:hAnsi="宋体" w:eastAsia="宋体" w:cs="Times New Roman"/>
                <w:szCs w:val="21"/>
                <w:lang w:val="zh-CN" w:eastAsia="zh-CN"/>
              </w:rPr>
              <w:t>查</w:t>
            </w:r>
            <w:r>
              <w:rPr>
                <w:rFonts w:hint="eastAsia" w:ascii="宋体" w:hAnsi="宋体" w:eastAsia="宋体" w:cs="Times New Roman"/>
                <w:szCs w:val="21"/>
                <w:lang w:val="en-US" w:eastAsia="zh-CN"/>
              </w:rPr>
              <w:t>2021年12月28日进行了顾客满意度测量工作，</w:t>
            </w:r>
            <w:r>
              <w:rPr>
                <w:rFonts w:hint="eastAsia" w:ascii="宋体" w:hAnsi="宋体" w:eastAsia="宋体" w:cs="Times New Roman"/>
                <w:szCs w:val="21"/>
                <w:lang w:val="zh-CN" w:eastAsia="zh-CN"/>
              </w:rPr>
              <w:t>提供“客户满意度调查表”</w:t>
            </w:r>
            <w:r>
              <w:rPr>
                <w:rFonts w:hint="eastAsia" w:ascii="宋体" w:hAnsi="宋体" w:eastAsia="宋体" w:cs="Times New Roman"/>
                <w:szCs w:val="21"/>
                <w:lang w:val="en-US" w:eastAsia="zh-CN"/>
              </w:rPr>
              <w:t>4份</w:t>
            </w:r>
            <w:r>
              <w:rPr>
                <w:rFonts w:hint="eastAsia" w:ascii="宋体" w:hAnsi="宋体" w:eastAsia="宋体" w:cs="Times New Roman"/>
                <w:szCs w:val="21"/>
                <w:lang w:val="zh-CN" w:eastAsia="zh-CN"/>
              </w:rPr>
              <w:t>，调查主要内容：</w:t>
            </w:r>
            <w:r>
              <w:rPr>
                <w:rFonts w:hint="eastAsia" w:ascii="宋体" w:hAnsi="宋体" w:eastAsia="宋体" w:cs="Times New Roman"/>
                <w:szCs w:val="21"/>
                <w:lang w:val="en-US" w:eastAsia="zh-CN"/>
              </w:rPr>
              <w:t>产品质量稳定性，产品外观，产品性能，交付时间与数量的准确性，性价比，投诉处理速度，投诉处理效果，对本公司工作人员满意度</w:t>
            </w:r>
            <w:r>
              <w:rPr>
                <w:rFonts w:hint="eastAsia" w:ascii="宋体" w:hAnsi="宋体" w:eastAsia="宋体" w:cs="Times New Roman"/>
                <w:szCs w:val="21"/>
                <w:lang w:val="zh-CN" w:eastAsia="zh-CN"/>
              </w:rPr>
              <w:t>等十几个方面，</w:t>
            </w:r>
            <w:r>
              <w:rPr>
                <w:rFonts w:hint="eastAsia" w:ascii="宋体" w:hAnsi="宋体" w:eastAsia="宋体" w:cs="Times New Roman"/>
                <w:szCs w:val="21"/>
                <w:lang w:val="en-US" w:eastAsia="zh-CN"/>
              </w:rPr>
              <w:t>各项得分求平均值得最终结果</w:t>
            </w:r>
            <w:r>
              <w:rPr>
                <w:rFonts w:hint="eastAsia" w:ascii="宋体" w:hAnsi="宋体" w:eastAsia="宋体" w:cs="Times New Roman"/>
                <w:szCs w:val="21"/>
                <w:lang w:val="zh-CN" w:eastAsia="zh-CN"/>
              </w:rPr>
              <w:t>。满意度调查进行了汇总，提供了《客户满意度分析统计表》，客户满意度最终得分</w:t>
            </w:r>
            <w:r>
              <w:rPr>
                <w:rFonts w:hint="eastAsia" w:ascii="宋体" w:hAnsi="宋体" w:eastAsia="宋体" w:cs="Times New Roman"/>
                <w:szCs w:val="21"/>
                <w:lang w:val="en-US" w:eastAsia="zh-CN"/>
              </w:rPr>
              <w:t>99分</w:t>
            </w:r>
            <w:r>
              <w:rPr>
                <w:rFonts w:hint="eastAsia" w:ascii="宋体" w:hAnsi="宋体" w:eastAsia="宋体" w:cs="Times New Roman"/>
                <w:szCs w:val="21"/>
                <w:lang w:val="zh-CN" w:eastAsia="zh-CN"/>
              </w:rPr>
              <w:t>。</w:t>
            </w:r>
            <w:r>
              <w:rPr>
                <w:rFonts w:hint="eastAsia" w:ascii="宋体" w:hAnsi="宋体" w:eastAsia="宋体" w:cs="Times New Roman"/>
                <w:szCs w:val="21"/>
                <w:lang w:val="en-US" w:eastAsia="zh-CN"/>
              </w:rPr>
              <w:t>该结果已提交管理评审。</w:t>
            </w:r>
          </w:p>
        </w:tc>
        <w:tc>
          <w:tcPr>
            <w:tcW w:w="1585" w:type="dxa"/>
          </w:tcPr>
          <w:p>
            <w:pPr>
              <w:adjustRightInd w:val="0"/>
              <w:snapToGrid w:val="0"/>
              <w:spacing w:line="276"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Y</w:t>
            </w:r>
          </w:p>
        </w:tc>
      </w:tr>
    </w:tbl>
    <w:p>
      <w:pPr>
        <w:rPr>
          <w:rFonts w:hint="eastAsia" w:ascii="Times New Roman" w:hAnsi="Times New Roman" w:eastAsia="宋体" w:cs="Times New Roman"/>
          <w:bCs w:val="0"/>
          <w:spacing w:val="0"/>
          <w:kern w:val="2"/>
          <w:sz w:val="24"/>
          <w:szCs w:val="24"/>
          <w:lang w:val="en-US" w:eastAsia="zh-CN" w:bidi="ar-SA"/>
        </w:rPr>
      </w:pPr>
    </w:p>
    <w:p>
      <w:pPr>
        <w:pStyle w:val="8"/>
        <w:rPr>
          <w:rFonts w:hint="eastAsia"/>
        </w:rPr>
      </w:pPr>
      <w:r>
        <w:rPr>
          <w:rFonts w:hint="eastAsia"/>
          <w:lang w:eastAsia="zh-CN"/>
        </w:rPr>
        <w:t>注：不符合标注“</w:t>
      </w:r>
      <w:r>
        <w:rPr>
          <w:rFonts w:hint="eastAsia"/>
          <w:lang w:val="en-US" w:eastAsia="zh-CN"/>
        </w:rPr>
        <w:t>N</w:t>
      </w:r>
      <w:r>
        <w:rPr>
          <w:rFonts w:hint="eastAsia"/>
          <w:lang w:eastAsia="zh-CN"/>
        </w:rPr>
        <w:t>”</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381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9"/>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MmNiNTA4Y2RiYTNkMzhmODU1Yjg5OTYxMzY5NzMifQ=="/>
  </w:docVars>
  <w:rsids>
    <w:rsidRoot w:val="00000000"/>
    <w:rsid w:val="001F1D2C"/>
    <w:rsid w:val="005714C6"/>
    <w:rsid w:val="00E54D24"/>
    <w:rsid w:val="011078C7"/>
    <w:rsid w:val="013E61E2"/>
    <w:rsid w:val="018362EB"/>
    <w:rsid w:val="01B25E8C"/>
    <w:rsid w:val="01D11448"/>
    <w:rsid w:val="022E31E6"/>
    <w:rsid w:val="0233386D"/>
    <w:rsid w:val="02445A7A"/>
    <w:rsid w:val="025B2DC4"/>
    <w:rsid w:val="0261662C"/>
    <w:rsid w:val="028D1F0F"/>
    <w:rsid w:val="02E35293"/>
    <w:rsid w:val="032000D3"/>
    <w:rsid w:val="03367AB9"/>
    <w:rsid w:val="03A013D6"/>
    <w:rsid w:val="03C54999"/>
    <w:rsid w:val="03E65F01"/>
    <w:rsid w:val="0416753B"/>
    <w:rsid w:val="04333FF8"/>
    <w:rsid w:val="053472A6"/>
    <w:rsid w:val="056401E1"/>
    <w:rsid w:val="05C375FE"/>
    <w:rsid w:val="05DD06BF"/>
    <w:rsid w:val="0607573C"/>
    <w:rsid w:val="060F639F"/>
    <w:rsid w:val="06420522"/>
    <w:rsid w:val="06E810D0"/>
    <w:rsid w:val="07103A46"/>
    <w:rsid w:val="071D5765"/>
    <w:rsid w:val="07A656A9"/>
    <w:rsid w:val="07C66F31"/>
    <w:rsid w:val="08513A4A"/>
    <w:rsid w:val="085F70C6"/>
    <w:rsid w:val="087D5842"/>
    <w:rsid w:val="08D15069"/>
    <w:rsid w:val="092A7093"/>
    <w:rsid w:val="096E7880"/>
    <w:rsid w:val="09EC5038"/>
    <w:rsid w:val="09ED2377"/>
    <w:rsid w:val="09F204B1"/>
    <w:rsid w:val="0A5E78F5"/>
    <w:rsid w:val="0AC77248"/>
    <w:rsid w:val="0AD96F7B"/>
    <w:rsid w:val="0B112BB9"/>
    <w:rsid w:val="0B2C17A1"/>
    <w:rsid w:val="0B446AEB"/>
    <w:rsid w:val="0B6131F9"/>
    <w:rsid w:val="0B71273B"/>
    <w:rsid w:val="0B7373D0"/>
    <w:rsid w:val="0C8319A6"/>
    <w:rsid w:val="0C85560D"/>
    <w:rsid w:val="0CAA5073"/>
    <w:rsid w:val="0CEC1C98"/>
    <w:rsid w:val="0D026C5D"/>
    <w:rsid w:val="0D352B8F"/>
    <w:rsid w:val="0D38442D"/>
    <w:rsid w:val="0DC363ED"/>
    <w:rsid w:val="0DEB76F2"/>
    <w:rsid w:val="0E8B182E"/>
    <w:rsid w:val="0E9C09EC"/>
    <w:rsid w:val="0E9E29B6"/>
    <w:rsid w:val="0EAC1011"/>
    <w:rsid w:val="0ED63EFE"/>
    <w:rsid w:val="0F364782"/>
    <w:rsid w:val="0F713C26"/>
    <w:rsid w:val="0FBA3760"/>
    <w:rsid w:val="0FF24D67"/>
    <w:rsid w:val="0FFD54BA"/>
    <w:rsid w:val="1070092E"/>
    <w:rsid w:val="11052B5A"/>
    <w:rsid w:val="11063C09"/>
    <w:rsid w:val="1122167C"/>
    <w:rsid w:val="115832F0"/>
    <w:rsid w:val="117614BA"/>
    <w:rsid w:val="11D05FB9"/>
    <w:rsid w:val="121E0096"/>
    <w:rsid w:val="126F08F1"/>
    <w:rsid w:val="12B55D3A"/>
    <w:rsid w:val="12E76701"/>
    <w:rsid w:val="12F554FB"/>
    <w:rsid w:val="1424261C"/>
    <w:rsid w:val="14DC2CD6"/>
    <w:rsid w:val="15086DDB"/>
    <w:rsid w:val="157D1577"/>
    <w:rsid w:val="15923292"/>
    <w:rsid w:val="15AF7257"/>
    <w:rsid w:val="168801D3"/>
    <w:rsid w:val="16BF34C9"/>
    <w:rsid w:val="16D36F75"/>
    <w:rsid w:val="16F13135"/>
    <w:rsid w:val="1787048B"/>
    <w:rsid w:val="17BF60B6"/>
    <w:rsid w:val="17D5451B"/>
    <w:rsid w:val="17E717E0"/>
    <w:rsid w:val="180C1F5F"/>
    <w:rsid w:val="18196493"/>
    <w:rsid w:val="182B350C"/>
    <w:rsid w:val="183323C1"/>
    <w:rsid w:val="185F79E5"/>
    <w:rsid w:val="18C96881"/>
    <w:rsid w:val="18ED2570"/>
    <w:rsid w:val="19EB72A2"/>
    <w:rsid w:val="19FD1CEF"/>
    <w:rsid w:val="1A1F513E"/>
    <w:rsid w:val="1A4563DB"/>
    <w:rsid w:val="1A8635C8"/>
    <w:rsid w:val="1A9609E5"/>
    <w:rsid w:val="1B4641B9"/>
    <w:rsid w:val="1BCA6B98"/>
    <w:rsid w:val="1BDE2525"/>
    <w:rsid w:val="1BE0460E"/>
    <w:rsid w:val="1BEA0FE8"/>
    <w:rsid w:val="1C5172BA"/>
    <w:rsid w:val="1C7F7E13"/>
    <w:rsid w:val="1CB17D58"/>
    <w:rsid w:val="1CEC0D90"/>
    <w:rsid w:val="1D8F1E47"/>
    <w:rsid w:val="1DB25B36"/>
    <w:rsid w:val="1DC51585"/>
    <w:rsid w:val="1DF779ED"/>
    <w:rsid w:val="1DFE521F"/>
    <w:rsid w:val="1E890F8D"/>
    <w:rsid w:val="1EF81C6E"/>
    <w:rsid w:val="1F136AA8"/>
    <w:rsid w:val="1F1F71FB"/>
    <w:rsid w:val="1F740D38"/>
    <w:rsid w:val="1FBE6A14"/>
    <w:rsid w:val="205F63D2"/>
    <w:rsid w:val="20C242E2"/>
    <w:rsid w:val="20F46465"/>
    <w:rsid w:val="21661111"/>
    <w:rsid w:val="21947BAF"/>
    <w:rsid w:val="219519F6"/>
    <w:rsid w:val="21AF0DFB"/>
    <w:rsid w:val="21CF4F08"/>
    <w:rsid w:val="222F1E4B"/>
    <w:rsid w:val="226D55B8"/>
    <w:rsid w:val="228D5F39"/>
    <w:rsid w:val="22BF6717"/>
    <w:rsid w:val="2302130E"/>
    <w:rsid w:val="23231A73"/>
    <w:rsid w:val="234C2589"/>
    <w:rsid w:val="237017BB"/>
    <w:rsid w:val="238D507B"/>
    <w:rsid w:val="23D700A4"/>
    <w:rsid w:val="24207C9D"/>
    <w:rsid w:val="24656C1B"/>
    <w:rsid w:val="24703E03"/>
    <w:rsid w:val="247E2C16"/>
    <w:rsid w:val="249266C1"/>
    <w:rsid w:val="24D12D46"/>
    <w:rsid w:val="24FD1D8D"/>
    <w:rsid w:val="250336C8"/>
    <w:rsid w:val="251C7F7B"/>
    <w:rsid w:val="253432D4"/>
    <w:rsid w:val="25AA523A"/>
    <w:rsid w:val="25D1142C"/>
    <w:rsid w:val="25F81E87"/>
    <w:rsid w:val="261F20D3"/>
    <w:rsid w:val="26792A64"/>
    <w:rsid w:val="26CB1A16"/>
    <w:rsid w:val="277976C4"/>
    <w:rsid w:val="27D05536"/>
    <w:rsid w:val="27D112AE"/>
    <w:rsid w:val="28170541"/>
    <w:rsid w:val="28706D19"/>
    <w:rsid w:val="28A80261"/>
    <w:rsid w:val="28E74AAC"/>
    <w:rsid w:val="292F265F"/>
    <w:rsid w:val="294C5091"/>
    <w:rsid w:val="2A0B4F4C"/>
    <w:rsid w:val="2A1D74B6"/>
    <w:rsid w:val="2A685EFA"/>
    <w:rsid w:val="2A9156A2"/>
    <w:rsid w:val="2A9A1E2C"/>
    <w:rsid w:val="2AA040BA"/>
    <w:rsid w:val="2ACB46DB"/>
    <w:rsid w:val="2B801021"/>
    <w:rsid w:val="2C2A302A"/>
    <w:rsid w:val="2C4209CD"/>
    <w:rsid w:val="2C70553A"/>
    <w:rsid w:val="2C772424"/>
    <w:rsid w:val="2D294951"/>
    <w:rsid w:val="2D7D2598"/>
    <w:rsid w:val="2D8A262B"/>
    <w:rsid w:val="2DA60AE7"/>
    <w:rsid w:val="2E2C723F"/>
    <w:rsid w:val="2E4E18AB"/>
    <w:rsid w:val="2EC13E2B"/>
    <w:rsid w:val="2EF82EA4"/>
    <w:rsid w:val="2F805A94"/>
    <w:rsid w:val="2FC75471"/>
    <w:rsid w:val="2FD7142C"/>
    <w:rsid w:val="2FD858D0"/>
    <w:rsid w:val="30087837"/>
    <w:rsid w:val="30246C81"/>
    <w:rsid w:val="30D37E45"/>
    <w:rsid w:val="30F1651D"/>
    <w:rsid w:val="3103697D"/>
    <w:rsid w:val="31353B3B"/>
    <w:rsid w:val="31C205E6"/>
    <w:rsid w:val="323D71D6"/>
    <w:rsid w:val="32A72670"/>
    <w:rsid w:val="32A74481"/>
    <w:rsid w:val="32D85BE7"/>
    <w:rsid w:val="336D632F"/>
    <w:rsid w:val="33CC5F8E"/>
    <w:rsid w:val="33CD3272"/>
    <w:rsid w:val="33FB1B8D"/>
    <w:rsid w:val="340C5B48"/>
    <w:rsid w:val="34AE1803"/>
    <w:rsid w:val="34B9286C"/>
    <w:rsid w:val="34CE72A2"/>
    <w:rsid w:val="34E16FD5"/>
    <w:rsid w:val="34F565DC"/>
    <w:rsid w:val="35156C7E"/>
    <w:rsid w:val="35B46497"/>
    <w:rsid w:val="35FB40C6"/>
    <w:rsid w:val="365B1201"/>
    <w:rsid w:val="367D0F7F"/>
    <w:rsid w:val="36AB40E2"/>
    <w:rsid w:val="36EC6E3D"/>
    <w:rsid w:val="36F646A5"/>
    <w:rsid w:val="36FB00F6"/>
    <w:rsid w:val="373D426B"/>
    <w:rsid w:val="373D42AF"/>
    <w:rsid w:val="37411FAD"/>
    <w:rsid w:val="37865C12"/>
    <w:rsid w:val="379522F8"/>
    <w:rsid w:val="37991DE9"/>
    <w:rsid w:val="37AB74C2"/>
    <w:rsid w:val="37F742DF"/>
    <w:rsid w:val="3814321D"/>
    <w:rsid w:val="386D0B7F"/>
    <w:rsid w:val="38807E5C"/>
    <w:rsid w:val="388F4AC7"/>
    <w:rsid w:val="38E36B3A"/>
    <w:rsid w:val="391334D5"/>
    <w:rsid w:val="39202096"/>
    <w:rsid w:val="396957EB"/>
    <w:rsid w:val="39A14F85"/>
    <w:rsid w:val="39FD5F33"/>
    <w:rsid w:val="3A015A23"/>
    <w:rsid w:val="3A271A13"/>
    <w:rsid w:val="3A2C579E"/>
    <w:rsid w:val="3A2D5EA0"/>
    <w:rsid w:val="3A52002D"/>
    <w:rsid w:val="3A56723A"/>
    <w:rsid w:val="3AAF64A1"/>
    <w:rsid w:val="3B1E3282"/>
    <w:rsid w:val="3B334302"/>
    <w:rsid w:val="3B7641EF"/>
    <w:rsid w:val="3BB371F1"/>
    <w:rsid w:val="3BCE7B87"/>
    <w:rsid w:val="3C147E29"/>
    <w:rsid w:val="3C3D6ABB"/>
    <w:rsid w:val="3C5E51C3"/>
    <w:rsid w:val="3C7921E9"/>
    <w:rsid w:val="3CB40EF3"/>
    <w:rsid w:val="3D42082D"/>
    <w:rsid w:val="3D7B789B"/>
    <w:rsid w:val="3DC21146"/>
    <w:rsid w:val="3DD1570D"/>
    <w:rsid w:val="3DFA6FA5"/>
    <w:rsid w:val="3E66679D"/>
    <w:rsid w:val="3EAF2D25"/>
    <w:rsid w:val="3EE71B56"/>
    <w:rsid w:val="3EF67B21"/>
    <w:rsid w:val="3F0D6C18"/>
    <w:rsid w:val="3F3B5533"/>
    <w:rsid w:val="3FBD063E"/>
    <w:rsid w:val="41016D79"/>
    <w:rsid w:val="412F7925"/>
    <w:rsid w:val="41382B0D"/>
    <w:rsid w:val="41463C47"/>
    <w:rsid w:val="417411D1"/>
    <w:rsid w:val="418A27A2"/>
    <w:rsid w:val="421B33FA"/>
    <w:rsid w:val="42415ACC"/>
    <w:rsid w:val="42507548"/>
    <w:rsid w:val="4296435D"/>
    <w:rsid w:val="42A54C0C"/>
    <w:rsid w:val="42CD1E63"/>
    <w:rsid w:val="43217A80"/>
    <w:rsid w:val="436D293E"/>
    <w:rsid w:val="43CA280D"/>
    <w:rsid w:val="43D917BF"/>
    <w:rsid w:val="44316F05"/>
    <w:rsid w:val="445552E9"/>
    <w:rsid w:val="4461660D"/>
    <w:rsid w:val="44C14DFA"/>
    <w:rsid w:val="45252F0E"/>
    <w:rsid w:val="45533F2D"/>
    <w:rsid w:val="457F63EC"/>
    <w:rsid w:val="45AC718B"/>
    <w:rsid w:val="45B24076"/>
    <w:rsid w:val="45BC2AC4"/>
    <w:rsid w:val="45C73FC5"/>
    <w:rsid w:val="45F51402"/>
    <w:rsid w:val="45F6387B"/>
    <w:rsid w:val="4674757D"/>
    <w:rsid w:val="47044DA5"/>
    <w:rsid w:val="47061B43"/>
    <w:rsid w:val="473B58A4"/>
    <w:rsid w:val="480A3EF4"/>
    <w:rsid w:val="480F1EC9"/>
    <w:rsid w:val="48141018"/>
    <w:rsid w:val="486B6EDA"/>
    <w:rsid w:val="486D24D6"/>
    <w:rsid w:val="489939B2"/>
    <w:rsid w:val="48DF5182"/>
    <w:rsid w:val="498875C7"/>
    <w:rsid w:val="49C354C1"/>
    <w:rsid w:val="49D75781"/>
    <w:rsid w:val="49E54A1A"/>
    <w:rsid w:val="49EA3C1F"/>
    <w:rsid w:val="4A1A3609"/>
    <w:rsid w:val="4A396B13"/>
    <w:rsid w:val="4A4D25BF"/>
    <w:rsid w:val="4A647922"/>
    <w:rsid w:val="4AA246B9"/>
    <w:rsid w:val="4AD0206A"/>
    <w:rsid w:val="4C0F3FD0"/>
    <w:rsid w:val="4C14361A"/>
    <w:rsid w:val="4C7E73A7"/>
    <w:rsid w:val="4C9A69DF"/>
    <w:rsid w:val="4CDB65A8"/>
    <w:rsid w:val="4CFE5DF2"/>
    <w:rsid w:val="4D0E4287"/>
    <w:rsid w:val="4D3C320F"/>
    <w:rsid w:val="4DFA5872"/>
    <w:rsid w:val="4E3272FE"/>
    <w:rsid w:val="4E630603"/>
    <w:rsid w:val="4E8567CB"/>
    <w:rsid w:val="4E99027A"/>
    <w:rsid w:val="4EFB4CDF"/>
    <w:rsid w:val="4FE6773D"/>
    <w:rsid w:val="4FE92D8A"/>
    <w:rsid w:val="507C59AC"/>
    <w:rsid w:val="508D1E06"/>
    <w:rsid w:val="50DD28EE"/>
    <w:rsid w:val="51087240"/>
    <w:rsid w:val="510C31D4"/>
    <w:rsid w:val="514209A3"/>
    <w:rsid w:val="515A3FCC"/>
    <w:rsid w:val="519A6FAF"/>
    <w:rsid w:val="51CD5E78"/>
    <w:rsid w:val="52097713"/>
    <w:rsid w:val="525A3ACB"/>
    <w:rsid w:val="526F5A52"/>
    <w:rsid w:val="529D0C02"/>
    <w:rsid w:val="52D675F5"/>
    <w:rsid w:val="52F537F4"/>
    <w:rsid w:val="535B5D4C"/>
    <w:rsid w:val="53846D14"/>
    <w:rsid w:val="538F3C48"/>
    <w:rsid w:val="53B84F4D"/>
    <w:rsid w:val="545C7FCE"/>
    <w:rsid w:val="54AA19D8"/>
    <w:rsid w:val="54CE3AA7"/>
    <w:rsid w:val="54F2189F"/>
    <w:rsid w:val="55CD2D3D"/>
    <w:rsid w:val="55E02539"/>
    <w:rsid w:val="55E55977"/>
    <w:rsid w:val="56243ACD"/>
    <w:rsid w:val="56B714EC"/>
    <w:rsid w:val="56D95B7F"/>
    <w:rsid w:val="57212E09"/>
    <w:rsid w:val="572528F9"/>
    <w:rsid w:val="57684EDC"/>
    <w:rsid w:val="57B675EE"/>
    <w:rsid w:val="57F55B48"/>
    <w:rsid w:val="583C23E5"/>
    <w:rsid w:val="585F3F28"/>
    <w:rsid w:val="5895585D"/>
    <w:rsid w:val="58B6732D"/>
    <w:rsid w:val="58D2260D"/>
    <w:rsid w:val="58F46A27"/>
    <w:rsid w:val="591075D9"/>
    <w:rsid w:val="59407EBE"/>
    <w:rsid w:val="5A074538"/>
    <w:rsid w:val="5A3E4514"/>
    <w:rsid w:val="5A64198B"/>
    <w:rsid w:val="5A930319"/>
    <w:rsid w:val="5AB75F5E"/>
    <w:rsid w:val="5B7756EE"/>
    <w:rsid w:val="5BCA586A"/>
    <w:rsid w:val="5BE82147"/>
    <w:rsid w:val="5BEB53B8"/>
    <w:rsid w:val="5BF3746A"/>
    <w:rsid w:val="5C515CA6"/>
    <w:rsid w:val="5C71038F"/>
    <w:rsid w:val="5CA40764"/>
    <w:rsid w:val="5CAD7D38"/>
    <w:rsid w:val="5D6C2870"/>
    <w:rsid w:val="5D6F2B20"/>
    <w:rsid w:val="5DAA1DAA"/>
    <w:rsid w:val="5DCA7D57"/>
    <w:rsid w:val="5DEA7F80"/>
    <w:rsid w:val="5E062D59"/>
    <w:rsid w:val="5E535813"/>
    <w:rsid w:val="5E8C7702"/>
    <w:rsid w:val="5E912F6A"/>
    <w:rsid w:val="5EBD3D5F"/>
    <w:rsid w:val="5EE10C91"/>
    <w:rsid w:val="5F6F0083"/>
    <w:rsid w:val="5F906D7E"/>
    <w:rsid w:val="60553502"/>
    <w:rsid w:val="60732927"/>
    <w:rsid w:val="607A3D8D"/>
    <w:rsid w:val="60912DAE"/>
    <w:rsid w:val="60AD1DFC"/>
    <w:rsid w:val="60D6228D"/>
    <w:rsid w:val="60F56A97"/>
    <w:rsid w:val="61204131"/>
    <w:rsid w:val="615C160D"/>
    <w:rsid w:val="618C33ED"/>
    <w:rsid w:val="61A42FB4"/>
    <w:rsid w:val="626F711E"/>
    <w:rsid w:val="630E06E5"/>
    <w:rsid w:val="633769A9"/>
    <w:rsid w:val="63520F1A"/>
    <w:rsid w:val="635D069E"/>
    <w:rsid w:val="637B48FF"/>
    <w:rsid w:val="63843A67"/>
    <w:rsid w:val="63E94CAF"/>
    <w:rsid w:val="640F1388"/>
    <w:rsid w:val="641E6E0A"/>
    <w:rsid w:val="64393E88"/>
    <w:rsid w:val="644C3C0E"/>
    <w:rsid w:val="6485002B"/>
    <w:rsid w:val="649E3CEB"/>
    <w:rsid w:val="64AF7CA6"/>
    <w:rsid w:val="64BA3F18"/>
    <w:rsid w:val="652F7039"/>
    <w:rsid w:val="65856C59"/>
    <w:rsid w:val="65956E9C"/>
    <w:rsid w:val="65D11E9E"/>
    <w:rsid w:val="66285F62"/>
    <w:rsid w:val="663A7A43"/>
    <w:rsid w:val="665A078F"/>
    <w:rsid w:val="66666A8A"/>
    <w:rsid w:val="666735ED"/>
    <w:rsid w:val="670E33AA"/>
    <w:rsid w:val="67786A75"/>
    <w:rsid w:val="680F6B7F"/>
    <w:rsid w:val="681A5D7E"/>
    <w:rsid w:val="68264723"/>
    <w:rsid w:val="683F57E5"/>
    <w:rsid w:val="688F22C8"/>
    <w:rsid w:val="68F774D8"/>
    <w:rsid w:val="691E5BA6"/>
    <w:rsid w:val="69277AD1"/>
    <w:rsid w:val="695D23C7"/>
    <w:rsid w:val="69992CD3"/>
    <w:rsid w:val="69AB1384"/>
    <w:rsid w:val="69C53AC8"/>
    <w:rsid w:val="69C9180A"/>
    <w:rsid w:val="6A2829D5"/>
    <w:rsid w:val="6AD246EE"/>
    <w:rsid w:val="6AE85CC0"/>
    <w:rsid w:val="6B0A20DA"/>
    <w:rsid w:val="6B301415"/>
    <w:rsid w:val="6B5B46E4"/>
    <w:rsid w:val="6B9136FA"/>
    <w:rsid w:val="6BDF70C3"/>
    <w:rsid w:val="6BEF1186"/>
    <w:rsid w:val="6BF574DE"/>
    <w:rsid w:val="6C3D4C22"/>
    <w:rsid w:val="6C8726F7"/>
    <w:rsid w:val="6C8D26AC"/>
    <w:rsid w:val="6CCF5389"/>
    <w:rsid w:val="6D0D7DE6"/>
    <w:rsid w:val="6D592EA5"/>
    <w:rsid w:val="6D921C73"/>
    <w:rsid w:val="6DCA1A0F"/>
    <w:rsid w:val="6DCE3893"/>
    <w:rsid w:val="6E494CC8"/>
    <w:rsid w:val="6E5555DC"/>
    <w:rsid w:val="6EB505AF"/>
    <w:rsid w:val="6F3E67F6"/>
    <w:rsid w:val="6F5979D7"/>
    <w:rsid w:val="6F871F4B"/>
    <w:rsid w:val="6FA84376"/>
    <w:rsid w:val="70087110"/>
    <w:rsid w:val="70877D29"/>
    <w:rsid w:val="70903082"/>
    <w:rsid w:val="70D17DAD"/>
    <w:rsid w:val="71070737"/>
    <w:rsid w:val="710E3FA6"/>
    <w:rsid w:val="713752AB"/>
    <w:rsid w:val="716D5171"/>
    <w:rsid w:val="71A0360A"/>
    <w:rsid w:val="71AF7537"/>
    <w:rsid w:val="71CF3736"/>
    <w:rsid w:val="71DE606F"/>
    <w:rsid w:val="72DE0805"/>
    <w:rsid w:val="735071F1"/>
    <w:rsid w:val="73702CF6"/>
    <w:rsid w:val="74324450"/>
    <w:rsid w:val="74CE5F27"/>
    <w:rsid w:val="754129C7"/>
    <w:rsid w:val="75610B49"/>
    <w:rsid w:val="76275304"/>
    <w:rsid w:val="765B5EE0"/>
    <w:rsid w:val="76901DB2"/>
    <w:rsid w:val="76A01B45"/>
    <w:rsid w:val="76FB1E6F"/>
    <w:rsid w:val="775070C7"/>
    <w:rsid w:val="775F555C"/>
    <w:rsid w:val="78216CB5"/>
    <w:rsid w:val="78250553"/>
    <w:rsid w:val="78283BA0"/>
    <w:rsid w:val="785250C1"/>
    <w:rsid w:val="78570929"/>
    <w:rsid w:val="78882890"/>
    <w:rsid w:val="78911745"/>
    <w:rsid w:val="789D7B19"/>
    <w:rsid w:val="78E57CE3"/>
    <w:rsid w:val="78EB3317"/>
    <w:rsid w:val="79254583"/>
    <w:rsid w:val="792C3B64"/>
    <w:rsid w:val="7936053E"/>
    <w:rsid w:val="793D367B"/>
    <w:rsid w:val="79D33FDF"/>
    <w:rsid w:val="79F0693F"/>
    <w:rsid w:val="79FF06C1"/>
    <w:rsid w:val="7A186697"/>
    <w:rsid w:val="7A1F0FD2"/>
    <w:rsid w:val="7A2931E5"/>
    <w:rsid w:val="7A6C60B4"/>
    <w:rsid w:val="7A9B4AFD"/>
    <w:rsid w:val="7AA8546C"/>
    <w:rsid w:val="7AEC0927"/>
    <w:rsid w:val="7B7F61CD"/>
    <w:rsid w:val="7B931C78"/>
    <w:rsid w:val="7BDD535C"/>
    <w:rsid w:val="7BF344C5"/>
    <w:rsid w:val="7C0861C2"/>
    <w:rsid w:val="7CA659DB"/>
    <w:rsid w:val="7CAA2823"/>
    <w:rsid w:val="7CC16371"/>
    <w:rsid w:val="7CDE6F23"/>
    <w:rsid w:val="7CEA105F"/>
    <w:rsid w:val="7CF46746"/>
    <w:rsid w:val="7D8A0E59"/>
    <w:rsid w:val="7DAE00ED"/>
    <w:rsid w:val="7DBA7990"/>
    <w:rsid w:val="7DE7443E"/>
    <w:rsid w:val="7E0E1A8A"/>
    <w:rsid w:val="7E3C2153"/>
    <w:rsid w:val="7E3F39F1"/>
    <w:rsid w:val="7E555ACA"/>
    <w:rsid w:val="7ECE4181"/>
    <w:rsid w:val="7EFC3D40"/>
    <w:rsid w:val="7F1F3593"/>
    <w:rsid w:val="7F9935D5"/>
    <w:rsid w:val="7F9E4FC7"/>
    <w:rsid w:val="7FC0534C"/>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1"/>
    <w:pPr>
      <w:spacing w:before="14"/>
      <w:outlineLvl w:val="1"/>
    </w:pPr>
    <w:rPr>
      <w:rFonts w:ascii="宋体" w:hAnsi="宋体" w:eastAsia="宋体"/>
      <w:b/>
      <w:bCs/>
      <w:sz w:val="28"/>
      <w:szCs w:val="28"/>
    </w:rPr>
  </w:style>
  <w:style w:type="paragraph" w:styleId="4">
    <w:name w:val="heading 4"/>
    <w:basedOn w:val="1"/>
    <w:next w:val="5"/>
    <w:qFormat/>
    <w:uiPriority w:val="0"/>
    <w:pPr>
      <w:keepNext/>
      <w:widowControl/>
      <w:jc w:val="center"/>
      <w:outlineLvl w:val="3"/>
    </w:pPr>
    <w:rPr>
      <w:rFonts w:ascii="Arial Black" w:hAnsi="Arial Black"/>
      <w:kern w:val="0"/>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首行缩进:  2 字符"/>
    <w:basedOn w:val="1"/>
    <w:qFormat/>
    <w:uiPriority w:val="0"/>
    <w:pPr>
      <w:ind w:firstLine="200" w:firstLineChars="200"/>
    </w:pPr>
    <w:rPr>
      <w:rFonts w:cs="宋体"/>
      <w:sz w:val="24"/>
      <w:szCs w:val="20"/>
    </w:rPr>
  </w:style>
  <w:style w:type="paragraph" w:styleId="5">
    <w:name w:val="Normal Indent"/>
    <w:basedOn w:val="1"/>
    <w:next w:val="4"/>
    <w:qFormat/>
    <w:uiPriority w:val="0"/>
    <w:pPr>
      <w:adjustRightInd w:val="0"/>
      <w:spacing w:line="360" w:lineRule="atLeast"/>
      <w:ind w:left="480"/>
      <w:textAlignment w:val="baseline"/>
    </w:pPr>
    <w:rPr>
      <w:kern w:val="0"/>
    </w:rPr>
  </w:style>
  <w:style w:type="paragraph" w:styleId="6">
    <w:name w:val="Body Text"/>
    <w:basedOn w:val="1"/>
    <w:qFormat/>
    <w:uiPriority w:val="0"/>
    <w:pPr>
      <w:spacing w:after="120"/>
    </w:pPr>
    <w:rPr>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lang w:val="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338DE6"/>
      <w:u w:val="none"/>
    </w:rPr>
  </w:style>
  <w:style w:type="paragraph" w:customStyle="1" w:styleId="15">
    <w:name w:val="表格文字"/>
    <w:basedOn w:val="1"/>
    <w:qFormat/>
    <w:uiPriority w:val="0"/>
    <w:pPr>
      <w:spacing w:before="25" w:after="25"/>
    </w:pPr>
    <w:rPr>
      <w:bCs/>
      <w:spacing w:val="10"/>
    </w:rPr>
  </w:style>
  <w:style w:type="character" w:customStyle="1" w:styleId="16">
    <w:name w:val="页眉 Char"/>
    <w:basedOn w:val="13"/>
    <w:link w:val="9"/>
    <w:qFormat/>
    <w:uiPriority w:val="99"/>
    <w:rPr>
      <w:rFonts w:ascii="Times New Roman" w:hAnsi="Times New Roman" w:eastAsia="宋体" w:cs="Times New Roman"/>
      <w:sz w:val="18"/>
      <w:szCs w:val="18"/>
    </w:rPr>
  </w:style>
  <w:style w:type="character" w:customStyle="1" w:styleId="17">
    <w:name w:val="页脚 Char"/>
    <w:basedOn w:val="13"/>
    <w:link w:val="8"/>
    <w:qFormat/>
    <w:uiPriority w:val="99"/>
    <w:rPr>
      <w:rFonts w:ascii="Times New Roman" w:hAnsi="Times New Roman" w:eastAsia="宋体" w:cs="Times New Roman"/>
      <w:sz w:val="18"/>
      <w:szCs w:val="18"/>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11020</Words>
  <Characters>11761</Characters>
  <Lines>1</Lines>
  <Paragraphs>1</Paragraphs>
  <TotalTime>1</TotalTime>
  <ScaleCrop>false</ScaleCrop>
  <LinksUpToDate>false</LinksUpToDate>
  <CharactersWithSpaces>12335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2022-06-20T10:03:36Z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2052-11.1.0.11753</vt:lpwstr>
  </property>
</Properties>
</file>