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0717-2022-Q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重庆合韵物业管理有限公司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重庆合韵物业管理有限公司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重庆市渝中区临江支路30号9-12号</w:t>
            </w:r>
            <w:bookmarkEnd w:id="6"/>
          </w:p>
        </w:tc>
        <w:tc>
          <w:tcPr>
            <w:tcW w:w="1242" w:type="dxa"/>
            <w:vMerge w:val="restart"/>
            <w:vAlign w:val="center"/>
          </w:tcPr>
          <w:p>
            <w:r>
              <w:rPr>
                <w:rFonts w:hint="eastAsia"/>
              </w:rPr>
              <w:t>邮编</w:t>
            </w:r>
          </w:p>
        </w:tc>
        <w:tc>
          <w:tcPr>
            <w:tcW w:w="1771" w:type="dxa"/>
          </w:tcPr>
          <w:p>
            <w:bookmarkStart w:id="7" w:name="注册邮编"/>
            <w:r>
              <w:t>400010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重庆市渝北区龙溪街道新牌坊一路136号</w:t>
            </w:r>
            <w:bookmarkEnd w:id="8"/>
          </w:p>
        </w:tc>
        <w:tc>
          <w:tcPr>
            <w:tcW w:w="1242" w:type="dxa"/>
            <w:vMerge w:val="continue"/>
            <w:vAlign w:val="center"/>
          </w:tcPr>
          <w:p/>
        </w:tc>
        <w:tc>
          <w:tcPr>
            <w:tcW w:w="1771" w:type="dxa"/>
          </w:tcPr>
          <w:p>
            <w:bookmarkStart w:id="9" w:name="办公邮编"/>
            <w:r>
              <w:t>401147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杨佐锡</w:t>
            </w:r>
            <w:bookmarkEnd w:id="10"/>
          </w:p>
        </w:tc>
        <w:tc>
          <w:tcPr>
            <w:tcW w:w="1313" w:type="dxa"/>
            <w:vAlign w:val="center"/>
          </w:tcPr>
          <w:p>
            <w:r>
              <w:rPr>
                <w:rFonts w:hint="eastAsia"/>
              </w:rPr>
              <w:t>电话.</w:t>
            </w:r>
          </w:p>
        </w:tc>
        <w:tc>
          <w:tcPr>
            <w:tcW w:w="2180" w:type="dxa"/>
            <w:vAlign w:val="center"/>
          </w:tcPr>
          <w:p>
            <w:bookmarkStart w:id="11" w:name="联系人电话"/>
            <w:r>
              <w:t>023-63139705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吴娅萌</w:t>
            </w:r>
            <w:bookmarkEnd w:id="13"/>
          </w:p>
        </w:tc>
        <w:tc>
          <w:tcPr>
            <w:tcW w:w="1313" w:type="dxa"/>
            <w:vAlign w:val="center"/>
          </w:tcPr>
          <w:p>
            <w:r>
              <w:rPr>
                <w:rFonts w:hint="eastAsia"/>
              </w:rPr>
              <w:t>管理者代表</w:t>
            </w:r>
          </w:p>
        </w:tc>
        <w:tc>
          <w:tcPr>
            <w:tcW w:w="2180" w:type="dxa"/>
          </w:tcPr>
          <w:p>
            <w:bookmarkStart w:id="14" w:name="管理者代表"/>
            <w:r>
              <w:t>杨佐锡</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szCs w:val="21"/>
              </w:rPr>
              <w:t>签订合同——确定物业管理服务区域——安排物业管理服务人员——分配物业管理区域——进行物业管理服务</w:t>
            </w:r>
            <w:r>
              <w:rPr>
                <w:rFonts w:hint="eastAsia" w:ascii="Times New Roman" w:hAnsi="Times New Roman" w:eastAsia="宋体" w:cs="Times New Roman"/>
                <w:szCs w:val="21"/>
                <w:lang w:eastAsia="zh-CN"/>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2022年06月09日 上午至2022年06月09日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重庆市渝北区龙溪街道新牌坊一路136号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物业管理服务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rPr>
              <w:t>年</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46"/>
        <w:gridCol w:w="11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46" w:type="dxa"/>
            <w:shd w:val="clear" w:color="auto" w:fill="F3F3F3"/>
            <w:tcMar>
              <w:left w:w="57" w:type="dxa"/>
              <w:right w:w="57" w:type="dxa"/>
            </w:tcMar>
          </w:tcPr>
          <w:p>
            <w:r>
              <w:rPr>
                <w:rFonts w:hint="eastAsia"/>
              </w:rPr>
              <w:t>审核范围（产品和过程）</w:t>
            </w:r>
          </w:p>
          <w:p/>
          <w:p/>
        </w:tc>
        <w:tc>
          <w:tcPr>
            <w:tcW w:w="11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val="en-US" w:eastAsia="zh-CN"/>
              </w:rPr>
            </w:pPr>
            <w:r>
              <w:rPr>
                <w:sz w:val="21"/>
                <w:szCs w:val="21"/>
              </w:rPr>
              <w:t>重庆合韵物业管理有限公司</w:t>
            </w:r>
            <w:r>
              <w:rPr>
                <w:rFonts w:hint="eastAsia"/>
                <w:sz w:val="21"/>
                <w:szCs w:val="21"/>
                <w:lang w:val="en-US" w:eastAsia="zh-CN"/>
              </w:rPr>
              <w:t>/</w:t>
            </w:r>
            <w:r>
              <w:rPr>
                <w:rFonts w:asciiTheme="minorEastAsia" w:hAnsiTheme="minorEastAsia" w:eastAsiaTheme="minorEastAsia"/>
                <w:sz w:val="20"/>
              </w:rPr>
              <w:t>重庆市渝中区临江支路30号9-12号</w:t>
            </w:r>
          </w:p>
        </w:tc>
        <w:tc>
          <w:tcPr>
            <w:tcW w:w="2267" w:type="dxa"/>
            <w:vAlign w:val="top"/>
          </w:tcPr>
          <w:p>
            <w:pPr>
              <w:rPr>
                <w:lang w:val="de-DE" w:eastAsia="ja-JP"/>
              </w:rPr>
            </w:pPr>
            <w:r>
              <w:rPr>
                <w:rFonts w:asciiTheme="minorEastAsia" w:hAnsiTheme="minorEastAsia" w:eastAsiaTheme="minorEastAsia"/>
                <w:sz w:val="20"/>
              </w:rPr>
              <w:t>重庆市渝北区龙溪街道新牌坊一路136号</w:t>
            </w:r>
            <w:r>
              <w:rPr>
                <w:rFonts w:hint="eastAsia" w:ascii="宋体" w:hAnsi="宋体" w:cs="宋体"/>
                <w:color w:val="000000"/>
                <w:kern w:val="0"/>
                <w:szCs w:val="21"/>
                <w:lang w:val="en-US" w:eastAsia="zh-CN"/>
              </w:rPr>
              <w:t>/</w:t>
            </w:r>
            <w:r>
              <w:rPr>
                <w:rFonts w:asciiTheme="minorEastAsia" w:hAnsiTheme="minorEastAsia" w:eastAsiaTheme="minorEastAsia"/>
                <w:sz w:val="20"/>
              </w:rPr>
              <w:t>重庆市渝北区龙溪街道新牌坊一路136号</w:t>
            </w:r>
          </w:p>
        </w:tc>
        <w:tc>
          <w:tcPr>
            <w:tcW w:w="571" w:type="dxa"/>
            <w:vAlign w:val="center"/>
          </w:tcPr>
          <w:p>
            <w:pPr>
              <w:rPr>
                <w:rFonts w:hint="default"/>
                <w:lang w:val="en-US" w:eastAsia="ja-JP"/>
              </w:rPr>
            </w:pPr>
            <w:r>
              <w:rPr>
                <w:rFonts w:hint="eastAsia"/>
                <w:lang w:val="en-US" w:eastAsia="zh-CN"/>
              </w:rPr>
              <w:t>45</w:t>
            </w:r>
          </w:p>
        </w:tc>
        <w:tc>
          <w:tcPr>
            <w:tcW w:w="2346" w:type="dxa"/>
            <w:vAlign w:val="center"/>
          </w:tcPr>
          <w:p>
            <w:pPr>
              <w:rPr>
                <w:lang w:eastAsia="ja-JP"/>
              </w:rPr>
            </w:pPr>
            <w:r>
              <w:rPr>
                <w:rFonts w:hint="eastAsia"/>
                <w:color w:val="000000"/>
                <w:lang w:val="en-US" w:eastAsia="zh-CN"/>
              </w:rPr>
              <w:t>物业管理服务</w:t>
            </w:r>
          </w:p>
        </w:tc>
        <w:tc>
          <w:tcPr>
            <w:tcW w:w="1126"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46" w:type="dxa"/>
            <w:vAlign w:val="center"/>
          </w:tcPr>
          <w:p>
            <w:pPr>
              <w:rPr>
                <w:lang w:eastAsia="ja-JP"/>
              </w:rPr>
            </w:pPr>
          </w:p>
        </w:tc>
        <w:tc>
          <w:tcPr>
            <w:tcW w:w="11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46" w:type="dxa"/>
            <w:vAlign w:val="center"/>
          </w:tcPr>
          <w:p>
            <w:pPr>
              <w:rPr>
                <w:lang w:eastAsia="ja-JP"/>
              </w:rPr>
            </w:pPr>
          </w:p>
        </w:tc>
        <w:tc>
          <w:tcPr>
            <w:tcW w:w="11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46" w:type="dxa"/>
            <w:vAlign w:val="center"/>
          </w:tcPr>
          <w:p>
            <w:pPr>
              <w:rPr>
                <w:lang w:eastAsia="ja-JP"/>
              </w:rPr>
            </w:pPr>
          </w:p>
        </w:tc>
        <w:tc>
          <w:tcPr>
            <w:tcW w:w="11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46" w:type="dxa"/>
            <w:vAlign w:val="center"/>
          </w:tcPr>
          <w:p>
            <w:pPr>
              <w:rPr>
                <w:lang w:eastAsia="ja-JP"/>
              </w:rPr>
            </w:pPr>
          </w:p>
        </w:tc>
        <w:tc>
          <w:tcPr>
            <w:tcW w:w="1126" w:type="dxa"/>
            <w:vAlign w:val="center"/>
          </w:tcPr>
          <w:p>
            <w:pPr>
              <w:rPr>
                <w:lang w:eastAsia="ja-JP"/>
              </w:rPr>
            </w:pPr>
          </w:p>
        </w:tc>
        <w:tc>
          <w:tcPr>
            <w:tcW w:w="668" w:type="dxa"/>
            <w:shd w:val="clear" w:color="auto" w:fill="FFFFFF"/>
          </w:tcPr>
          <w:p>
            <w:r>
              <w:rPr>
                <w:rFonts w:hint="eastAsia"/>
              </w:rPr>
              <w:t>☐</w:t>
            </w:r>
          </w:p>
        </w:tc>
      </w:tr>
    </w:tbl>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lang w:val="en-US"/>
              </w:rPr>
            </w:pPr>
            <w:r>
              <w:rPr>
                <w:rFonts w:hint="eastAsia"/>
                <w:lang w:val="en-US" w:eastAsia="zh-CN"/>
              </w:rPr>
              <w:t>一阶段审核发现的用于工程维护、保养检测设备（万用表、钳形表），未提供有效检定或校准报告，已开具不符合项报告。需整改。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242570</wp:posOffset>
                  </wp:positionH>
                  <wp:positionV relativeFrom="paragraph">
                    <wp:posOffset>52070</wp:posOffset>
                  </wp:positionV>
                  <wp:extent cx="812800" cy="400050"/>
                  <wp:effectExtent l="0" t="0" r="10160" b="11430"/>
                  <wp:wrapNone/>
                  <wp:docPr id="1"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2022年6月9日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最高管理者制定了文件化的管理体系方针：</w:t>
            </w:r>
            <w:r>
              <w:rPr>
                <w:rFonts w:hint="eastAsia" w:ascii="Times New Roman" w:hAnsi="Times New Roman" w:eastAsia="宋体" w:cs="Times New Roman"/>
                <w:color w:val="000000"/>
                <w:szCs w:val="18"/>
                <w:u w:val="single"/>
              </w:rPr>
              <w:t>科学领先，顾客满意，持续改进，行业领先，质量一流，服务一流</w:t>
            </w:r>
            <w:r>
              <w:rPr>
                <w:rFonts w:hint="eastAsia" w:ascii="Times New Roman" w:hAnsi="Times New Roman" w:eastAsia="宋体" w:cs="Times New Roman"/>
                <w:color w:val="000000"/>
                <w:szCs w:val="18"/>
                <w:u w:val="single"/>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物业管理处部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cs="Times New Roman"/>
                      <w:color w:val="000000"/>
                      <w:szCs w:val="18"/>
                      <w:u w:val="none"/>
                      <w:lang w:val="en-US" w:eastAsia="zh-CN"/>
                    </w:rPr>
                    <w:t>顾客</w:t>
                  </w:r>
                  <w:r>
                    <w:rPr>
                      <w:rFonts w:hint="eastAsia" w:ascii="Times New Roman" w:hAnsi="Times New Roman" w:eastAsia="宋体" w:cs="Times New Roman"/>
                      <w:color w:val="000000"/>
                      <w:szCs w:val="18"/>
                      <w:u w:val="none"/>
                    </w:rPr>
                    <w:t>满意</w:t>
                  </w:r>
                  <w:r>
                    <w:rPr>
                      <w:rFonts w:hint="eastAsia" w:cs="Times New Roman"/>
                      <w:color w:val="000000"/>
                      <w:szCs w:val="18"/>
                      <w:u w:val="none"/>
                      <w:lang w:val="en-US" w:eastAsia="zh-CN"/>
                    </w:rPr>
                    <w:t>率</w:t>
                  </w:r>
                  <w:r>
                    <w:rPr>
                      <w:rFonts w:hint="eastAsia" w:ascii="Times New Roman" w:hAnsi="Times New Roman" w:eastAsia="宋体" w:cs="Times New Roman"/>
                      <w:color w:val="000000"/>
                      <w:szCs w:val="18"/>
                      <w:u w:val="none"/>
                    </w:rPr>
                    <w:t>≥</w:t>
                  </w:r>
                  <w:r>
                    <w:rPr>
                      <w:rFonts w:hint="eastAsia" w:cs="Times New Roman"/>
                      <w:color w:val="000000"/>
                      <w:szCs w:val="18"/>
                      <w:u w:val="none"/>
                      <w:lang w:val="en-US" w:eastAsia="zh-CN"/>
                    </w:rPr>
                    <w:t>90</w:t>
                  </w:r>
                  <w:r>
                    <w:rPr>
                      <w:rFonts w:hint="eastAsia" w:ascii="Times New Roman" w:hAnsi="Times New Roman" w:eastAsia="宋体" w:cs="Times New Roman"/>
                      <w:color w:val="000000"/>
                      <w:szCs w:val="18"/>
                      <w:u w:val="none"/>
                    </w:rPr>
                    <w:t>分</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cs="Times New Roman"/>
                      <w:szCs w:val="21"/>
                      <w:highlight w:val="none"/>
                      <w:lang w:val="en-US" w:eastAsia="zh-CN"/>
                    </w:rPr>
                    <w:t>顾客满意度调查总分数/顾客调查总数</w:t>
                  </w:r>
                </w:p>
              </w:tc>
              <w:tc>
                <w:tcPr>
                  <w:tcW w:w="1350" w:type="dxa"/>
                  <w:shd w:val="clear" w:color="auto" w:fill="auto"/>
                  <w:vAlign w:val="center"/>
                </w:tcPr>
                <w:p>
                  <w:pPr>
                    <w:shd w:val="clear" w:color="auto" w:fill="C7DAF1" w:themeFill="text2" w:themeFillTint="32"/>
                    <w:rPr>
                      <w:rFonts w:hint="default" w:ascii="宋体" w:hAnsi="宋体"/>
                      <w:szCs w:val="21"/>
                      <w:highlight w:val="none"/>
                      <w:lang w:val="en-US" w:eastAsia="zh-CN"/>
                    </w:rPr>
                  </w:pPr>
                  <w:r>
                    <w:rPr>
                      <w:rFonts w:hint="eastAsia" w:ascii="宋体" w:hAnsi="宋体"/>
                      <w:szCs w:val="21"/>
                      <w:highlight w:val="none"/>
                      <w:lang w:val="en-US" w:eastAsia="zh-CN"/>
                    </w:rPr>
                    <w:t>综合办公室</w:t>
                  </w:r>
                </w:p>
              </w:tc>
              <w:tc>
                <w:tcPr>
                  <w:tcW w:w="1774" w:type="dxa"/>
                  <w:shd w:val="clear" w:color="auto" w:fill="auto"/>
                  <w:vAlign w:val="center"/>
                </w:tcPr>
                <w:p>
                  <w:pPr>
                    <w:shd w:val="clear" w:color="auto" w:fill="C7DAF1" w:themeFill="text2" w:themeFillTint="32"/>
                    <w:rPr>
                      <w:rFonts w:hint="default" w:ascii="宋体" w:hAnsi="宋体"/>
                      <w:szCs w:val="21"/>
                      <w:highlight w:val="none"/>
                      <w:lang w:val="en-US" w:eastAsia="zh-CN"/>
                    </w:rPr>
                  </w:pPr>
                  <w:r>
                    <w:rPr>
                      <w:rFonts w:hint="eastAsia" w:ascii="宋体" w:hAnsi="宋体"/>
                      <w:szCs w:val="21"/>
                      <w:highlight w:val="none"/>
                      <w:lang w:val="en-US" w:eastAsia="zh-CN"/>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合同履行率100%</w:t>
                  </w:r>
                </w:p>
              </w:tc>
              <w:tc>
                <w:tcPr>
                  <w:tcW w:w="3136" w:type="dxa"/>
                  <w:shd w:val="clear" w:color="auto" w:fill="auto"/>
                  <w:vAlign w:val="center"/>
                </w:tcPr>
                <w:p>
                  <w:pPr>
                    <w:shd w:val="clear" w:color="auto" w:fill="C7DAF1" w:themeFill="text2" w:themeFillTint="3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已履行的/合同总数×100%</w:t>
                  </w:r>
                </w:p>
              </w:tc>
              <w:tc>
                <w:tcPr>
                  <w:tcW w:w="1350" w:type="dxa"/>
                  <w:shd w:val="clear" w:color="auto" w:fill="auto"/>
                  <w:vAlign w:val="center"/>
                </w:tcPr>
                <w:p>
                  <w:pPr>
                    <w:shd w:val="clear" w:color="auto" w:fill="C7DAF1" w:themeFill="text2" w:themeFillTint="3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综合办公室</w:t>
                  </w:r>
                </w:p>
              </w:tc>
              <w:tc>
                <w:tcPr>
                  <w:tcW w:w="1774" w:type="dxa"/>
                  <w:shd w:val="clear" w:color="auto" w:fill="auto"/>
                  <w:vAlign w:val="center"/>
                </w:tcPr>
                <w:p>
                  <w:pPr>
                    <w:shd w:val="clear" w:color="auto" w:fill="C7DAF1" w:themeFill="text2" w:themeFillTint="3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w:t>
            </w:r>
            <w:r>
              <w:rPr>
                <w:rFonts w:hint="eastAsia"/>
                <w:lang w:eastAsia="zh-CN"/>
              </w:rPr>
              <w:t>□</w:t>
            </w:r>
            <w:r>
              <w:rPr>
                <w:rFonts w:hint="eastAsia"/>
              </w:rPr>
              <w:t xml:space="preserve">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办公</w:t>
            </w:r>
            <w:r>
              <w:rPr>
                <w:rFonts w:hint="eastAsia"/>
              </w:rPr>
              <w:t xml:space="preserve">面积 </w:t>
            </w:r>
            <w:r>
              <w:rPr>
                <w:rFonts w:hint="eastAsia"/>
                <w:lang w:val="en-US" w:eastAsia="zh-CN"/>
              </w:rPr>
              <w:t>320</w:t>
            </w:r>
            <w:r>
              <w:rPr>
                <w:rFonts w:hint="eastAsia"/>
              </w:rPr>
              <w:t>平方米；生</w:t>
            </w:r>
            <w:r>
              <w:rPr>
                <w:rFonts w:hint="eastAsia"/>
                <w:highlight w:val="none"/>
              </w:rPr>
              <w:t>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widowControl/>
              <w:spacing w:before="40"/>
              <w:jc w:val="left"/>
              <w:rPr>
                <w:rFonts w:hint="eastAsia" w:ascii="宋体" w:hAnsi="宋体" w:eastAsia="宋体" w:cs="宋体"/>
                <w:kern w:val="0"/>
                <w:sz w:val="21"/>
                <w:szCs w:val="21"/>
                <w:lang w:eastAsia="zh-CN"/>
              </w:rPr>
            </w:pPr>
            <w:r>
              <w:rPr>
                <w:rFonts w:hint="eastAsia"/>
              </w:rPr>
              <w:t>主要生产设备有：</w:t>
            </w:r>
            <w:r>
              <w:rPr>
                <w:rFonts w:hint="eastAsia"/>
                <w:u w:val="single"/>
              </w:rPr>
              <w:t>办公设备（电脑、打印机、复印机等）、保洁工具（垃圾桶、扫帚、</w:t>
            </w:r>
            <w:r>
              <w:rPr>
                <w:rFonts w:hint="eastAsia"/>
                <w:highlight w:val="none"/>
                <w:u w:val="single"/>
              </w:rPr>
              <w:t>拖把）、安保工具(对讲机、</w:t>
            </w:r>
            <w:r>
              <w:rPr>
                <w:rFonts w:hint="eastAsia"/>
                <w:highlight w:val="none"/>
                <w:u w:val="single"/>
                <w:lang w:val="en-US" w:eastAsia="zh-CN"/>
              </w:rPr>
              <w:t>防爆棍/杈、盾牌、巡更棒</w:t>
            </w:r>
            <w:r>
              <w:rPr>
                <w:rFonts w:hint="eastAsia"/>
                <w:highlight w:val="none"/>
                <w:u w:val="single"/>
              </w:rPr>
              <w:t>等)、维修设备（电锤、手枪钻、疏通器</w:t>
            </w:r>
            <w:r>
              <w:rPr>
                <w:rFonts w:hint="eastAsia"/>
                <w:highlight w:val="none"/>
                <w:u w:val="single"/>
                <w:lang w:eastAsia="zh-CN"/>
              </w:rPr>
              <w:t>）</w:t>
            </w:r>
            <w:r>
              <w:rPr>
                <w:rFonts w:hint="eastAsia"/>
                <w:highlight w:val="none"/>
                <w:u w:val="single"/>
                <w:lang w:val="en-US" w:eastAsia="zh-CN"/>
              </w:rPr>
              <w:t>和万用表、钳形表检测设备</w:t>
            </w:r>
            <w:r>
              <w:rPr>
                <w:rFonts w:hint="eastAsia" w:ascii="宋体" w:hAnsi="宋体" w:cs="宋体"/>
                <w:kern w:val="0"/>
                <w:sz w:val="21"/>
                <w:szCs w:val="21"/>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bookmarkStart w:id="34" w:name="_GoBack"/>
            <w:r>
              <w:rPr>
                <w:rFonts w:hint="eastAsia"/>
                <w:lang w:eastAsia="zh-CN"/>
              </w:rPr>
              <w:t>■</w:t>
            </w:r>
            <w:bookmarkEnd w:id="34"/>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国家强检的计量器具有：</w:t>
            </w:r>
            <w:r>
              <w:rPr>
                <w:rFonts w:hint="eastAsia"/>
                <w:highlight w:val="none"/>
                <w:u w:val="single"/>
                <w:lang w:val="en-US" w:eastAsia="zh-CN"/>
              </w:rPr>
              <w:t>万用表、钳形表</w:t>
            </w:r>
            <w:r>
              <w:rPr>
                <w:color w:val="000000"/>
                <w:u w:val="single"/>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lang w:val="en-US" w:eastAsia="zh-CN"/>
              </w:rPr>
              <w:t>万用表、钳形表，已开具不符合项报告，需整改。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宋体"/>
                      <w:color w:val="000000"/>
                      <w:kern w:val="0"/>
                      <w:szCs w:val="21"/>
                    </w:rPr>
                    <w:t>物业管理服务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物业服务过程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物业服务过程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返修</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年 </w:t>
            </w:r>
            <w:r>
              <w:rPr>
                <w:rFonts w:hint="eastAsia"/>
                <w:u w:val="single"/>
                <w:lang w:val="en-US" w:eastAsia="zh-CN"/>
              </w:rPr>
              <w:t>2</w:t>
            </w:r>
            <w:r>
              <w:rPr>
                <w:rFonts w:hint="eastAsia"/>
                <w:u w:val="single"/>
              </w:rPr>
              <w:t xml:space="preserve"> 月 </w:t>
            </w:r>
            <w:r>
              <w:rPr>
                <w:rFonts w:hint="eastAsia"/>
                <w:u w:val="single"/>
                <w:lang w:val="en-US" w:eastAsia="zh-CN"/>
              </w:rPr>
              <w:t>10日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2</w:t>
            </w:r>
            <w:r>
              <w:rPr>
                <w:rFonts w:hint="eastAsia"/>
                <w:u w:val="single"/>
              </w:rPr>
              <w:t xml:space="preserve"> 月 </w:t>
            </w:r>
            <w:r>
              <w:rPr>
                <w:rFonts w:hint="eastAsia"/>
                <w:u w:val="single"/>
                <w:lang w:val="en-US" w:eastAsia="zh-CN"/>
              </w:rPr>
              <w:t>20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3CDE3DFA"/>
    <w:rsid w:val="42C25AFB"/>
    <w:rsid w:val="69D6656F"/>
    <w:rsid w:val="70021BC9"/>
    <w:rsid w:val="71C93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8258</Words>
  <Characters>8802</Characters>
  <Lines>150</Lines>
  <Paragraphs>42</Paragraphs>
  <TotalTime>1</TotalTime>
  <ScaleCrop>false</ScaleCrop>
  <LinksUpToDate>false</LinksUpToDate>
  <CharactersWithSpaces>9815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2022-06-12T13:05:55Z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