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受审核部门：市场部      主管领导/陪同人员：汪少杰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审核员：郭力    赵亚亚        审核时间：2022.6.2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widowControl/>
              <w:jc w:val="left"/>
              <w:rPr>
                <w:sz w:val="24"/>
                <w:szCs w:val="24"/>
              </w:rPr>
            </w:pPr>
            <w:r>
              <w:rPr>
                <w:rFonts w:hint="eastAsia"/>
                <w:szCs w:val="21"/>
              </w:rPr>
              <w:t>审核条款：Q：5.3；6.2；8.2、8.4、8.5.1；9.1.2；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组织的岗位、职责的权限</w:t>
            </w:r>
          </w:p>
        </w:tc>
        <w:tc>
          <w:tcPr>
            <w:tcW w:w="960" w:type="dxa"/>
          </w:tcPr>
          <w:p>
            <w:pPr>
              <w:spacing w:beforeLines="30" w:afterLines="30" w:line="360" w:lineRule="auto"/>
              <w:rPr>
                <w:rFonts w:ascii="宋体" w:hAnsi="宋体" w:cs="宋体"/>
                <w:color w:val="000000"/>
                <w:kern w:val="0"/>
                <w:szCs w:val="21"/>
              </w:rPr>
            </w:pPr>
            <w:r>
              <w:rPr>
                <w:rFonts w:hint="eastAsia" w:ascii="宋体" w:hAnsi="宋体" w:cs="宋体"/>
                <w:color w:val="000000"/>
                <w:kern w:val="0"/>
                <w:szCs w:val="21"/>
              </w:rPr>
              <w:t>Q5.3</w:t>
            </w:r>
          </w:p>
        </w:tc>
        <w:tc>
          <w:tcPr>
            <w:tcW w:w="10004"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市场部负责人：汪少杰</w:t>
            </w:r>
          </w:p>
          <w:p>
            <w:pPr>
              <w:spacing w:line="360" w:lineRule="auto"/>
              <w:ind w:left="120" w:firstLine="210" w:firstLineChars="100"/>
              <w:jc w:val="left"/>
              <w:rPr>
                <w:rFonts w:ascii="宋体" w:hAnsi="宋体" w:cs="宋体"/>
                <w:color w:val="000000"/>
                <w:kern w:val="0"/>
                <w:szCs w:val="21"/>
              </w:rPr>
            </w:pPr>
            <w:r>
              <w:rPr>
                <w:rFonts w:ascii="宋体" w:hAnsi="宋体" w:cs="宋体"/>
                <w:color w:val="000000"/>
                <w:kern w:val="0"/>
                <w:szCs w:val="21"/>
              </w:rPr>
              <w:t>公司编制的《质量手册》中</w:t>
            </w:r>
            <w:r>
              <w:rPr>
                <w:rFonts w:hint="eastAsia" w:ascii="宋体" w:hAnsi="宋体" w:cs="宋体"/>
                <w:color w:val="000000"/>
                <w:kern w:val="0"/>
                <w:szCs w:val="21"/>
              </w:rPr>
              <w:t>，明确了</w:t>
            </w:r>
            <w:r>
              <w:rPr>
                <w:rFonts w:ascii="宋体" w:hAnsi="宋体" w:cs="宋体"/>
                <w:color w:val="000000"/>
                <w:kern w:val="0"/>
                <w:szCs w:val="21"/>
              </w:rPr>
              <w:t>公司的质量管理体系组织机构图，职能分配表，并在相关章节中明确了</w:t>
            </w:r>
            <w:r>
              <w:rPr>
                <w:rFonts w:hint="eastAsia" w:ascii="宋体" w:hAnsi="宋体" w:cs="宋体"/>
                <w:color w:val="000000"/>
                <w:kern w:val="0"/>
                <w:szCs w:val="21"/>
              </w:rPr>
              <w:t>市场</w:t>
            </w:r>
            <w:r>
              <w:rPr>
                <w:rFonts w:ascii="宋体" w:hAnsi="宋体" w:cs="宋体"/>
                <w:color w:val="000000"/>
                <w:kern w:val="0"/>
                <w:szCs w:val="21"/>
              </w:rPr>
              <w:t>部所涉及各项工作的作用、职责和权限等要求。本部门主要负责</w:t>
            </w:r>
            <w:r>
              <w:rPr>
                <w:rFonts w:hint="eastAsia" w:ascii="宋体" w:hAnsi="宋体" w:cs="宋体"/>
                <w:color w:val="000000"/>
                <w:kern w:val="0"/>
                <w:szCs w:val="21"/>
              </w:rPr>
              <w:t>：主要负责与与顾客有关过程的控制、顾客财产管理、产品交付和交付后活动、顾客满意信息的收集和分析。</w:t>
            </w:r>
          </w:p>
          <w:p>
            <w:pPr>
              <w:spacing w:line="360" w:lineRule="auto"/>
              <w:jc w:val="left"/>
              <w:rPr>
                <w:sz w:val="24"/>
                <w:szCs w:val="24"/>
              </w:rPr>
            </w:pPr>
            <w:r>
              <w:rPr>
                <w:rFonts w:hint="eastAsia" w:ascii="宋体" w:hAnsi="宋体" w:cs="宋体"/>
                <w:color w:val="000000"/>
                <w:kern w:val="0"/>
                <w:szCs w:val="21"/>
              </w:rPr>
              <w:t xml:space="preserve">    经了解部门内部职责分工明确，部门员工对本岗位的职责已理解，并有明确的考核机制，部门主管按月对下属员工的职责落实情况进行检查、考核，能够保证部门职责的落实。</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beforeLines="30" w:afterLines="30" w:line="360" w:lineRule="auto"/>
              <w:rPr>
                <w:sz w:val="24"/>
                <w:szCs w:val="24"/>
              </w:rPr>
            </w:pPr>
            <w:r>
              <w:rPr>
                <w:rFonts w:hint="eastAsia" w:ascii="宋体" w:hAnsi="宋体" w:cs="宋体"/>
                <w:color w:val="000000"/>
                <w:kern w:val="0"/>
                <w:szCs w:val="21"/>
              </w:rPr>
              <w:t>质量、目标及其实现的策划</w:t>
            </w:r>
          </w:p>
        </w:tc>
        <w:tc>
          <w:tcPr>
            <w:tcW w:w="960" w:type="dxa"/>
          </w:tcPr>
          <w:p>
            <w:pPr>
              <w:rPr>
                <w:sz w:val="24"/>
                <w:szCs w:val="24"/>
              </w:rPr>
            </w:pPr>
            <w:r>
              <w:rPr>
                <w:rFonts w:hint="eastAsia" w:ascii="宋体" w:hAnsi="宋体"/>
                <w:szCs w:val="24"/>
              </w:rPr>
              <w:t>Q6.2</w:t>
            </w:r>
          </w:p>
        </w:tc>
        <w:tc>
          <w:tcPr>
            <w:tcW w:w="10004"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   市场部目标：                    完成情况：</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1. 供方按时评价率100%            完成100%</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2. 顾客满意率≥96分              满意度 96分</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3. 合同按时完成率100%            完成100%</w:t>
            </w:r>
          </w:p>
          <w:p>
            <w:pPr>
              <w:adjustRightInd w:val="0"/>
              <w:spacing w:line="360" w:lineRule="auto"/>
              <w:ind w:firstLine="420" w:firstLineChars="200"/>
              <w:rPr>
                <w:sz w:val="24"/>
                <w:szCs w:val="24"/>
              </w:rPr>
            </w:pPr>
            <w:r>
              <w:rPr>
                <w:rFonts w:hint="eastAsia" w:ascii="宋体" w:hAnsi="宋体" w:cs="宋体"/>
                <w:color w:val="000000"/>
                <w:kern w:val="0"/>
                <w:szCs w:val="21"/>
              </w:rPr>
              <w:t>查见“目标分解考核表”显示对目标完成情况进行了统计，2021年11月-2022年4月所有目标均已完成。</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napToGrid w:val="0"/>
                <w:kern w:val="0"/>
                <w:szCs w:val="24"/>
              </w:rPr>
            </w:pPr>
            <w:r>
              <w:rPr>
                <w:rFonts w:hint="eastAsia" w:ascii="宋体" w:hAnsi="宋体"/>
                <w:szCs w:val="24"/>
              </w:rPr>
              <w:t>总则</w:t>
            </w:r>
          </w:p>
        </w:tc>
        <w:tc>
          <w:tcPr>
            <w:tcW w:w="960" w:type="dxa"/>
          </w:tcPr>
          <w:p>
            <w:pPr>
              <w:rPr>
                <w:szCs w:val="24"/>
              </w:rPr>
            </w:pPr>
            <w:r>
              <w:rPr>
                <w:rFonts w:hint="eastAsia" w:ascii="宋体" w:hAnsi="宋体"/>
                <w:szCs w:val="24"/>
              </w:rPr>
              <w:t>Q8.2.1</w:t>
            </w:r>
          </w:p>
        </w:tc>
        <w:tc>
          <w:tcPr>
            <w:tcW w:w="10004" w:type="dxa"/>
          </w:tcPr>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市场</w:t>
            </w:r>
            <w:r>
              <w:rPr>
                <w:rFonts w:ascii="宋体" w:hAnsi="宋体" w:cs="宋体"/>
                <w:color w:val="000000"/>
                <w:kern w:val="0"/>
                <w:szCs w:val="21"/>
              </w:rPr>
              <w:t>负责人介绍沟通方式：</w:t>
            </w:r>
            <w:r>
              <w:rPr>
                <w:rFonts w:hint="eastAsia" w:ascii="宋体" w:hAnsi="宋体" w:cs="宋体"/>
                <w:color w:val="000000"/>
                <w:kern w:val="0"/>
                <w:szCs w:val="21"/>
              </w:rPr>
              <w:t>部门主管人员通过电话、传真、网络、调查表、登门拜访等方式，就顾客采购意向、合同要求、合同执行中的信息沟通、产品交付及售后服务、顾客满意度调查等方面，与顾客进行了充分沟通。</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公司目前Q:核与辐射监测类仪器、应用软件研发、销售和技术服务的顾客主要分布西安等地区。部门建立的“顾客档案”对顾客名称、地址、联系人、联系方式等相关信息登记清晰。</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部门与顾客沟通的过程符合要求。</w:t>
            </w:r>
            <w:r>
              <w:rPr>
                <w:rFonts w:ascii="宋体" w:hAnsi="宋体" w:cs="宋体"/>
                <w:color w:val="000000"/>
                <w:kern w:val="0"/>
                <w:szCs w:val="21"/>
              </w:rPr>
              <w:t>目前沟通效果良好。</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szCs w:val="24"/>
              </w:rPr>
            </w:pPr>
            <w:r>
              <w:rPr>
                <w:rFonts w:hint="eastAsia" w:ascii="宋体" w:hAnsi="宋体"/>
                <w:szCs w:val="24"/>
              </w:rPr>
              <w:t>产品要求的确定</w:t>
            </w:r>
          </w:p>
        </w:tc>
        <w:tc>
          <w:tcPr>
            <w:tcW w:w="960" w:type="dxa"/>
          </w:tcPr>
          <w:p>
            <w:pPr>
              <w:rPr>
                <w:szCs w:val="24"/>
              </w:rPr>
            </w:pPr>
            <w:r>
              <w:rPr>
                <w:rFonts w:hint="eastAsia" w:ascii="宋体" w:hAnsi="宋体"/>
                <w:szCs w:val="24"/>
              </w:rPr>
              <w:t>Q8.2.2</w:t>
            </w:r>
          </w:p>
        </w:tc>
        <w:tc>
          <w:tcPr>
            <w:tcW w:w="10004" w:type="dxa"/>
          </w:tcPr>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经查：公司Q:核与辐射监测类仪器、应用软件研发、销售和技术服务有关要求由顾客提出，公司按顾客要求组织Q:核与辐射监测类仪器、应用软件研发、销售和技术服务与交付。</w:t>
            </w:r>
          </w:p>
          <w:p>
            <w:pPr>
              <w:spacing w:beforeLines="30" w:afterLines="30" w:line="360" w:lineRule="auto"/>
              <w:ind w:firstLine="525" w:firstLineChars="250"/>
              <w:rPr>
                <w:rFonts w:ascii="宋体" w:hAnsi="宋体"/>
                <w:sz w:val="24"/>
                <w:szCs w:val="24"/>
              </w:rPr>
            </w:pPr>
            <w:r>
              <w:rPr>
                <w:rFonts w:hint="eastAsia" w:ascii="宋体" w:hAnsi="宋体" w:cs="宋体"/>
                <w:color w:val="000000"/>
                <w:kern w:val="0"/>
                <w:szCs w:val="21"/>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ascii="宋体" w:hAnsi="宋体"/>
                <w:szCs w:val="24"/>
              </w:rPr>
            </w:pPr>
            <w:r>
              <w:rPr>
                <w:rFonts w:hint="eastAsia" w:ascii="宋体" w:hAnsi="宋体"/>
                <w:szCs w:val="24"/>
              </w:rPr>
              <w:t>产品有关要求的评审</w:t>
            </w:r>
          </w:p>
        </w:tc>
        <w:tc>
          <w:tcPr>
            <w:tcW w:w="960" w:type="dxa"/>
          </w:tcPr>
          <w:p>
            <w:pPr>
              <w:rPr>
                <w:szCs w:val="24"/>
              </w:rPr>
            </w:pPr>
            <w:r>
              <w:rPr>
                <w:rFonts w:hint="eastAsia" w:ascii="宋体" w:hAnsi="宋体"/>
                <w:szCs w:val="24"/>
              </w:rPr>
              <w:t>Q8.2.3</w:t>
            </w:r>
          </w:p>
        </w:tc>
        <w:tc>
          <w:tcPr>
            <w:tcW w:w="10004" w:type="dxa"/>
          </w:tcPr>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市场</w:t>
            </w:r>
            <w:r>
              <w:rPr>
                <w:rFonts w:ascii="宋体" w:hAnsi="宋体" w:cs="宋体"/>
                <w:color w:val="000000"/>
                <w:kern w:val="0"/>
                <w:szCs w:val="21"/>
              </w:rPr>
              <w:t>负责人介绍：</w:t>
            </w:r>
            <w:r>
              <w:rPr>
                <w:rFonts w:hint="eastAsia" w:ascii="宋体" w:hAnsi="宋体" w:cs="宋体"/>
                <w:color w:val="000000"/>
                <w:kern w:val="0"/>
                <w:szCs w:val="21"/>
              </w:rPr>
              <w:t>公司主要通过电话、传真、网络、调查表、登门拜访等方式。</w:t>
            </w:r>
            <w:r>
              <w:rPr>
                <w:rFonts w:hAnsiTheme="minorEastAsia" w:eastAsiaTheme="minorEastAsia"/>
                <w:szCs w:val="21"/>
              </w:rPr>
              <w:t>针</w:t>
            </w:r>
            <w:r>
              <w:rPr>
                <w:rFonts w:ascii="宋体" w:hAnsi="宋体" w:cs="宋体"/>
                <w:color w:val="000000"/>
                <w:kern w:val="0"/>
                <w:szCs w:val="21"/>
              </w:rPr>
              <w:t>对合同洽谈、签订、履行过程中的问题，及时电话联系，明确各自的要求，执行合同。</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抽查2021.10.19合同</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需方：苏州瑞迪核安环保科技有限公司</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产品名称：便携式Y剂量率仪、型号：QZ3602G</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合同中包括了产品型号、数量、价格、质量要求和技术标准、交付期等顾客要求。</w:t>
            </w:r>
          </w:p>
          <w:p>
            <w:pPr>
              <w:spacing w:beforeLines="30" w:afterLines="30" w:line="360" w:lineRule="auto"/>
              <w:ind w:firstLine="525" w:firstLineChars="250"/>
              <w:rPr>
                <w:rFonts w:hAnsiTheme="minorEastAsia" w:eastAsiaTheme="minorEastAsia"/>
                <w:szCs w:val="21"/>
              </w:rPr>
            </w:pPr>
            <w:r>
              <w:rPr>
                <w:rFonts w:hint="eastAsia" w:hAnsiTheme="minorEastAsia" w:eastAsiaTheme="minorEastAsia"/>
                <w:szCs w:val="21"/>
              </w:rPr>
              <w:t>查看“合同评审表”包含服务能力/交付周期、质量要求和技术标准、价格等评审内容，公司行政部、市场部、技术部的主管人员参加了评审。</w:t>
            </w:r>
          </w:p>
          <w:p>
            <w:pPr>
              <w:spacing w:beforeLines="30" w:afterLines="30" w:line="360" w:lineRule="auto"/>
              <w:ind w:firstLine="525" w:firstLineChars="250"/>
              <w:rPr>
                <w:rFonts w:hAnsiTheme="minorEastAsia" w:eastAsiaTheme="minorEastAsia"/>
                <w:szCs w:val="21"/>
              </w:rPr>
            </w:pPr>
            <w:r>
              <w:rPr>
                <w:rFonts w:hint="eastAsia" w:hAnsiTheme="minorEastAsia" w:eastAsiaTheme="minorEastAsia"/>
                <w:szCs w:val="21"/>
              </w:rPr>
              <w:t>评审意见：顾客产品要求明确，公司具备按期履约能力，同意签订合同。评审意见经市场部经理汪少杰同意。2021.10.18部门代表公司与顾客签订了该项目销售合同。</w:t>
            </w: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r>
              <w:rPr>
                <w:rFonts w:ascii="宋体" w:hAnsi="宋体"/>
                <w:szCs w:val="24"/>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-2458085</wp:posOffset>
                  </wp:positionV>
                  <wp:extent cx="1689100" cy="2384425"/>
                  <wp:effectExtent l="19050" t="0" r="6350" b="0"/>
                  <wp:wrapThrough wrapText="bothSides">
                    <wp:wrapPolygon>
                      <wp:start x="-244" y="0"/>
                      <wp:lineTo x="-244" y="21399"/>
                      <wp:lineTo x="21681" y="21399"/>
                      <wp:lineTo x="21681" y="0"/>
                      <wp:lineTo x="-244" y="0"/>
                    </wp:wrapPolygon>
                  </wp:wrapThrough>
                  <wp:docPr id="14" name="图片 0" descr="微信图片_2022060623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微信图片_20220606235835.jpg"/>
                          <pic:cNvPicPr>
                            <a:picLocks noChangeAspect="1"/>
                          </pic:cNvPicPr>
                        </pic:nvPicPr>
                        <pic:blipFill>
                          <a:blip r:embed="rId6" cstate="print"/>
                          <a:stretch>
                            <a:fillRect/>
                          </a:stretch>
                        </pic:blipFill>
                        <pic:spPr>
                          <a:xfrm>
                            <a:off x="0" y="0"/>
                            <a:ext cx="1689100" cy="2384425"/>
                          </a:xfrm>
                          <a:prstGeom prst="rect">
                            <a:avLst/>
                          </a:prstGeom>
                        </pic:spPr>
                      </pic:pic>
                    </a:graphicData>
                  </a:graphic>
                </wp:anchor>
              </w:drawing>
            </w:r>
            <w:r>
              <w:rPr>
                <w:rFonts w:hint="eastAsia" w:ascii="宋体" w:hAnsi="宋体" w:cs="宋体"/>
                <w:color w:val="000000"/>
                <w:kern w:val="0"/>
                <w:sz w:val="21"/>
                <w:szCs w:val="21"/>
              </w:rPr>
              <w:t xml:space="preserve">     再抽查2021.11合同</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需方：中国人民解放军XXX</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产品名称：O</w:t>
            </w:r>
            <w:r>
              <w:rPr>
                <w:rFonts w:ascii="宋体" w:hAnsi="宋体" w:cs="宋体"/>
                <w:color w:val="000000"/>
                <w:kern w:val="0"/>
                <w:szCs w:val="21"/>
              </w:rPr>
              <w:t>pera</w:t>
            </w:r>
            <w:r>
              <w:rPr>
                <w:rFonts w:hint="eastAsia" w:ascii="宋体" w:hAnsi="宋体" w:cs="宋体"/>
                <w:color w:val="000000"/>
                <w:kern w:val="0"/>
                <w:szCs w:val="21"/>
              </w:rPr>
              <w:t>2020软件、商标：XXX.</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合同中包括了产品型号、商标、数量、价格、质量要求和技术标准、交付期等顾客要求。</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查看“合同评审表”包含服务能力/交付周期、质量要求和技术标准、价格等评审内容。公司行政部、市场部、技术部的主管人员参加了评审。</w:t>
            </w:r>
          </w:p>
          <w:p>
            <w:pPr>
              <w:spacing w:beforeLines="30" w:afterLines="30" w:line="360" w:lineRule="auto"/>
              <w:ind w:firstLine="525" w:firstLineChars="250"/>
              <w:rPr>
                <w:rFonts w:ascii="宋体" w:hAnsi="宋体"/>
                <w:szCs w:val="24"/>
              </w:rPr>
            </w:pPr>
            <w:r>
              <w:rPr>
                <w:rFonts w:hint="eastAsia" w:ascii="宋体" w:hAnsi="宋体" w:cs="宋体"/>
                <w:color w:val="000000"/>
                <w:kern w:val="0"/>
                <w:szCs w:val="21"/>
              </w:rPr>
              <w:t>评审意见：顾客产品要求明确，公司具备按期履约能力，同意签订合同。评审意见经市场部经理汪少杰同意。2021.11部门代表公司与顾客签订了该项目销售合同。</w:t>
            </w: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rFonts w:ascii="宋体" w:hAnsi="宋体"/>
                <w:szCs w:val="24"/>
              </w:rPr>
            </w:pPr>
          </w:p>
          <w:p>
            <w:pPr>
              <w:pStyle w:val="2"/>
              <w:rPr>
                <w:rFonts w:ascii="宋体" w:hAnsi="宋体"/>
                <w:szCs w:val="24"/>
              </w:rPr>
            </w:pPr>
          </w:p>
          <w:p>
            <w:pPr>
              <w:pStyle w:val="2"/>
              <w:rPr>
                <w:rFonts w:ascii="宋体" w:hAnsi="宋体"/>
                <w:szCs w:val="24"/>
              </w:rPr>
            </w:pPr>
            <w:r>
              <w:rPr>
                <w:rFonts w:ascii="宋体" w:hAnsi="宋体"/>
                <w:szCs w:val="24"/>
              </w:rPr>
              <w:drawing>
                <wp:anchor distT="0" distB="0" distL="114300" distR="114300" simplePos="0" relativeHeight="251661312" behindDoc="0" locked="0" layoutInCell="1" allowOverlap="1">
                  <wp:simplePos x="0" y="0"/>
                  <wp:positionH relativeFrom="column">
                    <wp:posOffset>2819400</wp:posOffset>
                  </wp:positionH>
                  <wp:positionV relativeFrom="paragraph">
                    <wp:posOffset>-2813685</wp:posOffset>
                  </wp:positionV>
                  <wp:extent cx="1489710" cy="2108200"/>
                  <wp:effectExtent l="19050" t="0" r="0" b="0"/>
                  <wp:wrapThrough wrapText="bothSides">
                    <wp:wrapPolygon>
                      <wp:start x="-276" y="0"/>
                      <wp:lineTo x="-276" y="21470"/>
                      <wp:lineTo x="21545" y="21470"/>
                      <wp:lineTo x="21545" y="0"/>
                      <wp:lineTo x="-276" y="0"/>
                    </wp:wrapPolygon>
                  </wp:wrapThrough>
                  <wp:docPr id="16" name="图片 15" descr="微信图片_2022060700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微信图片_20220607000904.jpg"/>
                          <pic:cNvPicPr>
                            <a:picLocks noChangeAspect="1"/>
                          </pic:cNvPicPr>
                        </pic:nvPicPr>
                        <pic:blipFill>
                          <a:blip r:embed="rId7" cstate="print"/>
                          <a:stretch>
                            <a:fillRect/>
                          </a:stretch>
                        </pic:blipFill>
                        <pic:spPr>
                          <a:xfrm>
                            <a:off x="0" y="0"/>
                            <a:ext cx="1489710" cy="2108200"/>
                          </a:xfrm>
                          <a:prstGeom prst="rect">
                            <a:avLst/>
                          </a:prstGeom>
                        </pic:spPr>
                      </pic:pic>
                    </a:graphicData>
                  </a:graphic>
                </wp:anchor>
              </w:drawing>
            </w:r>
            <w:r>
              <w:rPr>
                <w:rFonts w:ascii="宋体" w:hAnsi="宋体"/>
                <w:szCs w:val="2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-2813685</wp:posOffset>
                  </wp:positionV>
                  <wp:extent cx="1689100" cy="2386965"/>
                  <wp:effectExtent l="19050" t="0" r="6350" b="0"/>
                  <wp:wrapThrough wrapText="bothSides">
                    <wp:wrapPolygon>
                      <wp:start x="-244" y="0"/>
                      <wp:lineTo x="-244" y="21376"/>
                      <wp:lineTo x="21681" y="21376"/>
                      <wp:lineTo x="21681" y="0"/>
                      <wp:lineTo x="-244" y="0"/>
                    </wp:wrapPolygon>
                  </wp:wrapThrough>
                  <wp:docPr id="15" name="图片 14" descr="微信图片_2022060700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微信图片_20220607000900.jpg"/>
                          <pic:cNvPicPr>
                            <a:picLocks noChangeAspect="1"/>
                          </pic:cNvPicPr>
                        </pic:nvPicPr>
                        <pic:blipFill>
                          <a:blip r:embed="rId8" cstate="print"/>
                          <a:stretch>
                            <a:fillRect/>
                          </a:stretch>
                        </pic:blipFill>
                        <pic:spPr>
                          <a:xfrm>
                            <a:off x="0" y="0"/>
                            <a:ext cx="1689100" cy="2386965"/>
                          </a:xfrm>
                          <a:prstGeom prst="rect">
                            <a:avLst/>
                          </a:prstGeom>
                        </pic:spPr>
                      </pic:pic>
                    </a:graphicData>
                  </a:graphic>
                </wp:anchor>
              </w:drawing>
            </w:r>
          </w:p>
        </w:tc>
        <w:tc>
          <w:tcPr>
            <w:tcW w:w="1585" w:type="dxa"/>
          </w:tcPr>
          <w:p>
            <w:pPr>
              <w:rPr>
                <w:color w:val="0000FF"/>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产品有关要求的更改控制</w:t>
            </w:r>
          </w:p>
        </w:tc>
        <w:tc>
          <w:tcPr>
            <w:tcW w:w="960" w:type="dxa"/>
          </w:tcPr>
          <w:p>
            <w:pPr>
              <w:rPr>
                <w:rFonts w:ascii="宋体" w:hAnsi="宋体" w:cs="宋体"/>
                <w:color w:val="000000"/>
                <w:kern w:val="0"/>
                <w:szCs w:val="21"/>
              </w:rPr>
            </w:pPr>
            <w:r>
              <w:rPr>
                <w:rFonts w:hint="eastAsia" w:ascii="宋体" w:hAnsi="宋体" w:cs="宋体"/>
                <w:color w:val="000000"/>
                <w:kern w:val="0"/>
                <w:szCs w:val="21"/>
              </w:rPr>
              <w:t>Q8.2.4</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部门负责人介绍，公司按GB/T19001-201</w:t>
            </w:r>
            <w:r>
              <w:rPr>
                <w:rFonts w:ascii="宋体" w:hAnsi="宋体" w:cs="宋体"/>
                <w:color w:val="000000"/>
                <w:kern w:val="0"/>
                <w:szCs w:val="21"/>
              </w:rPr>
              <w:t>6</w:t>
            </w:r>
            <w:r>
              <w:rPr>
                <w:rFonts w:hint="eastAsia" w:ascii="宋体" w:hAnsi="宋体" w:cs="宋体"/>
                <w:color w:val="000000"/>
                <w:kern w:val="0"/>
                <w:szCs w:val="21"/>
              </w:rPr>
              <w:t>标准建立的质量体系运行以来，没有Q:核与辐射监测类仪器、应用软件研发、销售和技术服务的合同（产品和服务要求）变更情况发生。  如发生变更，由部门主管人员与甲方进行沟通后，将沟通后的产品有关要求的变更信息报部门领导组织进行评审，评审通过后，市场部负责将产品有关要求的变更信息向公司相关部门/人员进行传达，确保相关人员知道已变更的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Cs w:val="24"/>
              </w:rPr>
            </w:pPr>
            <w:r>
              <w:rPr>
                <w:rFonts w:hint="eastAsia" w:ascii="宋体" w:hAnsi="宋体"/>
                <w:szCs w:val="24"/>
              </w:rPr>
              <w:t>外部提供产品和服务的控制</w:t>
            </w:r>
            <w:r>
              <w:rPr>
                <w:rFonts w:hint="eastAsia" w:ascii="宋体" w:hAnsi="宋体" w:cs="Calibri"/>
                <w:szCs w:val="24"/>
              </w:rPr>
              <w:t>总则</w:t>
            </w:r>
          </w:p>
        </w:tc>
        <w:tc>
          <w:tcPr>
            <w:tcW w:w="960" w:type="dxa"/>
          </w:tcPr>
          <w:p>
            <w:pPr>
              <w:rPr>
                <w:rFonts w:ascii="宋体" w:hAnsi="宋体"/>
                <w:szCs w:val="24"/>
              </w:rPr>
            </w:pPr>
            <w:r>
              <w:rPr>
                <w:rFonts w:hint="eastAsia"/>
                <w:szCs w:val="24"/>
              </w:rPr>
              <w:t>Q8.4.1</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公司编制了“外部提供产品、服务和过程控制程序”，明确了对外部供方的控制类型和程度，对外部供方提供的过程、产品和服务实施的控制方法。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公司Q:核与辐射监测类仪器、应用软件研发、销售和技术服务涉及的外部供方提供的过程、产品和服务，主要包括：采购的办公材料、系统集成设备。</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2021.12.10市场部按策划对供方进行了评价。</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抽查主要供应商如下：</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京东商城</w:t>
            </w:r>
            <w:r>
              <w:rPr>
                <w:rFonts w:hint="eastAsia" w:ascii="宋体" w:hAnsi="宋体" w:cs="宋体"/>
                <w:color w:val="000000"/>
                <w:kern w:val="0"/>
                <w:szCs w:val="21"/>
              </w:rPr>
              <w:tab/>
            </w:r>
            <w:r>
              <w:rPr>
                <w:rFonts w:hint="eastAsia" w:ascii="宋体" w:hAnsi="宋体" w:cs="宋体"/>
                <w:color w:val="000000"/>
                <w:kern w:val="0"/>
                <w:szCs w:val="21"/>
              </w:rPr>
              <w:t xml:space="preserve">                    计算机耗材、打印纸</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北京滨松光子技术股份有限公司    标准件光电倍增管</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西安建树机电设备有限公司         非标加工</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西安满泰电子科技有限公司         高性能电子产品</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查看4家 “供方评价记录表”，包括：供方供货能力、产品质量水平、交付及时性、售后服务、价格等方面的相关内容，公司市场部、行政部、技术部的主管人员参加了评审。经评价，同意上述供方继续列入公司“合格供方名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市场部编制了“合格供方名录”，经总经理批准同意。</w:t>
            </w:r>
          </w:p>
          <w:p>
            <w:pPr>
              <w:spacing w:line="360" w:lineRule="auto"/>
              <w:ind w:firstLine="420" w:firstLineChars="200"/>
              <w:rPr>
                <w:rFonts w:ascii="宋体" w:hAnsi="宋体"/>
                <w:sz w:val="24"/>
                <w:szCs w:val="24"/>
              </w:rPr>
            </w:pPr>
            <w:r>
              <w:rPr>
                <w:rFonts w:hint="eastAsia" w:ascii="宋体" w:hAnsi="宋体" w:cs="宋体"/>
                <w:color w:val="000000"/>
                <w:kern w:val="0"/>
                <w:szCs w:val="21"/>
              </w:rPr>
              <w:t>从体系运行以来，公司的“合格供方名录”无变化。</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Cs w:val="24"/>
              </w:rPr>
            </w:pPr>
            <w:r>
              <w:rPr>
                <w:rFonts w:hint="eastAsia" w:ascii="Calibri" w:hAnsi="Calibri" w:cs="Calibri"/>
                <w:szCs w:val="24"/>
              </w:rPr>
              <w:t>外部供方的控制类型和程度</w:t>
            </w:r>
          </w:p>
        </w:tc>
        <w:tc>
          <w:tcPr>
            <w:tcW w:w="960" w:type="dxa"/>
          </w:tcPr>
          <w:p>
            <w:pPr>
              <w:rPr>
                <w:rFonts w:ascii="宋体" w:hAnsi="宋体"/>
                <w:szCs w:val="24"/>
              </w:rPr>
            </w:pPr>
            <w:r>
              <w:rPr>
                <w:rFonts w:hint="eastAsia" w:ascii="宋体" w:hAnsi="宋体"/>
                <w:szCs w:val="24"/>
              </w:rPr>
              <w:t>Q8.4.2</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20" w:firstLineChars="200"/>
              <w:rPr>
                <w:rFonts w:ascii="宋体" w:hAnsi="宋体"/>
                <w:sz w:val="24"/>
                <w:szCs w:val="24"/>
              </w:rPr>
            </w:pPr>
            <w:r>
              <w:rPr>
                <w:rFonts w:hint="eastAsia" w:ascii="宋体" w:hAnsi="宋体" w:cs="宋体"/>
                <w:color w:val="000000"/>
                <w:kern w:val="0"/>
                <w:szCs w:val="21"/>
              </w:rPr>
              <w:t>按公司质量体系职责分工，采购产品的检验（验证）由技术部负责，没有到供方现场验收产品情况，采购产品检验（验证），详见技术部8</w:t>
            </w:r>
            <w:r>
              <w:rPr>
                <w:rFonts w:ascii="宋体" w:hAnsi="宋体" w:cs="宋体"/>
                <w:color w:val="000000"/>
                <w:kern w:val="0"/>
                <w:szCs w:val="21"/>
              </w:rPr>
              <w:t>.6</w:t>
            </w:r>
            <w:r>
              <w:rPr>
                <w:rFonts w:hint="eastAsia" w:ascii="宋体" w:hAnsi="宋体" w:cs="宋体"/>
                <w:color w:val="000000"/>
                <w:kern w:val="0"/>
                <w:szCs w:val="21"/>
              </w:rPr>
              <w:t>检查表。</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2160" w:type="dxa"/>
          </w:tcPr>
          <w:p>
            <w:pPr>
              <w:jc w:val="center"/>
              <w:rPr>
                <w:rFonts w:ascii="宋体" w:hAnsi="宋体"/>
                <w:szCs w:val="24"/>
              </w:rPr>
            </w:pPr>
            <w:r>
              <w:rPr>
                <w:rFonts w:hint="eastAsia" w:ascii="宋体" w:hAnsi="宋体"/>
                <w:szCs w:val="24"/>
              </w:rPr>
              <w:t>提供给外部供方的信息</w:t>
            </w:r>
          </w:p>
        </w:tc>
        <w:tc>
          <w:tcPr>
            <w:tcW w:w="960" w:type="dxa"/>
          </w:tcPr>
          <w:p>
            <w:pPr>
              <w:rPr>
                <w:rFonts w:ascii="宋体" w:hAnsi="宋体"/>
                <w:szCs w:val="24"/>
              </w:rPr>
            </w:pPr>
            <w:r>
              <w:rPr>
                <w:rFonts w:hint="eastAsia" w:ascii="宋体" w:hAnsi="宋体"/>
                <w:szCs w:val="24"/>
              </w:rPr>
              <w:t>Q8.4.3</w:t>
            </w:r>
          </w:p>
        </w:tc>
        <w:tc>
          <w:tcPr>
            <w:tcW w:w="10004" w:type="dxa"/>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经查：“外部提供产品、服务和过程控制程序”，规定了提供给外部供方信息的相关要求。</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查看2021.12.10签订的采购合同</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供方：西安满泰电子科技有限公司</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产品：高宽带示波器、Lecroy 804HD-MS，1台</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合同中明确了设备的名称、规格、数量、到货日期等采购信息，采购计划经市场部经理汪少杰审核，总经理批准。</w:t>
            </w:r>
          </w:p>
          <w:p>
            <w:pPr>
              <w:spacing w:line="360" w:lineRule="auto"/>
              <w:ind w:firstLine="420" w:firstLineChars="200"/>
              <w:rPr>
                <w:rFonts w:ascii="宋体" w:hAnsi="宋体"/>
                <w:szCs w:val="24"/>
              </w:rPr>
            </w:pPr>
            <w:r>
              <w:rPr>
                <w:rFonts w:hint="eastAsia" w:ascii="宋体" w:hAnsi="宋体" w:cs="宋体"/>
                <w:color w:val="000000"/>
                <w:kern w:val="0"/>
                <w:szCs w:val="21"/>
              </w:rPr>
              <w:t>部门提供给外部供方的信息控制符合规定要求。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销售和服务提供的控制</w:t>
            </w:r>
          </w:p>
        </w:tc>
        <w:tc>
          <w:tcPr>
            <w:tcW w:w="960" w:type="dxa"/>
            <w:vAlign w:val="center"/>
          </w:tcPr>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jc w:val="left"/>
              <w:rPr>
                <w:rFonts w:asciiTheme="minorEastAsia" w:hAnsiTheme="minorEastAsia" w:eastAsiaTheme="minorEastAsia" w:cstheme="minorEastAsia"/>
                <w:szCs w:val="24"/>
              </w:rPr>
            </w:pPr>
          </w:p>
          <w:p>
            <w:pPr>
              <w:spacing w:line="360" w:lineRule="auto"/>
              <w:ind w:right="-6" w:rightChars="-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Q8.5.1</w:t>
            </w:r>
            <w:r>
              <w:rPr>
                <w:rFonts w:hint="eastAsia" w:asciiTheme="minorEastAsia" w:hAnsiTheme="minorEastAsia" w:eastAsiaTheme="minorEastAsia" w:cstheme="minorEastAsia"/>
                <w:sz w:val="24"/>
                <w:szCs w:val="24"/>
              </w:rPr>
              <w:t xml:space="preserve"> </w:t>
            </w: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p>
            <w:pPr>
              <w:spacing w:line="360" w:lineRule="auto"/>
              <w:ind w:right="-6" w:rightChars="-3"/>
              <w:rPr>
                <w:rFonts w:asciiTheme="minorEastAsia" w:hAnsiTheme="minorEastAsia" w:eastAsiaTheme="minorEastAsia" w:cstheme="minorEastAsia"/>
                <w:sz w:val="24"/>
                <w:szCs w:val="24"/>
              </w:rPr>
            </w:pPr>
          </w:p>
        </w:tc>
        <w:tc>
          <w:tcPr>
            <w:tcW w:w="10004" w:type="dxa"/>
            <w:vAlign w:val="center"/>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公司编制并执行《销售服务规范》等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现场查看营销工作情况：</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2.资源配置齐备，设施设备可以满足要求。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3.现场查看销售合同都进行了评审、加盖了公司公章，参见8.2审核记录。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4.现场提供有采购物资验证记录表及客户签收单，参见技术部8.6审核记录单。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5.管理人员以及业务员、质检员、库管员都经过了培训，能力满足要求，无特种作业人员。</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6.查市场部未能提供特殊过程销售服务过程的确认证据。</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7.制定了《销售服务规范》等，规定了操作的步骤、方法、注意事项等，操作人员直接按要求进行控制，防止人为错误。</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8.抽查“员工岗位能力评估表”，2021年11月20日对王旭进行的工作监督，项目包括对价格了解情况，对性能了解情况，接听电话礼仪，对文件了解情况等，满分100分，检查评分97分，检查人：汪少杰。</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9．产品都附有生产厂家、合格证、使用说明书、售后服务卡等，外包装完好。</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10．所有的产品都必须经检验合格后方可入库和交付。技术部负责产品的检验和放行，产品经过检验合格后方可放行和交付，市场部负责产品交付和交付后活动的实施，并负责联系售后服务。发货前由市场部开具客户签收单，随货同行有产品合格证，公司负责联系货运交付到指定地点，经查交付手续齐全。售后服务由市场部业务员按照售后服务规范执行，去客户现场培训和演示产品的使用方法和注意事项。</w:t>
            </w:r>
          </w:p>
          <w:p>
            <w:pPr>
              <w:spacing w:line="360" w:lineRule="auto"/>
              <w:ind w:firstLine="420" w:firstLineChars="200"/>
              <w:rPr>
                <w:rFonts w:asciiTheme="minorEastAsia" w:hAnsiTheme="minorEastAsia" w:eastAsiaTheme="minorEastAsia" w:cstheme="minorEastAsia"/>
                <w:sz w:val="24"/>
                <w:szCs w:val="24"/>
              </w:rPr>
            </w:pPr>
            <w:r>
              <w:rPr>
                <w:rFonts w:hint="eastAsia" w:ascii="宋体" w:hAnsi="宋体" w:cs="宋体"/>
                <w:color w:val="000000"/>
                <w:kern w:val="0"/>
                <w:szCs w:val="21"/>
              </w:rPr>
              <w:t>组织销售服务过程的控制符合标准规定的要求。</w:t>
            </w:r>
          </w:p>
        </w:tc>
        <w:tc>
          <w:tcPr>
            <w:tcW w:w="1585" w:type="dxa"/>
          </w:tcPr>
          <w:p>
            <w:r>
              <w:rPr>
                <w:rFonts w:hint="eastAsia"/>
                <w:szCs w:val="24"/>
              </w:rPr>
              <w:t>符合</w:t>
            </w: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p>
            <w:pPr>
              <w:pStyle w:val="2"/>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jc w:val="center"/>
              <w:rPr>
                <w:rFonts w:ascii="宋体" w:hAnsi="宋体"/>
                <w:szCs w:val="24"/>
              </w:rPr>
            </w:pPr>
            <w:r>
              <w:rPr>
                <w:rFonts w:hint="eastAsia" w:ascii="宋体" w:hAnsi="宋体"/>
                <w:szCs w:val="24"/>
              </w:rPr>
              <w:t>顾客满意</w:t>
            </w:r>
          </w:p>
        </w:tc>
        <w:tc>
          <w:tcPr>
            <w:tcW w:w="960" w:type="dxa"/>
          </w:tcPr>
          <w:p>
            <w:pPr>
              <w:rPr>
                <w:szCs w:val="24"/>
              </w:rPr>
            </w:pPr>
            <w:r>
              <w:rPr>
                <w:rFonts w:hint="eastAsia" w:ascii="宋体" w:hAnsi="宋体"/>
                <w:szCs w:val="24"/>
              </w:rPr>
              <w:t>Q9.1.2</w:t>
            </w:r>
          </w:p>
        </w:tc>
        <w:tc>
          <w:tcPr>
            <w:tcW w:w="10004" w:type="dxa"/>
          </w:tcPr>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经查，公司“顾客满意度控制程序”，规定了顾客满意度的信息收集和利用的相关要求。</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部门于2021.12.10初按策划开展了顾客满意度的调查和分析，共发出“顾客满意度调查表”4份，回收4份。查看“顾客满意度调查表”。调查表对公司的产品质量、交付及时性和售后服务表示满意。</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部门2021</w:t>
            </w:r>
            <w:r>
              <w:rPr>
                <w:rFonts w:ascii="宋体" w:hAnsi="宋体" w:cs="宋体"/>
                <w:color w:val="000000"/>
                <w:kern w:val="0"/>
                <w:szCs w:val="21"/>
              </w:rPr>
              <w:t>.</w:t>
            </w:r>
            <w:r>
              <w:rPr>
                <w:rFonts w:hint="eastAsia" w:ascii="宋体" w:hAnsi="宋体" w:cs="宋体"/>
                <w:color w:val="000000"/>
                <w:kern w:val="0"/>
                <w:szCs w:val="21"/>
              </w:rPr>
              <w:t>12</w:t>
            </w:r>
            <w:r>
              <w:rPr>
                <w:rFonts w:ascii="宋体" w:hAnsi="宋体" w:cs="宋体"/>
                <w:color w:val="000000"/>
                <w:kern w:val="0"/>
                <w:szCs w:val="21"/>
              </w:rPr>
              <w:t>.</w:t>
            </w:r>
            <w:r>
              <w:rPr>
                <w:rFonts w:hint="eastAsia" w:ascii="宋体" w:hAnsi="宋体" w:cs="宋体"/>
                <w:color w:val="000000"/>
                <w:kern w:val="0"/>
                <w:szCs w:val="21"/>
              </w:rPr>
              <w:t>10编制的“顾客满意度统计分析报告”，对产品质量、交付及时性、服务等方面的信息进行了汇总和分析，统计分析得出的顾客满意度为9</w:t>
            </w:r>
            <w:r>
              <w:rPr>
                <w:rFonts w:hint="eastAsia" w:ascii="宋体" w:hAnsi="宋体" w:cs="宋体"/>
                <w:color w:val="000000"/>
                <w:kern w:val="0"/>
                <w:szCs w:val="21"/>
                <w:lang w:val="en-US" w:eastAsia="zh-CN"/>
              </w:rPr>
              <w:t>6分</w:t>
            </w:r>
            <w:r>
              <w:rPr>
                <w:rFonts w:hint="eastAsia" w:ascii="宋体" w:hAnsi="宋体" w:cs="宋体"/>
                <w:color w:val="000000"/>
                <w:kern w:val="0"/>
                <w:szCs w:val="21"/>
              </w:rPr>
              <w:t>，超过了公司质量目标规定值。</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“顾客满意度调查统计分析报告”已提交2022.3.28管理评审。</w:t>
            </w:r>
            <w:bookmarkStart w:id="0" w:name="_GoBack"/>
            <w:bookmarkEnd w:id="0"/>
          </w:p>
        </w:tc>
        <w:tc>
          <w:tcPr>
            <w:tcW w:w="1585" w:type="dxa"/>
          </w:tcPr>
          <w:p>
            <w:pPr>
              <w:rPr>
                <w:sz w:val="24"/>
                <w:szCs w:val="24"/>
              </w:rPr>
            </w:pPr>
            <w:r>
              <w:rPr>
                <w:rFonts w:hint="eastAsia"/>
                <w:szCs w:val="24"/>
              </w:rPr>
              <w:t>符合</w:t>
            </w:r>
          </w:p>
        </w:tc>
      </w:tr>
    </w:tbl>
    <w:p>
      <w:pPr>
        <w:pStyle w:val="7"/>
      </w:pPr>
    </w:p>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243149"/>
    <w:rsid w:val="00025168"/>
    <w:rsid w:val="000618AA"/>
    <w:rsid w:val="001545CC"/>
    <w:rsid w:val="00180976"/>
    <w:rsid w:val="00243149"/>
    <w:rsid w:val="002A63FD"/>
    <w:rsid w:val="00377FE2"/>
    <w:rsid w:val="003C2F67"/>
    <w:rsid w:val="004F45B0"/>
    <w:rsid w:val="00506817"/>
    <w:rsid w:val="00583A32"/>
    <w:rsid w:val="006F2978"/>
    <w:rsid w:val="007E7F5A"/>
    <w:rsid w:val="00836EE4"/>
    <w:rsid w:val="008B4C7E"/>
    <w:rsid w:val="008C662D"/>
    <w:rsid w:val="00A85E54"/>
    <w:rsid w:val="00C02CA6"/>
    <w:rsid w:val="00C7290D"/>
    <w:rsid w:val="00E37431"/>
    <w:rsid w:val="00EC51FD"/>
    <w:rsid w:val="00F15CC6"/>
    <w:rsid w:val="00FD1594"/>
    <w:rsid w:val="017224FF"/>
    <w:rsid w:val="02A878FA"/>
    <w:rsid w:val="02AD35B5"/>
    <w:rsid w:val="0368461B"/>
    <w:rsid w:val="044F0F68"/>
    <w:rsid w:val="04646D48"/>
    <w:rsid w:val="047532D2"/>
    <w:rsid w:val="04A136EB"/>
    <w:rsid w:val="055220C2"/>
    <w:rsid w:val="07055295"/>
    <w:rsid w:val="09E356A1"/>
    <w:rsid w:val="0A7F6F7A"/>
    <w:rsid w:val="0A7F791A"/>
    <w:rsid w:val="0AA95D5D"/>
    <w:rsid w:val="0AAC35C5"/>
    <w:rsid w:val="0BCE14BC"/>
    <w:rsid w:val="0BD217E9"/>
    <w:rsid w:val="0D5962D8"/>
    <w:rsid w:val="0E671BBA"/>
    <w:rsid w:val="10BE55D6"/>
    <w:rsid w:val="10D425A5"/>
    <w:rsid w:val="110F780B"/>
    <w:rsid w:val="114B1966"/>
    <w:rsid w:val="11965CCD"/>
    <w:rsid w:val="129011E2"/>
    <w:rsid w:val="12904F23"/>
    <w:rsid w:val="12933D1F"/>
    <w:rsid w:val="14680DD7"/>
    <w:rsid w:val="14735C84"/>
    <w:rsid w:val="150A5601"/>
    <w:rsid w:val="15C00529"/>
    <w:rsid w:val="15F778EA"/>
    <w:rsid w:val="16756742"/>
    <w:rsid w:val="16D80FB8"/>
    <w:rsid w:val="16DB4CA3"/>
    <w:rsid w:val="172E4260"/>
    <w:rsid w:val="17E267D0"/>
    <w:rsid w:val="18A528CD"/>
    <w:rsid w:val="18B0205D"/>
    <w:rsid w:val="18B11E15"/>
    <w:rsid w:val="18F56F1F"/>
    <w:rsid w:val="192A76E1"/>
    <w:rsid w:val="1A74667E"/>
    <w:rsid w:val="1AD43877"/>
    <w:rsid w:val="1DA63421"/>
    <w:rsid w:val="1E7B1BF8"/>
    <w:rsid w:val="1E7D29D5"/>
    <w:rsid w:val="1E8C3D8B"/>
    <w:rsid w:val="1FF96882"/>
    <w:rsid w:val="21054632"/>
    <w:rsid w:val="21663AEF"/>
    <w:rsid w:val="231E6F54"/>
    <w:rsid w:val="23BC5D13"/>
    <w:rsid w:val="23F35E2C"/>
    <w:rsid w:val="24535F51"/>
    <w:rsid w:val="24C93DFA"/>
    <w:rsid w:val="24F82D3A"/>
    <w:rsid w:val="25F021EB"/>
    <w:rsid w:val="261749A4"/>
    <w:rsid w:val="263E2131"/>
    <w:rsid w:val="27891BCA"/>
    <w:rsid w:val="27A94797"/>
    <w:rsid w:val="282C0A59"/>
    <w:rsid w:val="287825A8"/>
    <w:rsid w:val="287868F1"/>
    <w:rsid w:val="289171C8"/>
    <w:rsid w:val="29461A95"/>
    <w:rsid w:val="29724E6F"/>
    <w:rsid w:val="29EF0FE0"/>
    <w:rsid w:val="2A614368"/>
    <w:rsid w:val="2B8A731A"/>
    <w:rsid w:val="2C276741"/>
    <w:rsid w:val="2C687272"/>
    <w:rsid w:val="2CFE2EBD"/>
    <w:rsid w:val="2D5F1902"/>
    <w:rsid w:val="2D6E7DCA"/>
    <w:rsid w:val="2D7E6439"/>
    <w:rsid w:val="2EA26346"/>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60D38D6"/>
    <w:rsid w:val="37391750"/>
    <w:rsid w:val="37626609"/>
    <w:rsid w:val="382A1498"/>
    <w:rsid w:val="391D0CBF"/>
    <w:rsid w:val="39AB3B94"/>
    <w:rsid w:val="3A313D69"/>
    <w:rsid w:val="3B001218"/>
    <w:rsid w:val="3C2E5685"/>
    <w:rsid w:val="3CE83F75"/>
    <w:rsid w:val="3D063022"/>
    <w:rsid w:val="3D540D21"/>
    <w:rsid w:val="3E034071"/>
    <w:rsid w:val="3E9840BA"/>
    <w:rsid w:val="3F612A86"/>
    <w:rsid w:val="3FCB31FB"/>
    <w:rsid w:val="3FFB6CAC"/>
    <w:rsid w:val="40302074"/>
    <w:rsid w:val="40657F53"/>
    <w:rsid w:val="407E3620"/>
    <w:rsid w:val="41492CC7"/>
    <w:rsid w:val="430E01BF"/>
    <w:rsid w:val="43BB0633"/>
    <w:rsid w:val="43ED3CE6"/>
    <w:rsid w:val="43F46BC8"/>
    <w:rsid w:val="444368F1"/>
    <w:rsid w:val="459A49C6"/>
    <w:rsid w:val="46B3381D"/>
    <w:rsid w:val="47990E72"/>
    <w:rsid w:val="47DE002C"/>
    <w:rsid w:val="494E6D3E"/>
    <w:rsid w:val="497E7CB2"/>
    <w:rsid w:val="498132B5"/>
    <w:rsid w:val="4983482B"/>
    <w:rsid w:val="49D8349A"/>
    <w:rsid w:val="4A1527E2"/>
    <w:rsid w:val="4A183DB9"/>
    <w:rsid w:val="4A2A7B7A"/>
    <w:rsid w:val="4A572099"/>
    <w:rsid w:val="4ABC3E3C"/>
    <w:rsid w:val="4BF31933"/>
    <w:rsid w:val="4C2D3B21"/>
    <w:rsid w:val="4CDD3555"/>
    <w:rsid w:val="4D441B5E"/>
    <w:rsid w:val="4DE12C08"/>
    <w:rsid w:val="4E827FDF"/>
    <w:rsid w:val="4EB4643D"/>
    <w:rsid w:val="4F6F455F"/>
    <w:rsid w:val="4FCC1B0D"/>
    <w:rsid w:val="507E0C4B"/>
    <w:rsid w:val="50A678E9"/>
    <w:rsid w:val="5139256B"/>
    <w:rsid w:val="516B2C3C"/>
    <w:rsid w:val="51F677CD"/>
    <w:rsid w:val="52862C86"/>
    <w:rsid w:val="52942C93"/>
    <w:rsid w:val="53BF3567"/>
    <w:rsid w:val="540A1BF6"/>
    <w:rsid w:val="54161EE3"/>
    <w:rsid w:val="544608F2"/>
    <w:rsid w:val="545E71A1"/>
    <w:rsid w:val="54696C7B"/>
    <w:rsid w:val="54C4610A"/>
    <w:rsid w:val="54DC0B70"/>
    <w:rsid w:val="54E41A22"/>
    <w:rsid w:val="554A7BD5"/>
    <w:rsid w:val="554F7F61"/>
    <w:rsid w:val="555627A9"/>
    <w:rsid w:val="572046DA"/>
    <w:rsid w:val="57232364"/>
    <w:rsid w:val="57E02D82"/>
    <w:rsid w:val="58412722"/>
    <w:rsid w:val="58A607D1"/>
    <w:rsid w:val="5925219B"/>
    <w:rsid w:val="595C777B"/>
    <w:rsid w:val="5A216A79"/>
    <w:rsid w:val="5A52048E"/>
    <w:rsid w:val="5B0C65C3"/>
    <w:rsid w:val="5B4909F4"/>
    <w:rsid w:val="5B8F1373"/>
    <w:rsid w:val="5C6C238E"/>
    <w:rsid w:val="5CA44655"/>
    <w:rsid w:val="5CB84D41"/>
    <w:rsid w:val="5CEF6E83"/>
    <w:rsid w:val="5D3341F7"/>
    <w:rsid w:val="5D615A5A"/>
    <w:rsid w:val="5E0D1DF5"/>
    <w:rsid w:val="5E3B7160"/>
    <w:rsid w:val="5E58380F"/>
    <w:rsid w:val="5E8158E5"/>
    <w:rsid w:val="60D55CF6"/>
    <w:rsid w:val="6228361E"/>
    <w:rsid w:val="62567072"/>
    <w:rsid w:val="62DE44EC"/>
    <w:rsid w:val="631E16AD"/>
    <w:rsid w:val="633650EE"/>
    <w:rsid w:val="65215227"/>
    <w:rsid w:val="652F30CD"/>
    <w:rsid w:val="655662BC"/>
    <w:rsid w:val="65982E26"/>
    <w:rsid w:val="659F30BB"/>
    <w:rsid w:val="65E66748"/>
    <w:rsid w:val="660C1F10"/>
    <w:rsid w:val="67103A3A"/>
    <w:rsid w:val="69FD7A40"/>
    <w:rsid w:val="6A6654FC"/>
    <w:rsid w:val="6AF672B5"/>
    <w:rsid w:val="6AFB2694"/>
    <w:rsid w:val="6B26178E"/>
    <w:rsid w:val="6B961467"/>
    <w:rsid w:val="6D756370"/>
    <w:rsid w:val="6E564D5F"/>
    <w:rsid w:val="6E7D320D"/>
    <w:rsid w:val="6ED22398"/>
    <w:rsid w:val="6EF0143C"/>
    <w:rsid w:val="6F29032D"/>
    <w:rsid w:val="6F8D311E"/>
    <w:rsid w:val="6F8F5DE6"/>
    <w:rsid w:val="6FAE04BE"/>
    <w:rsid w:val="6FB0350B"/>
    <w:rsid w:val="6FE87070"/>
    <w:rsid w:val="70040F0B"/>
    <w:rsid w:val="701C7F41"/>
    <w:rsid w:val="70867216"/>
    <w:rsid w:val="70E74CBF"/>
    <w:rsid w:val="71C5439E"/>
    <w:rsid w:val="71E7316F"/>
    <w:rsid w:val="71EB4FB9"/>
    <w:rsid w:val="72A756E5"/>
    <w:rsid w:val="737418B1"/>
    <w:rsid w:val="739E5DA9"/>
    <w:rsid w:val="74335E9E"/>
    <w:rsid w:val="7447595C"/>
    <w:rsid w:val="746E52BD"/>
    <w:rsid w:val="74760401"/>
    <w:rsid w:val="753D6821"/>
    <w:rsid w:val="75AB7F36"/>
    <w:rsid w:val="75AC77E8"/>
    <w:rsid w:val="75E82E37"/>
    <w:rsid w:val="760B4953"/>
    <w:rsid w:val="7627135C"/>
    <w:rsid w:val="764A4D00"/>
    <w:rsid w:val="77072C53"/>
    <w:rsid w:val="778779C1"/>
    <w:rsid w:val="78022F7A"/>
    <w:rsid w:val="781366EA"/>
    <w:rsid w:val="788519C0"/>
    <w:rsid w:val="78D32AB4"/>
    <w:rsid w:val="79087A16"/>
    <w:rsid w:val="792523AB"/>
    <w:rsid w:val="7A2F0D19"/>
    <w:rsid w:val="7A3D0850"/>
    <w:rsid w:val="7B0F44C9"/>
    <w:rsid w:val="7BB62FD7"/>
    <w:rsid w:val="7BEF2A66"/>
    <w:rsid w:val="7C112D39"/>
    <w:rsid w:val="7C221107"/>
    <w:rsid w:val="7C2F4330"/>
    <w:rsid w:val="7C612DF3"/>
    <w:rsid w:val="7CB94C8E"/>
    <w:rsid w:val="7CFF506C"/>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A6473-E77B-4FAD-A437-02A74D0CC76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547</Words>
  <Characters>3123</Characters>
  <Lines>26</Lines>
  <Paragraphs>7</Paragraphs>
  <TotalTime>85</TotalTime>
  <ScaleCrop>false</ScaleCrop>
  <LinksUpToDate>false</LinksUpToDate>
  <CharactersWithSpaces>3663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2022-06-11T05:12:59Z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3D088F65DA464124B41B30C9F5AF33C1</vt:lpwstr>
  </property>
</Properties>
</file>