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2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2038"/>
        <w:gridCol w:w="952"/>
        <w:gridCol w:w="761"/>
        <w:gridCol w:w="9369"/>
        <w:gridCol w:w="2"/>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5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0" w:type="dxa"/>
            <w:gridSpan w:val="2"/>
            <w:vAlign w:val="center"/>
          </w:tcPr>
          <w:p>
            <w:pPr>
              <w:rPr>
                <w:sz w:val="24"/>
                <w:szCs w:val="24"/>
              </w:rPr>
            </w:pPr>
            <w:r>
              <w:rPr>
                <w:rFonts w:hint="eastAsia"/>
                <w:sz w:val="24"/>
                <w:szCs w:val="24"/>
              </w:rPr>
              <w:t xml:space="preserve">受审核部门：领导层 </w:t>
            </w:r>
            <w:r>
              <w:rPr>
                <w:sz w:val="24"/>
                <w:szCs w:val="24"/>
              </w:rPr>
              <w:t xml:space="preserve">            </w:t>
            </w:r>
            <w:r>
              <w:rPr>
                <w:color w:val="0000FF"/>
                <w:sz w:val="24"/>
                <w:szCs w:val="24"/>
              </w:rPr>
              <w:t xml:space="preserve"> </w:t>
            </w:r>
            <w:r>
              <w:rPr>
                <w:rFonts w:hint="eastAsia"/>
                <w:sz w:val="24"/>
                <w:szCs w:val="24"/>
              </w:rPr>
              <w:t>陪同人员：周群</w:t>
            </w:r>
          </w:p>
        </w:tc>
        <w:tc>
          <w:tcPr>
            <w:tcW w:w="1589"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53" w:type="dxa"/>
            <w:gridSpan w:val="2"/>
            <w:vMerge w:val="continue"/>
            <w:vAlign w:val="center"/>
          </w:tcPr>
          <w:p/>
        </w:tc>
        <w:tc>
          <w:tcPr>
            <w:tcW w:w="952" w:type="dxa"/>
            <w:vMerge w:val="continue"/>
            <w:vAlign w:val="center"/>
          </w:tcPr>
          <w:p/>
        </w:tc>
        <w:tc>
          <w:tcPr>
            <w:tcW w:w="10130" w:type="dxa"/>
            <w:gridSpan w:val="2"/>
            <w:vAlign w:val="center"/>
          </w:tcPr>
          <w:p>
            <w:pPr>
              <w:spacing w:before="120"/>
            </w:pPr>
            <w:r>
              <w:rPr>
                <w:rFonts w:hint="eastAsia"/>
                <w:sz w:val="24"/>
                <w:szCs w:val="24"/>
              </w:rPr>
              <w:t>审核员：</w:t>
            </w:r>
            <w:r>
              <w:rPr>
                <w:sz w:val="24"/>
                <w:szCs w:val="24"/>
              </w:rPr>
              <w:t xml:space="preserve"> </w:t>
            </w:r>
            <w:r>
              <w:rPr>
                <w:rFonts w:hint="eastAsia"/>
                <w:sz w:val="24"/>
                <w:szCs w:val="24"/>
              </w:rPr>
              <w:t>任</w:t>
            </w:r>
            <w:r>
              <w:rPr>
                <w:sz w:val="24"/>
                <w:szCs w:val="24"/>
              </w:rPr>
              <w:t>学礼</w:t>
            </w:r>
            <w:r>
              <w:rPr>
                <w:rFonts w:hint="eastAsia"/>
                <w:sz w:val="24"/>
                <w:szCs w:val="24"/>
              </w:rPr>
              <w:t xml:space="preserve">（远程）[视频、微信、语音] </w:t>
            </w:r>
            <w:r>
              <w:rPr>
                <w:sz w:val="24"/>
                <w:szCs w:val="24"/>
              </w:rPr>
              <w:t xml:space="preserve">                </w:t>
            </w:r>
            <w:r>
              <w:rPr>
                <w:rFonts w:hint="eastAsia"/>
                <w:sz w:val="24"/>
                <w:szCs w:val="24"/>
              </w:rPr>
              <w:t>审核日期：2</w:t>
            </w:r>
            <w:r>
              <w:rPr>
                <w:sz w:val="24"/>
                <w:szCs w:val="24"/>
              </w:rPr>
              <w:t>02</w:t>
            </w:r>
            <w:r>
              <w:rPr>
                <w:rFonts w:hint="eastAsia"/>
                <w:sz w:val="24"/>
                <w:szCs w:val="24"/>
              </w:rPr>
              <w:t>2</w:t>
            </w:r>
            <w:r>
              <w:rPr>
                <w:sz w:val="24"/>
                <w:szCs w:val="24"/>
              </w:rPr>
              <w:t>.</w:t>
            </w:r>
            <w:r>
              <w:rPr>
                <w:rFonts w:hint="eastAsia"/>
                <w:sz w:val="24"/>
                <w:szCs w:val="24"/>
              </w:rPr>
              <w:t>6</w:t>
            </w:r>
            <w:r>
              <w:rPr>
                <w:sz w:val="24"/>
                <w:szCs w:val="24"/>
              </w:rPr>
              <w:t>.</w:t>
            </w:r>
            <w:r>
              <w:rPr>
                <w:rFonts w:hint="eastAsia"/>
                <w:sz w:val="24"/>
                <w:szCs w:val="24"/>
              </w:rPr>
              <w:t>6</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53" w:type="dxa"/>
            <w:gridSpan w:val="2"/>
            <w:vMerge w:val="continue"/>
            <w:vAlign w:val="center"/>
          </w:tcPr>
          <w:p/>
        </w:tc>
        <w:tc>
          <w:tcPr>
            <w:tcW w:w="952" w:type="dxa"/>
            <w:vMerge w:val="continue"/>
            <w:vAlign w:val="center"/>
          </w:tcPr>
          <w:p/>
        </w:tc>
        <w:tc>
          <w:tcPr>
            <w:tcW w:w="10130" w:type="dxa"/>
            <w:gridSpan w:val="2"/>
            <w:vAlign w:val="center"/>
          </w:tcPr>
          <w:p>
            <w:pPr>
              <w:spacing w:before="120"/>
              <w:rPr>
                <w:sz w:val="24"/>
                <w:szCs w:val="24"/>
              </w:rPr>
            </w:pPr>
            <w:r>
              <w:rPr>
                <w:rFonts w:hint="eastAsia"/>
                <w:sz w:val="24"/>
                <w:szCs w:val="24"/>
              </w:rPr>
              <w:t>审核条款：FSMS：4.1/4.2/4.3/4.4/5.1/5.2/5.3/6.1/6.2/6.3/7.1.1</w:t>
            </w:r>
            <w:r>
              <w:rPr>
                <w:sz w:val="24"/>
                <w:szCs w:val="24"/>
              </w:rPr>
              <w:t>/7.1.5/</w:t>
            </w:r>
            <w:r>
              <w:rPr>
                <w:rFonts w:hint="eastAsia"/>
                <w:sz w:val="24"/>
                <w:szCs w:val="24"/>
              </w:rPr>
              <w:t>9.1.1/</w:t>
            </w:r>
            <w:r>
              <w:rPr>
                <w:sz w:val="24"/>
                <w:szCs w:val="24"/>
              </w:rPr>
              <w:t>9.2/</w:t>
            </w:r>
            <w:r>
              <w:rPr>
                <w:rFonts w:hint="eastAsia"/>
                <w:sz w:val="24"/>
                <w:szCs w:val="24"/>
              </w:rPr>
              <w:t>9.3/</w:t>
            </w:r>
            <w:r>
              <w:rPr>
                <w:sz w:val="24"/>
                <w:szCs w:val="24"/>
              </w:rPr>
              <w:t>10.1/</w:t>
            </w:r>
            <w:r>
              <w:rPr>
                <w:rFonts w:hint="eastAsia"/>
                <w:sz w:val="24"/>
                <w:szCs w:val="24"/>
              </w:rPr>
              <w:t>10.2/10.3</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 xml:space="preserve">《组织及其环境控制程序》、☑管理手册第4.1章 </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远程视频语音与最高管理者沟通：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因疫情影响运输成本上升、影响客户的及时交付率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pPr>
                    <w:rPr>
                      <w:highlight w:val="yellow"/>
                    </w:rPr>
                  </w:pPr>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员工均具有本行业多年工作经验，自身素质较强。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公司成立多年，有固定的销售渠道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个体企业逐年增多，价格战越来越激烈，利润越来越小。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vAlign w:val="center"/>
                </w:tcPr>
                <w:p>
                  <w:pPr>
                    <w:widowControl/>
                    <w:jc w:val="left"/>
                    <w:textAlignment w:val="center"/>
                    <w:rPr>
                      <w:szCs w:val="24"/>
                    </w:rPr>
                  </w:pPr>
                  <w:r>
                    <w:rPr>
                      <w:rFonts w:hint="eastAsia"/>
                    </w:rPr>
                    <w:t>主要合作单位是航空公司，由于疫情影响，订单量不断降低，严重影响公司的销售量</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rPr>
                    <w:t>市场竞争的加剧，不断促使公司管理水平的提升</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组织内外部环境分析表</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《理解相关方的需求和期望控制程序》、</w:t>
            </w:r>
            <w:r>
              <w:rPr>
                <w:rFonts w:hint="eastAsia"/>
              </w:rPr>
              <w:sym w:font="Wingdings 2" w:char="0052"/>
            </w:r>
            <w:r>
              <w:rPr>
                <w:rFonts w:hint="eastAsia"/>
              </w:rPr>
              <w:t>管理手册第4.2章</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495" w:type="dxa"/>
                </w:tcPr>
                <w:p>
                  <w:r>
                    <w:rPr>
                      <w:rFonts w:hint="eastAsia"/>
                    </w:rPr>
                    <w:t>相关方名称举例</w:t>
                  </w:r>
                </w:p>
              </w:tc>
              <w:tc>
                <w:tcPr>
                  <w:tcW w:w="3611" w:type="dxa"/>
                </w:tcPr>
                <w:p>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r>
                    <w:rPr>
                      <w:rFonts w:hint="eastAsia"/>
                    </w:rPr>
                    <w:t>涞水县工商管理局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vAlign w:val="center"/>
                </w:tcPr>
                <w:p>
                  <w:r>
                    <w:rPr>
                      <w:rFonts w:hint="eastAsia"/>
                    </w:rPr>
                    <w:t>蒙牛高科乳制品（北京）有限责任公司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2495" w:type="dxa"/>
                </w:tcPr>
                <w:p>
                  <w:r>
                    <w:rPr>
                      <w:rFonts w:hint="eastAsia"/>
                    </w:rPr>
                    <w:t>广州南联航空食品有限公司北京分公司</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大群群体</w:t>
                  </w:r>
                </w:p>
              </w:tc>
              <w:tc>
                <w:tcPr>
                  <w:tcW w:w="3611" w:type="dxa"/>
                </w:tcPr>
                <w:p>
                  <w:r>
                    <w:rPr>
                      <w:rFonts w:ascii="Segoe UI Symbol" w:hAnsi="Segoe UI Symbol" w:cs="Segoe UI Symbol"/>
                    </w:rPr>
                    <w:t>☑</w:t>
                  </w:r>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szCs w:val="24"/>
                    </w:rPr>
                  </w:pPr>
                  <w:r>
                    <w:rPr>
                      <w:rFonts w:hint="eastAsia"/>
                      <w:szCs w:val="24"/>
                    </w:rPr>
                    <w:t>职工</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投资方</w:t>
                  </w:r>
                </w:p>
                <w:p>
                  <w:r>
                    <w:rPr>
                      <w:rFonts w:hint="eastAsia"/>
                    </w:rPr>
                    <w:sym w:font="Wingdings 2" w:char="0052"/>
                  </w:r>
                  <w:r>
                    <w:rPr>
                      <w:rFonts w:hint="eastAsia"/>
                    </w:rPr>
                    <w:t>股东</w:t>
                  </w:r>
                </w:p>
                <w:p/>
              </w:tc>
              <w:tc>
                <w:tcPr>
                  <w:tcW w:w="2495" w:type="dxa"/>
                </w:tcPr>
                <w:p>
                  <w:r>
                    <w:softHyphen/>
                  </w:r>
                  <w: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r>
                    <w:rPr>
                      <w:rFonts w:hint="eastAsia"/>
                    </w:rPr>
                    <w:t>周边</w:t>
                  </w:r>
                  <w:r>
                    <w:t>居民和企业</w:t>
                  </w: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确定食品安全管理体系的范围</w:t>
            </w:r>
          </w:p>
        </w:tc>
        <w:tc>
          <w:tcPr>
            <w:tcW w:w="952" w:type="dxa"/>
            <w:vMerge w:val="restart"/>
          </w:tcPr>
          <w:p>
            <w:r>
              <w:rPr>
                <w:rFonts w:hint="eastAsia"/>
              </w:rPr>
              <w:t>F4.3</w:t>
            </w:r>
          </w:p>
          <w:p/>
        </w:tc>
        <w:tc>
          <w:tcPr>
            <w:tcW w:w="761" w:type="dxa"/>
          </w:tcPr>
          <w:p>
            <w:r>
              <w:rPr>
                <w:rFonts w:hint="eastAsia"/>
              </w:rPr>
              <w:t>文件名称</w:t>
            </w:r>
          </w:p>
        </w:tc>
        <w:tc>
          <w:tcPr>
            <w:tcW w:w="9369" w:type="dxa"/>
          </w:tcPr>
          <w:p>
            <w:r>
              <w:rPr>
                <w:rFonts w:hint="eastAsia"/>
              </w:rPr>
              <w:t>如：管理手册第4.2章和“公司介绍”</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1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715" w:type="dxa"/>
                </w:tcPr>
                <w:p>
                  <w:r>
                    <w:rPr>
                      <w:rFonts w:hint="eastAsia"/>
                    </w:rPr>
                    <w:t>内容描述</w:t>
                  </w:r>
                </w:p>
              </w:tc>
              <w:tc>
                <w:tcPr>
                  <w:tcW w:w="241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715" w:type="dxa"/>
                </w:tcPr>
                <w:p>
                  <w:pPr>
                    <w:rPr>
                      <w:highlight w:val="yellow"/>
                    </w:rPr>
                  </w:pPr>
                  <w:r>
                    <w:rPr>
                      <w:rFonts w:hint="eastAsia"/>
                    </w:rPr>
                    <w:t>位于河北省保定市涞水县一渡镇龙安村河北中农农业科技有限公司的预包装食品销售（不含冷藏冷冻食品）</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715" w:type="dxa"/>
                </w:tcPr>
                <w:p>
                  <w:bookmarkStart w:id="0" w:name="注册地址"/>
                  <w:r>
                    <w:rPr>
                      <w:rFonts w:hint="eastAsia"/>
                    </w:rPr>
                    <w:t>河北省保定市涞水县一渡镇龙安村</w:t>
                  </w:r>
                  <w:bookmarkEnd w:id="0"/>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715" w:type="dxa"/>
                </w:tcPr>
                <w:p>
                  <w:pPr>
                    <w:rPr>
                      <w:color w:val="00B050"/>
                    </w:rPr>
                  </w:pPr>
                  <w:r>
                    <w:rPr>
                      <w:rFonts w:hint="eastAsia"/>
                      <w:color w:val="00B050"/>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715" w:type="dxa"/>
                </w:tcPr>
                <w:p>
                  <w:pPr>
                    <w:rPr>
                      <w:color w:val="00B050"/>
                    </w:rPr>
                  </w:pPr>
                  <w:r>
                    <w:rPr>
                      <w:rFonts w:hint="eastAsia"/>
                      <w:color w:val="00B050"/>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715"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715" w:type="dxa"/>
                </w:tcPr>
                <w:p>
                  <w:r>
                    <w:rPr>
                      <w:rFonts w:hint="eastAsia"/>
                    </w:rPr>
                    <w:sym w:font="Wingdings" w:char="00A8"/>
                  </w:r>
                  <w:r>
                    <w:rPr>
                      <w:rFonts w:hint="eastAsia"/>
                    </w:rPr>
                    <w:t xml:space="preserve"> 体系建立以来：</w:t>
                  </w:r>
                </w:p>
                <w:p>
                  <w:r>
                    <w:rPr>
                      <w:rFonts w:hint="eastAsia"/>
                    </w:rPr>
                    <w:sym w:font="Wingdings" w:char="00FE"/>
                  </w:r>
                  <w:r>
                    <w:rPr>
                      <w:rFonts w:hint="eastAsia"/>
                    </w:rPr>
                    <w:t xml:space="preserve"> 近一年以来：</w:t>
                  </w:r>
                  <w:r>
                    <w:rPr>
                      <w:rFonts w:hint="eastAsia"/>
                      <w:u w:val="single"/>
                    </w:rPr>
                    <w:t>20</w:t>
                  </w:r>
                  <w:r>
                    <w:rPr>
                      <w:u w:val="single"/>
                    </w:rPr>
                    <w:t>21</w:t>
                  </w:r>
                  <w:r>
                    <w:rPr>
                      <w:rFonts w:hint="eastAsia"/>
                      <w:u w:val="single"/>
                    </w:rPr>
                    <w:t>-08-</w:t>
                  </w:r>
                  <w:r>
                    <w:rPr>
                      <w:u w:val="single"/>
                    </w:rPr>
                    <w:t>01</w:t>
                  </w:r>
                  <w:r>
                    <w:rPr>
                      <w:rFonts w:hint="eastAsia"/>
                      <w:u w:val="single"/>
                    </w:rPr>
                    <w:t xml:space="preserve">  </w:t>
                  </w:r>
                </w:p>
              </w:tc>
              <w:tc>
                <w:tcPr>
                  <w:tcW w:w="2417" w:type="dxa"/>
                </w:tcPr>
                <w:p/>
              </w:tc>
            </w:tr>
          </w:tbl>
          <w:p/>
          <w:p>
            <w:pPr>
              <w:rPr>
                <w:color w:val="000000"/>
                <w:szCs w:val="21"/>
              </w:rPr>
            </w:pPr>
            <w:r>
              <w:rPr>
                <w:rFonts w:hint="eastAsia"/>
                <w:color w:val="000000"/>
                <w:szCs w:val="21"/>
              </w:rPr>
              <w:t>在企业的管理手册中有描述。-</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食品安全管理体系</w:t>
            </w:r>
          </w:p>
        </w:tc>
        <w:tc>
          <w:tcPr>
            <w:tcW w:w="952" w:type="dxa"/>
            <w:vMerge w:val="restart"/>
          </w:tcPr>
          <w:p>
            <w:r>
              <w:rPr>
                <w:rFonts w:hint="eastAsia"/>
              </w:rPr>
              <w:t xml:space="preserve">F4.4 </w:t>
            </w:r>
          </w:p>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 xml:space="preserve"> 管理手册第4.4章、</w:t>
            </w:r>
            <w:r>
              <w:rPr/>
              <w:sym w:font="Wingdings" w:char="00A8"/>
            </w:r>
            <w:r>
              <w:rPr>
                <w:rFonts w:hint="eastAsia"/>
              </w:rPr>
              <w:t>《过程清单》</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）（无外包）</w:t>
            </w:r>
          </w:p>
          <w:p>
            <w:pPr>
              <w:spacing w:before="40" w:after="40"/>
            </w:pPr>
            <w:r>
              <w:rPr>
                <w:rFonts w:hint="eastAsia"/>
              </w:rPr>
              <w:t xml:space="preserve">□建立FSMS □危害分析 □制订PRP和OPRP、HACCP计划 □生产/服务过程  □产品运输 </w:t>
            </w:r>
          </w:p>
          <w:p>
            <w:pPr>
              <w:spacing w:before="40" w:after="40"/>
            </w:pPr>
            <w:r>
              <w:rPr>
                <w:rFonts w:hint="eastAsia"/>
              </w:rPr>
              <w:t>□设备维修   □人员培训 □PRP和OPRP、HACCP验证 □其他</w:t>
            </w:r>
          </w:p>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领导作用与承诺</w:t>
            </w:r>
          </w:p>
        </w:tc>
        <w:tc>
          <w:tcPr>
            <w:tcW w:w="952" w:type="dxa"/>
            <w:vMerge w:val="restart"/>
          </w:tcPr>
          <w:p>
            <w:r>
              <w:rPr>
                <w:rFonts w:hint="eastAsia"/>
              </w:rPr>
              <w:t>F5.1</w:t>
            </w:r>
          </w:p>
          <w:p/>
        </w:tc>
        <w:tc>
          <w:tcPr>
            <w:tcW w:w="761" w:type="dxa"/>
          </w:tcPr>
          <w:p>
            <w:r>
              <w:rPr>
                <w:rFonts w:hint="eastAsia"/>
              </w:rPr>
              <w:t>文件名称</w:t>
            </w:r>
          </w:p>
        </w:tc>
        <w:tc>
          <w:tcPr>
            <w:tcW w:w="9369" w:type="dxa"/>
          </w:tcPr>
          <w:p>
            <w:r>
              <w:rPr>
                <w:rFonts w:hint="eastAsia"/>
              </w:rPr>
              <w:t>如：管理手册第5.1章和“总经理岗位职责”</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食品安全方针</w:t>
            </w:r>
          </w:p>
        </w:tc>
        <w:tc>
          <w:tcPr>
            <w:tcW w:w="952" w:type="dxa"/>
            <w:vMerge w:val="restart"/>
          </w:tcPr>
          <w:p>
            <w:r>
              <w:rPr>
                <w:rFonts w:hint="eastAsia"/>
              </w:rPr>
              <w:t>F5.2 </w:t>
            </w:r>
          </w:p>
          <w:p/>
        </w:tc>
        <w:tc>
          <w:tcPr>
            <w:tcW w:w="761" w:type="dxa"/>
          </w:tcPr>
          <w:p>
            <w:r>
              <w:rPr>
                <w:rFonts w:hint="eastAsia"/>
              </w:rPr>
              <w:t>文件名称</w:t>
            </w:r>
          </w:p>
        </w:tc>
        <w:tc>
          <w:tcPr>
            <w:tcW w:w="9369" w:type="dxa"/>
          </w:tcPr>
          <w:p>
            <w:r>
              <w:rPr>
                <w:rFonts w:hint="eastAsia"/>
              </w:rPr>
              <w:t>如：</w:t>
            </w:r>
            <w:r>
              <w:rPr/>
              <w:sym w:font="Wingdings" w:char="00FE"/>
            </w:r>
            <w:r>
              <w:rPr>
                <w:rFonts w:hint="eastAsia"/>
              </w:rPr>
              <w:t>管理手册第5.2条款、</w:t>
            </w:r>
            <w:bookmarkStart w:id="1" w:name="_Toc12410"/>
            <w:bookmarkStart w:id="2" w:name="_Toc2553"/>
            <w:r>
              <w:rPr/>
              <w:sym w:font="Wingdings" w:char="00FE"/>
            </w:r>
            <w:r>
              <w:rPr>
                <w:rFonts w:hint="eastAsia"/>
              </w:rPr>
              <w:t>03 方针、目标颁布令</w:t>
            </w:r>
            <w:bookmarkEnd w:id="1"/>
            <w:bookmarkEnd w:id="2"/>
          </w:p>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color w:val="000000"/>
                <w:szCs w:val="21"/>
              </w:rPr>
              <w:t xml:space="preserve"> </w:t>
            </w:r>
            <w:r>
              <w:rPr>
                <w:rFonts w:hint="eastAsia"/>
              </w:rPr>
              <w:t>最高管理者制定了文件化的食品安全体系方针：</w:t>
            </w:r>
          </w:p>
          <w:p/>
          <w:p>
            <w:pPr>
              <w:rPr>
                <w:rFonts w:ascii="宋体" w:hAnsi="宋体"/>
                <w:b/>
                <w:bCs/>
                <w:szCs w:val="21"/>
                <w:u w:val="single"/>
              </w:rPr>
            </w:pPr>
            <w:r>
              <w:rPr>
                <w:rFonts w:hint="eastAsia"/>
                <w:b/>
                <w:bCs/>
                <w:szCs w:val="21"/>
                <w:u w:val="single"/>
              </w:rPr>
              <w:t xml:space="preserve"> 品放心食品，享健康生活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r>
              <w:rPr>
                <w:rFonts w:hint="eastAsia"/>
              </w:rPr>
              <w:t>☑包括持续改进食品安全管理体系的承诺</w:t>
            </w:r>
          </w:p>
          <w:p>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组织的角色、职责和权限</w:t>
            </w:r>
          </w:p>
          <w:p/>
        </w:tc>
        <w:tc>
          <w:tcPr>
            <w:tcW w:w="952" w:type="dxa"/>
            <w:vMerge w:val="restart"/>
          </w:tcPr>
          <w:p>
            <w:r>
              <w:rPr>
                <w:rFonts w:hint="eastAsia"/>
              </w:rPr>
              <w:t>F5.3  </w:t>
            </w:r>
          </w:p>
        </w:tc>
        <w:tc>
          <w:tcPr>
            <w:tcW w:w="761" w:type="dxa"/>
          </w:tcPr>
          <w:p>
            <w:r>
              <w:rPr>
                <w:rFonts w:hint="eastAsia"/>
              </w:rPr>
              <w:t>文件名称</w:t>
            </w:r>
          </w:p>
        </w:tc>
        <w:tc>
          <w:tcPr>
            <w:tcW w:w="9369" w:type="dxa"/>
          </w:tcPr>
          <w:p>
            <w:r>
              <w:rPr>
                <w:rFonts w:hint="eastAsia"/>
              </w:rPr>
              <w:t>如：</w:t>
            </w:r>
            <w:r>
              <w:rPr/>
              <w:sym w:font="Wingdings" w:char="00FE"/>
            </w:r>
            <w:r>
              <w:rPr>
                <w:rFonts w:hint="eastAsia"/>
              </w:rPr>
              <w:t>管理手册第5.3章</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原辅料</w:t>
                  </w:r>
                  <w:r>
                    <w:t>采购</w:t>
                  </w:r>
                </w:p>
              </w:tc>
              <w:tc>
                <w:tcPr>
                  <w:tcW w:w="2261" w:type="dxa"/>
                </w:tcPr>
                <w:p>
                  <w:r>
                    <w:rPr>
                      <w:rFonts w:hint="eastAsia"/>
                    </w:rPr>
                    <w:t>采购</w:t>
                  </w:r>
                  <w:r>
                    <w:t>部</w:t>
                  </w:r>
                </w:p>
              </w:tc>
              <w:tc>
                <w:tcPr>
                  <w:tcW w:w="2261" w:type="dxa"/>
                </w:tcPr>
                <w:p>
                  <w:pPr>
                    <w:rPr>
                      <w:highlight w:val="yellow"/>
                    </w:rPr>
                  </w:pPr>
                  <w:r>
                    <w:rPr>
                      <w:rFonts w:hint="eastAsia"/>
                    </w:rPr>
                    <w:t>FSMS验证和确认</w:t>
                  </w:r>
                </w:p>
              </w:tc>
              <w:tc>
                <w:tcPr>
                  <w:tcW w:w="2261" w:type="dxa"/>
                </w:tcPr>
                <w:p>
                  <w:pPr>
                    <w:rPr>
                      <w:highlight w:val="yellow"/>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w:t>
                  </w:r>
                  <w:r>
                    <w:t>管理</w:t>
                  </w:r>
                </w:p>
              </w:tc>
              <w:tc>
                <w:tcPr>
                  <w:tcW w:w="2261" w:type="dxa"/>
                </w:tcPr>
                <w:p>
                  <w:r>
                    <w:rPr>
                      <w:rFonts w:hint="eastAsia"/>
                    </w:rPr>
                    <w:t>办公室</w:t>
                  </w:r>
                </w:p>
              </w:tc>
              <w:tc>
                <w:tcPr>
                  <w:tcW w:w="2261" w:type="dxa"/>
                </w:tcPr>
                <w:p>
                  <w:r>
                    <w:rPr>
                      <w:rFonts w:hint="eastAsia"/>
                    </w:rPr>
                    <w:t>外部沟通</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原材料</w:t>
                  </w:r>
                  <w:r>
                    <w:t>检验</w:t>
                  </w:r>
                </w:p>
              </w:tc>
              <w:tc>
                <w:tcPr>
                  <w:tcW w:w="2261" w:type="dxa"/>
                </w:tcPr>
                <w:p>
                  <w:r>
                    <w:rPr>
                      <w:rFonts w:hint="eastAsia"/>
                    </w:rPr>
                    <w:t>销售部</w:t>
                  </w:r>
                </w:p>
              </w:tc>
              <w:tc>
                <w:tcPr>
                  <w:tcW w:w="2261" w:type="dxa"/>
                </w:tcPr>
                <w:p>
                  <w:r>
                    <w:rPr>
                      <w:rFonts w:hint="eastAsia"/>
                    </w:rPr>
                    <w:t>配送</w:t>
                  </w:r>
                  <w:r>
                    <w:t>安排</w:t>
                  </w:r>
                </w:p>
              </w:tc>
              <w:tc>
                <w:tcPr>
                  <w:tcW w:w="2261" w:type="dxa"/>
                </w:tcPr>
                <w:p>
                  <w:r>
                    <w:rPr>
                      <w:rFonts w:hint="eastAsia"/>
                    </w:rPr>
                    <w:t>销售部</w:t>
                  </w:r>
                </w:p>
              </w:tc>
            </w:tr>
          </w:tbl>
          <w:p/>
          <w:p>
            <w:r>
              <w:rPr>
                <w:rFonts w:hint="eastAsia"/>
              </w:rPr>
              <w:sym w:font="Wingdings" w:char="00FE"/>
            </w:r>
            <w:r>
              <w:rPr>
                <w:rFonts w:hint="eastAsia"/>
              </w:rPr>
              <w:t>HACCP小组长：</w:t>
            </w:r>
            <w:r>
              <w:rPr>
                <w:rFonts w:hint="eastAsia"/>
                <w:u w:val="single"/>
              </w:rPr>
              <w:t xml:space="preserve">  段常虹女士 </w:t>
            </w:r>
            <w:r>
              <w:rPr>
                <w:rFonts w:hint="eastAsia"/>
              </w:rPr>
              <w:t>，</w:t>
            </w:r>
          </w:p>
          <w:p/>
          <w:p>
            <w:pPr>
              <w:tabs>
                <w:tab w:val="left" w:pos="6570"/>
              </w:tabs>
            </w:pPr>
            <w:r>
              <w:t>食品安全组长负责：</w:t>
            </w:r>
            <w:r>
              <w:tab/>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手册第6.1条款</w:t>
            </w:r>
          </w:p>
        </w:tc>
        <w:tc>
          <w:tcPr>
            <w:tcW w:w="1589" w:type="dxa"/>
            <w:gridSpan w:val="3"/>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continue"/>
          </w:tcPr>
          <w:p/>
        </w:tc>
        <w:tc>
          <w:tcPr>
            <w:tcW w:w="952" w:type="dxa"/>
            <w:vMerge w:val="continue"/>
          </w:tcPr>
          <w:p>
            <w:pPr>
              <w:rPr>
                <w:color w:val="000000"/>
                <w:szCs w:val="21"/>
              </w:rPr>
            </w:pPr>
          </w:p>
        </w:tc>
        <w:tc>
          <w:tcPr>
            <w:tcW w:w="761" w:type="dxa"/>
          </w:tcPr>
          <w:p>
            <w:r>
              <w:rPr>
                <w:rFonts w:hint="eastAsia"/>
              </w:rPr>
              <w:t>运行证据</w:t>
            </w:r>
          </w:p>
        </w:tc>
        <w:tc>
          <w:tcPr>
            <w:tcW w:w="936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rPr>
                <w:color w:val="00B050"/>
              </w:rPr>
            </w:pPr>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宋体" w:hAnsi="宋体" w:cs="宋体"/>
                      <w:color w:val="000000"/>
                      <w:kern w:val="0"/>
                      <w:sz w:val="20"/>
                      <w:lang w:bidi="ar"/>
                    </w:rPr>
                  </w:pPr>
                  <w:r>
                    <w:rPr>
                      <w:rFonts w:hint="eastAsia" w:ascii="宋体" w:hAnsi="宋体" w:cs="宋体"/>
                      <w:color w:val="000000"/>
                      <w:kern w:val="0"/>
                      <w:sz w:val="20"/>
                      <w:lang w:bidi="ar"/>
                    </w:rPr>
                    <w:t>由于疫情影响，航空公司订单数量不断减少，给公司的销售带来巨大的压力</w:t>
                  </w:r>
                </w:p>
              </w:tc>
              <w:tc>
                <w:tcPr>
                  <w:tcW w:w="3421" w:type="dxa"/>
                  <w:vAlign w:val="center"/>
                </w:tcPr>
                <w:p>
                  <w:pPr>
                    <w:rPr>
                      <w:rFonts w:ascii="宋体" w:hAnsi="宋体" w:cs="宋体"/>
                      <w:color w:val="000000"/>
                      <w:kern w:val="0"/>
                      <w:sz w:val="20"/>
                      <w:lang w:bidi="ar"/>
                    </w:rPr>
                  </w:pPr>
                  <w:r>
                    <w:rPr>
                      <w:rFonts w:hint="eastAsia" w:ascii="宋体" w:hAnsi="宋体" w:cs="宋体"/>
                      <w:color w:val="000000"/>
                      <w:kern w:val="0"/>
                      <w:sz w:val="20"/>
                      <w:lang w:bidi="ar"/>
                    </w:rPr>
                    <w:t>在保证原有航空公司的业务基础上，开发别的行业的客户</w:t>
                  </w:r>
                </w:p>
              </w:tc>
              <w:tc>
                <w:tcPr>
                  <w:tcW w:w="2080" w:type="dxa"/>
                </w:tcPr>
                <w:p>
                  <w:pPr>
                    <w:rPr>
                      <w:rFonts w:ascii="宋体" w:hAnsi="宋体" w:cs="宋体"/>
                      <w:color w:val="000000"/>
                      <w:kern w:val="0"/>
                      <w:sz w:val="20"/>
                      <w:lang w:bidi="ar"/>
                    </w:rPr>
                  </w:pPr>
                  <w:r>
                    <w:rPr>
                      <w:rFonts w:hint="eastAsia" w:ascii="宋体" w:hAnsi="宋体" w:cs="宋体"/>
                      <w:color w:val="000000"/>
                      <w:kern w:val="0"/>
                      <w:sz w:val="20"/>
                      <w:lang w:bidi="ar"/>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szCs w:val="24"/>
                    </w:rPr>
                  </w:pPr>
                  <w:r>
                    <w:rPr>
                      <w:rFonts w:hint="eastAsia" w:ascii="宋体" w:hAnsi="宋体" w:cs="宋体"/>
                      <w:color w:val="000000"/>
                      <w:kern w:val="0"/>
                      <w:sz w:val="20"/>
                      <w:lang w:bidi="ar"/>
                    </w:rPr>
                    <w:t>公司运行中可能会对第三方产生不利的影响，或是第三方的要求公司目前无法满足，由此造成的冲突</w:t>
                  </w:r>
                </w:p>
              </w:tc>
              <w:tc>
                <w:tcPr>
                  <w:tcW w:w="3421" w:type="dxa"/>
                  <w:vAlign w:val="center"/>
                </w:tcPr>
                <w:p>
                  <w:r>
                    <w:rPr>
                      <w:rFonts w:hint="eastAsia" w:ascii="宋体" w:hAnsi="宋体" w:cs="宋体"/>
                      <w:color w:val="000000"/>
                      <w:kern w:val="0"/>
                      <w:sz w:val="20"/>
                      <w:lang w:bidi="ar"/>
                    </w:rPr>
                    <w:t>各职能部门加强与第三方的沟通，对第三方的要求及时进行处理，必要时及时提交公司高层进行资源配置，降低第三方的抱怨</w:t>
                  </w:r>
                </w:p>
              </w:tc>
              <w:tc>
                <w:tcPr>
                  <w:tcW w:w="2080" w:type="dxa"/>
                </w:tcPr>
                <w:p>
                  <w:r>
                    <w:rPr>
                      <w:rFonts w:hint="eastAsia" w:ascii="宋体" w:hAnsi="宋体" w:cs="宋体"/>
                      <w:color w:val="000000"/>
                      <w:kern w:val="0"/>
                      <w:sz w:val="20"/>
                      <w:lang w:bidi="ar"/>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Pr>
              <w:rPr>
                <w:color w:val="00B050"/>
              </w:rPr>
            </w:pPr>
          </w:p>
          <w:p>
            <w:pPr>
              <w:rPr>
                <w:highlight w:val="yellow"/>
              </w:rPr>
            </w:pPr>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r>
                    <w:rPr>
                      <w:rFonts w:hint="eastAsia"/>
                    </w:rPr>
                    <w:t>公司目前所在区域的社会形势稳定，对公司的稳定发展提供比较好的环境。</w:t>
                  </w:r>
                </w:p>
              </w:tc>
              <w:tc>
                <w:tcPr>
                  <w:tcW w:w="3760" w:type="dxa"/>
                </w:tcPr>
                <w:p>
                  <w:r>
                    <w:rPr>
                      <w:rFonts w:hint="eastAsia"/>
                    </w:rPr>
                    <w:t>做好人员积极储备工作，及时关注社会信息，为公司创造一个稳定的环境。</w:t>
                  </w:r>
                </w:p>
              </w:tc>
              <w:tc>
                <w:tcPr>
                  <w:tcW w:w="2071" w:type="dxa"/>
                </w:tcPr>
                <w:p>
                  <w:r>
                    <w:rPr>
                      <w:rFonts w:hint="eastAsia"/>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53" w:type="dxa"/>
            <w:gridSpan w:val="2"/>
            <w:vMerge w:val="continue"/>
          </w:tcPr>
          <w:p/>
        </w:tc>
        <w:tc>
          <w:tcPr>
            <w:tcW w:w="952" w:type="dxa"/>
          </w:tcPr>
          <w:p>
            <w:r>
              <w:rPr>
                <w:rFonts w:hint="eastAsia"/>
                <w:color w:val="000000"/>
                <w:szCs w:val="21"/>
              </w:rPr>
              <w:t>F6.1.2</w:t>
            </w:r>
          </w:p>
        </w:tc>
        <w:tc>
          <w:tcPr>
            <w:tcW w:w="761" w:type="dxa"/>
          </w:tcPr>
          <w:p>
            <w:r>
              <w:rPr>
                <w:rFonts w:hint="eastAsia"/>
              </w:rPr>
              <w:t>运行证据</w:t>
            </w:r>
          </w:p>
        </w:tc>
        <w:tc>
          <w:tcPr>
            <w:tcW w:w="9369"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解决这些风险和机遇的行动;——企业提供了《风险和机遇评估分析及措施表》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53" w:type="dxa"/>
            <w:gridSpan w:val="2"/>
            <w:vMerge w:val="continue"/>
          </w:tcPr>
          <w:p/>
        </w:tc>
        <w:tc>
          <w:tcPr>
            <w:tcW w:w="952" w:type="dxa"/>
          </w:tcPr>
          <w:p>
            <w:r>
              <w:rPr>
                <w:rFonts w:hint="eastAsia"/>
                <w:color w:val="000000"/>
                <w:szCs w:val="21"/>
              </w:rPr>
              <w:t>F6.1.3</w:t>
            </w:r>
          </w:p>
        </w:tc>
        <w:tc>
          <w:tcPr>
            <w:tcW w:w="761" w:type="dxa"/>
          </w:tcPr>
          <w:p>
            <w:r>
              <w:rPr>
                <w:rFonts w:hint="eastAsia"/>
              </w:rPr>
              <w:t>运行证据</w:t>
            </w:r>
          </w:p>
        </w:tc>
        <w:tc>
          <w:tcPr>
            <w:tcW w:w="9369"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color w:val="000000"/>
                <w:szCs w:val="21"/>
              </w:rPr>
              <w:t>食品安全管理体系目标及其实现的策划</w:t>
            </w:r>
          </w:p>
        </w:tc>
        <w:tc>
          <w:tcPr>
            <w:tcW w:w="952" w:type="dxa"/>
            <w:vMerge w:val="restart"/>
          </w:tcPr>
          <w:p>
            <w:r>
              <w:rPr>
                <w:rFonts w:hint="eastAsia"/>
                <w:color w:val="000000"/>
                <w:szCs w:val="21"/>
              </w:rPr>
              <w:t>F6.2</w:t>
            </w:r>
          </w:p>
        </w:tc>
        <w:tc>
          <w:tcPr>
            <w:tcW w:w="761" w:type="dxa"/>
          </w:tcPr>
          <w:p>
            <w:r>
              <w:rPr>
                <w:rFonts w:hint="eastAsia"/>
              </w:rPr>
              <w:t>文件名称</w:t>
            </w:r>
          </w:p>
        </w:tc>
        <w:tc>
          <w:tcPr>
            <w:tcW w:w="9369" w:type="dxa"/>
          </w:tcPr>
          <w:p>
            <w:pPr>
              <w:rPr>
                <w:highlight w:val="yellow"/>
              </w:rPr>
            </w:pPr>
            <w:r>
              <w:rPr>
                <w:rFonts w:hint="eastAsia"/>
              </w:rPr>
              <w:t>如：</w:t>
            </w:r>
            <w:r>
              <w:rPr>
                <w:rFonts w:hint="eastAsia"/>
              </w:rPr>
              <w:sym w:font="Wingdings" w:char="00FE"/>
            </w:r>
            <w:r>
              <w:rPr>
                <w:rFonts w:hint="eastAsia"/>
              </w:rPr>
              <w:t xml:space="preserve">手册第6.2条款 </w:t>
            </w:r>
            <w:r>
              <w:rPr>
                <w:rFonts w:hint="eastAsia"/>
              </w:rPr>
              <w:sym w:font="Wingdings" w:char="00FE"/>
            </w:r>
            <w:r>
              <w:rPr>
                <w:rFonts w:hint="eastAsia"/>
              </w:rPr>
              <w:t>《食品安全目标达成统计表》、《分解目标》</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144"/>
              <w:gridCol w:w="265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4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6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计算方法</w:t>
                  </w:r>
                </w:p>
              </w:tc>
              <w:tc>
                <w:tcPr>
                  <w:tcW w:w="177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目标实际完成（202</w:t>
                  </w:r>
                  <w:r>
                    <w:rPr>
                      <w:rFonts w:asciiTheme="minorEastAsia" w:hAnsiTheme="minorEastAsia" w:eastAsiaTheme="minorEastAsia"/>
                      <w:szCs w:val="21"/>
                    </w:rPr>
                    <w:t>1</w:t>
                  </w:r>
                  <w:r>
                    <w:rPr>
                      <w:rFonts w:hint="eastAsia" w:asciiTheme="minorEastAsia" w:hAnsiTheme="minorEastAsia" w:eastAsiaTheme="minorEastAsia"/>
                      <w:szCs w:val="21"/>
                    </w:rPr>
                    <w:t>年8~2022年4月）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2" w:type="dxa"/>
                  <w:shd w:val="clear" w:color="auto" w:fill="auto"/>
                  <w:vAlign w:val="center"/>
                </w:tcPr>
                <w:p>
                  <w:pPr>
                    <w:autoSpaceDE w:val="0"/>
                    <w:autoSpaceDN w:val="0"/>
                    <w:adjustRightInd w:val="0"/>
                    <w:spacing w:line="360" w:lineRule="auto"/>
                  </w:pPr>
                  <w:r>
                    <w:rPr>
                      <w:rFonts w:hint="eastAsia" w:ascii="宋体" w:hAnsi="宋体"/>
                      <w:szCs w:val="21"/>
                    </w:rPr>
                    <w:t>食品安全事故为0</w:t>
                  </w:r>
                </w:p>
              </w:tc>
              <w:tc>
                <w:tcPr>
                  <w:tcW w:w="1144" w:type="dxa"/>
                  <w:shd w:val="clear" w:color="auto" w:fill="auto"/>
                </w:tcPr>
                <w:p>
                  <w:r>
                    <w:rPr>
                      <w:rFonts w:hint="eastAsia"/>
                    </w:rPr>
                    <w:t>每季度</w:t>
                  </w:r>
                </w:p>
              </w:tc>
              <w:tc>
                <w:tcPr>
                  <w:tcW w:w="2651" w:type="dxa"/>
                  <w:shd w:val="clear" w:color="auto" w:fill="auto"/>
                </w:tcPr>
                <w:p>
                  <w:pPr>
                    <w:autoSpaceDE w:val="0"/>
                    <w:autoSpaceDN w:val="0"/>
                    <w:adjustRightInd w:val="0"/>
                    <w:spacing w:line="360" w:lineRule="auto"/>
                    <w:jc w:val="left"/>
                  </w:pPr>
                  <w:r>
                    <w:rPr>
                      <w:rFonts w:hint="eastAsia" w:ascii="宋体" w:hAnsi="宋体" w:cs="宋体"/>
                      <w:kern w:val="0"/>
                      <w:szCs w:val="21"/>
                    </w:rPr>
                    <w:t>统计食品安全事故</w:t>
                  </w:r>
                </w:p>
              </w:tc>
              <w:tc>
                <w:tcPr>
                  <w:tcW w:w="1774" w:type="dxa"/>
                  <w:shd w:val="clear" w:color="auto" w:fill="auto"/>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vAlign w:val="center"/>
                </w:tcPr>
                <w:p>
                  <w:pPr>
                    <w:tabs>
                      <w:tab w:val="left" w:pos="1800"/>
                    </w:tabs>
                    <w:spacing w:line="360" w:lineRule="auto"/>
                  </w:pPr>
                </w:p>
              </w:tc>
              <w:tc>
                <w:tcPr>
                  <w:tcW w:w="1144" w:type="dxa"/>
                  <w:shd w:val="clear" w:color="auto" w:fill="auto"/>
                </w:tcPr>
                <w:p/>
              </w:tc>
              <w:tc>
                <w:tcPr>
                  <w:tcW w:w="2651" w:type="dxa"/>
                  <w:shd w:val="clear" w:color="auto" w:fill="auto"/>
                </w:tcPr>
                <w:p>
                  <w:pPr>
                    <w:autoSpaceDE w:val="0"/>
                    <w:autoSpaceDN w:val="0"/>
                    <w:adjustRightInd w:val="0"/>
                    <w:spacing w:line="360" w:lineRule="auto"/>
                    <w:jc w:val="left"/>
                  </w:pPr>
                </w:p>
              </w:tc>
              <w:tc>
                <w:tcPr>
                  <w:tcW w:w="1774" w:type="dxa"/>
                  <w:shd w:val="clear" w:color="auto" w:fill="auto"/>
                </w:tc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pPr>
              <w:rPr>
                <w:color w:val="000000"/>
                <w:szCs w:val="21"/>
              </w:rPr>
            </w:pPr>
            <w:r>
              <w:rPr>
                <w:rFonts w:hint="eastAsia"/>
                <w:color w:val="000000"/>
                <w:szCs w:val="21"/>
              </w:rPr>
              <w:t>变更的策划</w:t>
            </w:r>
          </w:p>
          <w:p/>
        </w:tc>
        <w:tc>
          <w:tcPr>
            <w:tcW w:w="952" w:type="dxa"/>
            <w:vMerge w:val="restart"/>
          </w:tcPr>
          <w:p>
            <w:r>
              <w:rPr>
                <w:rFonts w:hint="eastAsia"/>
                <w:color w:val="000000"/>
                <w:szCs w:val="21"/>
              </w:rPr>
              <w:t>F6.3  </w:t>
            </w:r>
          </w:p>
        </w:tc>
        <w:tc>
          <w:tcPr>
            <w:tcW w:w="761" w:type="dxa"/>
          </w:tcPr>
          <w:p>
            <w:r>
              <w:rPr>
                <w:rFonts w:hint="eastAsia"/>
              </w:rPr>
              <w:t>文件名称</w:t>
            </w:r>
          </w:p>
        </w:tc>
        <w:tc>
          <w:tcPr>
            <w:tcW w:w="9369" w:type="dxa"/>
          </w:tcPr>
          <w:p>
            <w:r>
              <w:rPr>
                <w:rFonts w:hint="eastAsia"/>
              </w:rPr>
              <w:t>如：手册第6.3条款、</w:t>
            </w:r>
          </w:p>
        </w:tc>
        <w:tc>
          <w:tcPr>
            <w:tcW w:w="1589" w:type="dxa"/>
            <w:gridSpan w:val="3"/>
            <w:vMerge w:val="restart"/>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53" w:type="dxa"/>
            <w:gridSpan w:val="2"/>
            <w:vMerge w:val="restart"/>
          </w:tcPr>
          <w:p>
            <w:r>
              <w:rPr>
                <w:rFonts w:hint="eastAsia"/>
              </w:rPr>
              <w:t>资源（总则）</w:t>
            </w:r>
          </w:p>
        </w:tc>
        <w:tc>
          <w:tcPr>
            <w:tcW w:w="952" w:type="dxa"/>
            <w:vMerge w:val="restart"/>
          </w:tcPr>
          <w:p>
            <w:pPr>
              <w:rPr>
                <w:color w:val="000000"/>
                <w:szCs w:val="21"/>
              </w:rPr>
            </w:pPr>
            <w:r>
              <w:rPr>
                <w:rFonts w:hint="eastAsia"/>
                <w:color w:val="000000"/>
                <w:szCs w:val="21"/>
              </w:rPr>
              <w:t>F7.1 .1</w:t>
            </w:r>
          </w:p>
          <w:p/>
        </w:tc>
        <w:tc>
          <w:tcPr>
            <w:tcW w:w="761" w:type="dxa"/>
          </w:tcPr>
          <w:p>
            <w:r>
              <w:rPr>
                <w:rFonts w:hint="eastAsia"/>
              </w:rPr>
              <w:t>文件名称</w:t>
            </w:r>
          </w:p>
        </w:tc>
        <w:tc>
          <w:tcPr>
            <w:tcW w:w="9369" w:type="dxa"/>
          </w:tcPr>
          <w:p>
            <w:r>
              <w:rPr>
                <w:rFonts w:hint="eastAsia"/>
              </w:rPr>
              <w:t>如：手册第7.1条款、</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4000</w:t>
            </w:r>
            <w:r>
              <w:rPr>
                <w:rFonts w:hint="eastAsia"/>
              </w:rPr>
              <w:t>平方米；生产车间</w:t>
            </w:r>
            <w:r>
              <w:rPr>
                <w:rFonts w:hint="eastAsia"/>
                <w:u w:val="single"/>
              </w:rPr>
              <w:t xml:space="preserve">  0 </w:t>
            </w:r>
            <w:r>
              <w:rPr>
                <w:rFonts w:hint="eastAsia"/>
              </w:rPr>
              <w:t>个；库房</w:t>
            </w:r>
            <w:r>
              <w:rPr>
                <w:rFonts w:hint="eastAsia"/>
                <w:u w:val="single"/>
              </w:rPr>
              <w:t xml:space="preserve"> 2  </w:t>
            </w:r>
            <w:r>
              <w:rPr>
                <w:rFonts w:hint="eastAsia"/>
              </w:rPr>
              <w:t>个（简装品/精装品）</w:t>
            </w:r>
            <w:r>
              <w:rPr>
                <w:rFonts w:hint="eastAsia"/>
                <w:lang w:eastAsia="zh-CN"/>
              </w:rPr>
              <w:t>【</w:t>
            </w:r>
            <w:r>
              <w:rPr>
                <w:rFonts w:hint="eastAsia"/>
                <w:lang w:val="en-US" w:eastAsia="zh-CN"/>
              </w:rPr>
              <w:t>认证范围内产品不涉及库房</w:t>
            </w:r>
            <w:r>
              <w:rPr>
                <w:rFonts w:hint="eastAsia"/>
                <w:lang w:eastAsia="zh-CN"/>
              </w:rPr>
              <w:t>】</w:t>
            </w:r>
            <w:r>
              <w:rPr>
                <w:rFonts w:hint="eastAsia"/>
              </w:rPr>
              <w:t>；实验室</w:t>
            </w:r>
            <w:r>
              <w:rPr>
                <w:rFonts w:hint="eastAsia"/>
                <w:u w:val="single"/>
              </w:rPr>
              <w:t xml:space="preserve">  0 </w:t>
            </w:r>
            <w:r>
              <w:rPr>
                <w:rFonts w:hint="eastAsia"/>
              </w:rPr>
              <w:t>个；</w:t>
            </w:r>
          </w:p>
          <w:p>
            <w:pPr>
              <w:widowControl/>
              <w:spacing w:before="40"/>
              <w:jc w:val="left"/>
              <w:rPr>
                <w:color w:val="000000"/>
              </w:rPr>
            </w:pPr>
            <w:r>
              <w:rPr>
                <w:rFonts w:hint="eastAsia"/>
                <w:color w:val="000000"/>
              </w:rPr>
              <w:t>动力设施和辅助设施的状况，存在下列的场所：（不涉及）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冷藏车、冷藏库（列举2~4种）</w:t>
            </w:r>
          </w:p>
          <w:p>
            <w:pPr>
              <w:rPr>
                <w:u w:val="single"/>
              </w:rPr>
            </w:pPr>
            <w:r>
              <w:rPr>
                <w:rFonts w:hint="eastAsia" w:ascii="Calibri" w:hAnsi="Calibri"/>
                <w:u w:val="single"/>
              </w:rPr>
              <w:t xml:space="preserve">顾客给该公司下订单后，公司将顾客需求提供给供方，由供方直接配送到顾客处，整个过程中该公司没有使用生产设备，冷冻冷藏库及冷藏车不在该次认证范围内。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highlight w:val="yellow"/>
              </w:rPr>
            </w:pPr>
          </w:p>
          <w:p>
            <w:pPr>
              <w:numPr>
                <w:ilvl w:val="0"/>
                <w:numId w:val="1"/>
              </w:numPr>
            </w:pPr>
            <w:r>
              <w:rPr>
                <w:rFonts w:hint="eastAsia"/>
                <w:color w:val="000000"/>
                <w:szCs w:val="21"/>
              </w:rPr>
              <w:t>需要从外部供方获得的资源：</w:t>
            </w:r>
            <w:r>
              <w:rPr>
                <w:rFonts w:hint="eastAsia"/>
              </w:rPr>
              <w:t xml:space="preserve"> </w:t>
            </w:r>
            <w:r>
              <w:rPr>
                <w:rFonts w:hint="eastAsia"/>
                <w:szCs w:val="22"/>
                <w:u w:val="single"/>
              </w:rPr>
              <w:t xml:space="preserve"> 不涉</w:t>
            </w:r>
            <w:r>
              <w:rPr>
                <w:szCs w:val="22"/>
                <w:u w:val="single"/>
              </w:rPr>
              <w:t>及</w:t>
            </w:r>
            <w:r>
              <w:rPr>
                <w:rFonts w:hint="eastAsia"/>
                <w:szCs w:val="22"/>
                <w:u w:val="single"/>
              </w:rPr>
              <w:t xml:space="preserve">       </w:t>
            </w:r>
            <w:r>
              <w:rPr>
                <w:rFonts w:hint="eastAsia"/>
                <w:u w:val="single"/>
              </w:rPr>
              <w:t xml:space="preserve"> </w:t>
            </w:r>
            <w:r>
              <w:rPr>
                <w:rFonts w:hint="eastAsia"/>
              </w:rPr>
              <w:t xml:space="preserve">  </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53" w:type="dxa"/>
            <w:gridSpan w:val="2"/>
            <w:vMerge w:val="restart"/>
          </w:tcPr>
          <w:p>
            <w:r>
              <w:rPr>
                <w:rFonts w:hint="eastAsia"/>
              </w:rPr>
              <w:t>外</w:t>
            </w:r>
            <w:r>
              <w:t>部开</w:t>
            </w:r>
            <w:r>
              <w:rPr>
                <w:rFonts w:hint="eastAsia"/>
              </w:rPr>
              <w:t>发</w:t>
            </w:r>
            <w:r>
              <w:t>的</w:t>
            </w:r>
            <w:r>
              <w:rPr>
                <w:rFonts w:hint="eastAsia"/>
              </w:rPr>
              <w:t>食</w:t>
            </w:r>
            <w:r>
              <w:t>品安全</w:t>
            </w:r>
            <w:r>
              <w:rPr>
                <w:rFonts w:hint="eastAsia"/>
              </w:rPr>
              <w:t>管</w:t>
            </w:r>
            <w:r>
              <w:t>理要</w:t>
            </w:r>
            <w:r>
              <w:rPr>
                <w:rFonts w:hint="eastAsia"/>
              </w:rPr>
              <w:t>素</w:t>
            </w:r>
          </w:p>
        </w:tc>
        <w:tc>
          <w:tcPr>
            <w:tcW w:w="952" w:type="dxa"/>
            <w:vMerge w:val="restart"/>
          </w:tcPr>
          <w:p>
            <w:r>
              <w:t>F7.1</w:t>
            </w:r>
            <w:r>
              <w:rPr>
                <w:rFonts w:hint="eastAsia"/>
              </w:rPr>
              <w:t>.5</w:t>
            </w:r>
          </w:p>
        </w:tc>
        <w:tc>
          <w:tcPr>
            <w:tcW w:w="761" w:type="dxa"/>
          </w:tcPr>
          <w:p>
            <w:r>
              <w:rPr>
                <w:rFonts w:hint="eastAsia"/>
              </w:rPr>
              <w:t>文件名称</w:t>
            </w:r>
          </w:p>
        </w:tc>
        <w:tc>
          <w:tcPr>
            <w:tcW w:w="936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w:t>
            </w:r>
            <w:r>
              <w:rPr>
                <w:rFonts w:hint="eastAsia"/>
              </w:rPr>
              <w:t>手册第</w:t>
            </w:r>
            <w:r>
              <w:rPr>
                <w:rFonts w:hint="eastAsia"/>
                <w:color w:val="000000"/>
                <w:szCs w:val="21"/>
              </w:rPr>
              <w:t>7.1.5</w:t>
            </w:r>
            <w:r>
              <w:rPr>
                <w:rFonts w:hint="eastAsia"/>
              </w:rPr>
              <w:t>条款</w:t>
            </w:r>
          </w:p>
        </w:tc>
        <w:tc>
          <w:tcPr>
            <w:tcW w:w="1589" w:type="dxa"/>
            <w:gridSpan w:val="3"/>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53" w:type="dxa"/>
            <w:gridSpan w:val="2"/>
            <w:vMerge w:val="restart"/>
          </w:tcPr>
          <w:p>
            <w:r>
              <w:rPr>
                <w:rFonts w:hint="eastAsia"/>
              </w:rPr>
              <w:t xml:space="preserve">沟通  </w:t>
            </w:r>
          </w:p>
        </w:tc>
        <w:tc>
          <w:tcPr>
            <w:tcW w:w="952" w:type="dxa"/>
            <w:vMerge w:val="restart"/>
          </w:tcPr>
          <w:p>
            <w:r>
              <w:rPr>
                <w:rFonts w:hint="eastAsia"/>
              </w:rPr>
              <w:t xml:space="preserve">F7.4  </w:t>
            </w:r>
          </w:p>
        </w:tc>
        <w:tc>
          <w:tcPr>
            <w:tcW w:w="761" w:type="dxa"/>
          </w:tcPr>
          <w:p>
            <w:r>
              <w:rPr>
                <w:rFonts w:hint="eastAsia"/>
              </w:rPr>
              <w:t>文件名称</w:t>
            </w:r>
          </w:p>
        </w:tc>
        <w:tc>
          <w:tcPr>
            <w:tcW w:w="9369" w:type="dxa"/>
          </w:tcPr>
          <w:p>
            <w:r>
              <w:rPr>
                <w:rFonts w:hint="eastAsia"/>
              </w:rPr>
              <w:t>如：《沟通控制程序》</w:t>
            </w:r>
          </w:p>
        </w:tc>
        <w:tc>
          <w:tcPr>
            <w:tcW w:w="1589"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053" w:type="dxa"/>
            <w:gridSpan w:val="2"/>
            <w:vMerge w:val="continue"/>
          </w:tcPr>
          <w:p>
            <w:pPr>
              <w:rPr>
                <w:color w:val="FF0000"/>
              </w:rPr>
            </w:pPr>
          </w:p>
        </w:tc>
        <w:tc>
          <w:tcPr>
            <w:tcW w:w="952" w:type="dxa"/>
            <w:vMerge w:val="continue"/>
          </w:tcPr>
          <w:p>
            <w:pPr>
              <w:rPr>
                <w:color w:val="FF0000"/>
              </w:rPr>
            </w:pPr>
          </w:p>
        </w:tc>
        <w:tc>
          <w:tcPr>
            <w:tcW w:w="761" w:type="dxa"/>
          </w:tcPr>
          <w:p>
            <w:r>
              <w:rPr>
                <w:rFonts w:hint="eastAsia"/>
              </w:rPr>
              <w:t>运行证据</w:t>
            </w:r>
          </w:p>
        </w:tc>
        <w:tc>
          <w:tcPr>
            <w:tcW w:w="9369" w:type="dxa"/>
          </w:tcPr>
          <w:p>
            <w:r>
              <w:rPr>
                <w:rFonts w:hint="eastAsia"/>
              </w:rPr>
              <w:t>组织考虑了合规义务，确保食品安全信息与食品安全管理体系形成的信息一致且真实可信。一般由办公室负责。</w:t>
            </w:r>
          </w:p>
          <w:p>
            <w:r>
              <w:rPr>
                <w:rFonts w:hint="eastAsia"/>
              </w:rPr>
              <w:t>外部沟通的控制对象：</w:t>
            </w:r>
            <w:r>
              <w:rPr>
                <w:rFonts w:hint="eastAsia"/>
                <w:szCs w:val="21"/>
              </w:rPr>
              <w:t xml:space="preserve">☑市场监督管理局 </w:t>
            </w:r>
            <w:r>
              <w:rPr>
                <w:szCs w:val="21"/>
              </w:rPr>
              <w:t xml:space="preserve"> </w:t>
            </w:r>
            <w:r>
              <w:rPr>
                <w:rFonts w:hint="eastAsia"/>
                <w:szCs w:val="21"/>
              </w:rPr>
              <w:t>□消防大队 ☑顾客 ☑供方 ☑外包方 ☑网站</w:t>
            </w:r>
          </w:p>
          <w:p/>
          <w:p>
            <w:r>
              <w:rPr>
                <w:rFonts w:hint="eastAsia"/>
              </w:rPr>
              <w:t>内部沟通的控制方式：</w:t>
            </w:r>
            <w:r>
              <w:rPr>
                <w:rFonts w:hint="eastAsia"/>
                <w:szCs w:val="21"/>
              </w:rPr>
              <w:t>☑会议 ☑表单传递 ☑微信 ☑QQ □展板 □标语</w:t>
            </w:r>
          </w:p>
        </w:tc>
        <w:tc>
          <w:tcPr>
            <w:tcW w:w="1589"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53" w:type="dxa"/>
            <w:gridSpan w:val="2"/>
            <w:vMerge w:val="restart"/>
          </w:tcPr>
          <w:p>
            <w:r>
              <w:rPr>
                <w:rFonts w:hint="eastAsia"/>
              </w:rPr>
              <w:t>监视、测量、分析和评价</w:t>
            </w:r>
          </w:p>
          <w:p/>
        </w:tc>
        <w:tc>
          <w:tcPr>
            <w:tcW w:w="952" w:type="dxa"/>
          </w:tcPr>
          <w:p>
            <w:r>
              <w:rPr>
                <w:rFonts w:hint="eastAsia"/>
              </w:rPr>
              <w:t>F9.1.1</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管理手册9.1.1章</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053" w:type="dxa"/>
            <w:gridSpan w:val="2"/>
            <w:vMerge w:val="continue"/>
          </w:tcPr>
          <w:p>
            <w:pPr>
              <w:rPr>
                <w:color w:val="FF0000"/>
              </w:rPr>
            </w:pPr>
          </w:p>
        </w:tc>
        <w:tc>
          <w:tcPr>
            <w:tcW w:w="952" w:type="dxa"/>
          </w:tcPr>
          <w:p>
            <w:pPr>
              <w:rPr>
                <w:color w:val="FF0000"/>
              </w:rPr>
            </w:pPr>
          </w:p>
        </w:tc>
        <w:tc>
          <w:tcPr>
            <w:tcW w:w="761" w:type="dxa"/>
          </w:tcPr>
          <w:p>
            <w:r>
              <w:rPr>
                <w:rFonts w:hint="eastAsia"/>
              </w:rPr>
              <w:t>运行证据</w:t>
            </w:r>
          </w:p>
        </w:tc>
        <w:tc>
          <w:tcPr>
            <w:tcW w:w="9369" w:type="dxa"/>
          </w:tcPr>
          <w:p>
            <w:r>
              <w:rPr>
                <w:rFonts w:hint="eastAsia"/>
              </w:rPr>
              <w:t>组织对监视和测量的环境绩效</w:t>
            </w:r>
          </w:p>
          <w:tbl>
            <w:tblPr>
              <w:tblStyle w:val="8"/>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867"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highlight w:val="yellow"/>
                    </w:rPr>
                  </w:pPr>
                  <w:r>
                    <w:rPr>
                      <w:rFonts w:hint="eastAsia"/>
                      <w:szCs w:val="21"/>
                    </w:rPr>
                    <w:t>过程</w:t>
                  </w:r>
                </w:p>
              </w:tc>
              <w:tc>
                <w:tcPr>
                  <w:tcW w:w="2456" w:type="dxa"/>
                </w:tcPr>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sz w:val="15"/>
                      <w:szCs w:val="15"/>
                    </w:rPr>
                    <w:t>☑</w:t>
                  </w:r>
                  <w:r>
                    <w:rPr>
                      <w:rFonts w:hint="eastAsia"/>
                      <w:szCs w:val="21"/>
                    </w:rPr>
                    <w:t>定期检查</w:t>
                  </w:r>
                </w:p>
                <w:p>
                  <w:pPr>
                    <w:rPr>
                      <w:szCs w:val="21"/>
                    </w:rPr>
                  </w:pPr>
                  <w:r>
                    <w:rPr>
                      <w:rFonts w:ascii="Segoe UI Emoji" w:hAnsi="Segoe UI Emoji" w:cs="Segoe UI Emoji"/>
                      <w:sz w:val="15"/>
                      <w:szCs w:val="15"/>
                    </w:rPr>
                    <w:t>☑</w:t>
                  </w:r>
                  <w:r>
                    <w:rPr>
                      <w:rFonts w:hint="eastAsia"/>
                      <w:szCs w:val="21"/>
                    </w:rPr>
                    <w:t>抽查</w:t>
                  </w:r>
                </w:p>
                <w:p>
                  <w:pPr>
                    <w:rPr>
                      <w:szCs w:val="21"/>
                    </w:rPr>
                  </w:pPr>
                  <w:r>
                    <w:rPr>
                      <w:rFonts w:ascii="Segoe UI Emoji" w:hAnsi="Segoe UI Emoji" w:cs="Segoe UI Emoji"/>
                      <w:sz w:val="15"/>
                      <w:szCs w:val="15"/>
                    </w:rPr>
                    <w:t>☑</w:t>
                  </w:r>
                  <w:r>
                    <w:rPr>
                      <w:rFonts w:hint="eastAsia"/>
                      <w:szCs w:val="21"/>
                    </w:rPr>
                    <w:t>每年</w:t>
                  </w:r>
                </w:p>
              </w:tc>
              <w:tc>
                <w:tcPr>
                  <w:tcW w:w="1809" w:type="dxa"/>
                </w:tcPr>
                <w:p>
                  <w:pPr>
                    <w:rPr>
                      <w:szCs w:val="21"/>
                    </w:rPr>
                  </w:pPr>
                  <w:r>
                    <w:rPr>
                      <w:rFonts w:hint="eastAsia"/>
                      <w:szCs w:val="21"/>
                    </w:rPr>
                    <w:t>企业</w:t>
                  </w:r>
                  <w:r>
                    <w:rPr>
                      <w:szCs w:val="21"/>
                    </w:rPr>
                    <w:t>管理制度</w:t>
                  </w:r>
                </w:p>
              </w:tc>
              <w:tc>
                <w:tcPr>
                  <w:tcW w:w="1867" w:type="dxa"/>
                </w:tcPr>
                <w:p>
                  <w:pPr>
                    <w:widowControl/>
                    <w:spacing w:before="40"/>
                    <w:jc w:val="left"/>
                    <w:rPr>
                      <w:szCs w:val="21"/>
                    </w:rPr>
                  </w:pPr>
                  <w:r>
                    <w:rPr>
                      <w:rFonts w:hint="eastAsia"/>
                      <w:szCs w:val="21"/>
                    </w:rPr>
                    <w:sym w:font="Wingdings 2" w:char="0052"/>
                  </w:r>
                  <w:r>
                    <w:rPr>
                      <w:rFonts w:hint="eastAsia"/>
                      <w:szCs w:val="21"/>
                    </w:rPr>
                    <w:t xml:space="preserve">每月□每季度 </w:t>
                  </w:r>
                  <w:r>
                    <w:rPr>
                      <w:rFonts w:hint="eastAsia"/>
                      <w:szCs w:val="21"/>
                    </w:rPr>
                    <w:sym w:font="Wingdings 2" w:char="0052"/>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sz w:val="15"/>
                      <w:szCs w:val="15"/>
                    </w:rPr>
                    <w:t>☑</w:t>
                  </w:r>
                  <w:r>
                    <w:rPr>
                      <w:rFonts w:hint="eastAsia"/>
                      <w:szCs w:val="21"/>
                    </w:rPr>
                    <w:t>按年度内审计划</w:t>
                  </w:r>
                </w:p>
                <w:p>
                  <w:pPr>
                    <w:rPr>
                      <w:szCs w:val="21"/>
                    </w:rPr>
                  </w:pPr>
                  <w:r>
                    <w:rPr>
                      <w:rFonts w:hint="eastAsia"/>
                      <w:szCs w:val="21"/>
                    </w:rPr>
                    <w:sym w:font="Wingdings 2" w:char="0052"/>
                  </w:r>
                  <w:r>
                    <w:rPr>
                      <w:rFonts w:hint="eastAsia"/>
                      <w:szCs w:val="21"/>
                    </w:rPr>
                    <w:t>每年一次</w:t>
                  </w:r>
                </w:p>
                <w:p>
                  <w:pPr>
                    <w:rPr>
                      <w:szCs w:val="21"/>
                    </w:rPr>
                  </w:pPr>
                  <w:r>
                    <w:rPr>
                      <w:rFonts w:hint="eastAsia"/>
                      <w:szCs w:val="21"/>
                    </w:rPr>
                    <w:sym w:font="Wingdings 2" w:char="0052"/>
                  </w:r>
                  <w:r>
                    <w:rPr>
                      <w:rFonts w:hint="eastAsia"/>
                      <w:szCs w:val="21"/>
                    </w:rPr>
                    <w:t>特殊情况增加</w:t>
                  </w:r>
                </w:p>
              </w:tc>
              <w:tc>
                <w:tcPr>
                  <w:tcW w:w="1809" w:type="dxa"/>
                </w:tcPr>
                <w:p>
                  <w:pPr>
                    <w:rPr>
                      <w:szCs w:val="21"/>
                    </w:rPr>
                  </w:pPr>
                  <w:r>
                    <w:rPr>
                      <w:rFonts w:hint="eastAsia"/>
                      <w:szCs w:val="21"/>
                    </w:rPr>
                    <w:t>ISO22000：2018</w:t>
                  </w:r>
                </w:p>
              </w:tc>
              <w:tc>
                <w:tcPr>
                  <w:tcW w:w="1867" w:type="dxa"/>
                </w:tcPr>
                <w:p>
                  <w:pPr>
                    <w:widowControl/>
                    <w:spacing w:before="40"/>
                    <w:jc w:val="left"/>
                    <w:rPr>
                      <w:szCs w:val="21"/>
                    </w:rPr>
                  </w:pPr>
                  <w:r>
                    <w:rPr>
                      <w:rFonts w:hint="eastAsia"/>
                      <w:szCs w:val="21"/>
                    </w:rPr>
                    <w:t xml:space="preserve">□每月 □每季度 </w:t>
                  </w:r>
                  <w:r>
                    <w:rPr>
                      <w:rFonts w:ascii="Segoe UI Emoji" w:hAnsi="Segoe UI Emoji" w:cs="Segoe UI Emoji"/>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管理评审，对FSMS存在的需要问题进行分析</w:t>
                  </w:r>
                </w:p>
              </w:tc>
              <w:tc>
                <w:tcPr>
                  <w:tcW w:w="1867" w:type="dxa"/>
                </w:tcPr>
                <w:p>
                  <w:pPr>
                    <w:rPr>
                      <w:szCs w:val="21"/>
                    </w:rPr>
                  </w:pPr>
                  <w:r>
                    <w:rPr>
                      <w:rFonts w:ascii="Segoe UI Emoji" w:hAnsi="Segoe UI Emoji" w:cs="Segoe UI Emoji"/>
                      <w:sz w:val="15"/>
                      <w:szCs w:val="15"/>
                    </w:rPr>
                    <w:t>☑</w:t>
                  </w:r>
                  <w:r>
                    <w:rPr>
                      <w:rFonts w:hint="eastAsia"/>
                      <w:szCs w:val="21"/>
                    </w:rPr>
                    <w:t>每年一次</w:t>
                  </w:r>
                </w:p>
                <w:p>
                  <w:pPr>
                    <w:rPr>
                      <w:szCs w:val="21"/>
                    </w:rPr>
                  </w:pPr>
                  <w:r>
                    <w:rPr>
                      <w:rFonts w:hint="eastAsia"/>
                      <w:szCs w:val="21"/>
                    </w:rPr>
                    <w:sym w:font="Wingdings 2" w:char="0052"/>
                  </w:r>
                  <w:r>
                    <w:rPr>
                      <w:rFonts w:hint="eastAsia"/>
                      <w:szCs w:val="21"/>
                    </w:rPr>
                    <w:t>特殊情况增加</w:t>
                  </w:r>
                </w:p>
              </w:tc>
              <w:tc>
                <w:tcPr>
                  <w:tcW w:w="1809" w:type="dxa"/>
                </w:tcPr>
                <w:p>
                  <w:pPr>
                    <w:rPr>
                      <w:szCs w:val="21"/>
                    </w:rPr>
                  </w:pPr>
                  <w:r>
                    <w:rPr>
                      <w:rFonts w:hint="eastAsia"/>
                      <w:szCs w:val="21"/>
                    </w:rPr>
                    <w:t>ISO22000：2018</w:t>
                  </w:r>
                </w:p>
              </w:tc>
              <w:tc>
                <w:tcPr>
                  <w:tcW w:w="1867" w:type="dxa"/>
                </w:tcPr>
                <w:p>
                  <w:pPr>
                    <w:widowControl/>
                    <w:spacing w:before="40"/>
                    <w:jc w:val="left"/>
                    <w:rPr>
                      <w:szCs w:val="21"/>
                    </w:rPr>
                  </w:pPr>
                  <w:r>
                    <w:rPr>
                      <w:rFonts w:hint="eastAsia"/>
                      <w:szCs w:val="21"/>
                    </w:rPr>
                    <w:t xml:space="preserve">□每月 □每季度 </w:t>
                  </w:r>
                  <w:r>
                    <w:rPr>
                      <w:rFonts w:ascii="Segoe UI Emoji" w:hAnsi="Segoe UI Emoji" w:cs="Segoe UI Emoji"/>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867" w:type="dxa"/>
                </w:tcPr>
                <w:p>
                  <w:pPr>
                    <w:widowControl/>
                    <w:spacing w:before="40"/>
                    <w:jc w:val="left"/>
                    <w:rPr>
                      <w:szCs w:val="21"/>
                    </w:rPr>
                  </w:pPr>
                  <w:r>
                    <w:rPr>
                      <w:rFonts w:hint="eastAsia"/>
                      <w:szCs w:val="21"/>
                    </w:rPr>
                    <w:t xml:space="preserve">□每月 □每季度 </w:t>
                  </w:r>
                  <w:r>
                    <w:rPr>
                      <w:rFonts w:ascii="Segoe UI Emoji" w:hAnsi="Segoe UI Emoji" w:cs="Segoe UI Emoji"/>
                      <w:sz w:val="15"/>
                      <w:szCs w:val="15"/>
                    </w:rPr>
                    <w:t>☑</w:t>
                  </w:r>
                  <w:r>
                    <w:rPr>
                      <w:rFonts w:hint="eastAsia"/>
                      <w:szCs w:val="21"/>
                    </w:rPr>
                    <w:t>每年</w:t>
                  </w:r>
                </w:p>
              </w:tc>
            </w:tr>
          </w:tbl>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2" w:type="dxa"/>
          <w:trHeight w:val="534" w:hRule="atLeast"/>
        </w:trPr>
        <w:tc>
          <w:tcPr>
            <w:tcW w:w="2038" w:type="dxa"/>
          </w:tcPr>
          <w:p>
            <w:r>
              <w:rPr>
                <w:rFonts w:hint="eastAsia"/>
              </w:rPr>
              <w:t>内部审核</w:t>
            </w:r>
          </w:p>
        </w:tc>
        <w:tc>
          <w:tcPr>
            <w:tcW w:w="952" w:type="dxa"/>
          </w:tcPr>
          <w:p>
            <w:r>
              <w:rPr>
                <w:rFonts w:hint="eastAsia"/>
              </w:rPr>
              <w:t>F9.2</w:t>
            </w:r>
          </w:p>
          <w:p/>
        </w:tc>
        <w:tc>
          <w:tcPr>
            <w:tcW w:w="761" w:type="dxa"/>
          </w:tcPr>
          <w:p>
            <w:r>
              <w:rPr>
                <w:rFonts w:hint="eastAsia"/>
              </w:rPr>
              <w:t>文件名称</w:t>
            </w:r>
          </w:p>
        </w:tc>
        <w:tc>
          <w:tcPr>
            <w:tcW w:w="9371" w:type="dxa"/>
            <w:gridSpan w:val="2"/>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2" w:type="dxa"/>
          <w:trHeight w:val="7063" w:hRule="atLeast"/>
        </w:trPr>
        <w:tc>
          <w:tcPr>
            <w:tcW w:w="2038" w:type="dxa"/>
          </w:tcPr>
          <w:p/>
        </w:tc>
        <w:tc>
          <w:tcPr>
            <w:tcW w:w="952" w:type="dxa"/>
          </w:tcPr>
          <w:p/>
        </w:tc>
        <w:tc>
          <w:tcPr>
            <w:tcW w:w="761" w:type="dxa"/>
          </w:tcPr>
          <w:p>
            <w:r>
              <w:rPr>
                <w:rFonts w:hint="eastAsia"/>
              </w:rPr>
              <w:t>运行证据</w:t>
            </w:r>
          </w:p>
        </w:tc>
        <w:tc>
          <w:tcPr>
            <w:tcW w:w="9371" w:type="dxa"/>
            <w:gridSpan w:val="2"/>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20</w:t>
            </w:r>
            <w:r>
              <w:rPr>
                <w:rFonts w:hint="eastAsia"/>
                <w:color w:val="000000"/>
                <w:szCs w:val="18"/>
                <w:u w:val="single"/>
              </w:rPr>
              <w:t>-21</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办公室、</w:t>
            </w:r>
            <w:r>
              <w:rPr>
                <w:color w:val="000000"/>
                <w:szCs w:val="18"/>
                <w:u w:val="single"/>
              </w:rPr>
              <w:t>采购部</w:t>
            </w:r>
            <w:r>
              <w:rPr>
                <w:rFonts w:hint="eastAsia"/>
                <w:color w:val="000000"/>
                <w:szCs w:val="18"/>
                <w:u w:val="single"/>
              </w:rPr>
              <w:t>、销</w:t>
            </w:r>
            <w:r>
              <w:rPr>
                <w:color w:val="000000"/>
                <w:szCs w:val="18"/>
                <w:u w:val="single"/>
              </w:rPr>
              <w:t>售</w:t>
            </w:r>
            <w:r>
              <w:rPr>
                <w:rFonts w:hint="eastAsia"/>
                <w:color w:val="000000"/>
                <w:szCs w:val="18"/>
                <w:u w:val="single"/>
              </w:rPr>
              <w:t xml:space="preserve">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rFonts w:asciiTheme="minorEastAsia" w:hAnsiTheme="minorEastAsia" w:eastAsiaTheme="minorEastAsia"/>
                <w:szCs w:val="21"/>
              </w:rPr>
            </w:pPr>
            <w:r>
              <w:rPr>
                <w:rFonts w:hint="eastAsia"/>
                <w:color w:val="000000"/>
                <w:szCs w:val="18"/>
              </w:rPr>
              <w:t>《不符合</w:t>
            </w:r>
            <w:r>
              <w:rPr>
                <w:rFonts w:hint="eastAsia" w:asciiTheme="minorEastAsia" w:hAnsiTheme="minorEastAsia" w:eastAsiaTheme="minorEastAsia"/>
                <w:szCs w:val="21"/>
              </w:rPr>
              <w:t>项报告》</w:t>
            </w:r>
            <w:r>
              <w:rPr>
                <w:rFonts w:hint="eastAsia" w:asciiTheme="minorEastAsia" w:hAnsiTheme="minorEastAsia" w:eastAsiaTheme="minorEastAsia"/>
                <w:szCs w:val="21"/>
                <w:u w:val="single"/>
              </w:rPr>
              <w:t xml:space="preserve"> 1</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份；</w:t>
            </w:r>
          </w:p>
          <w:p>
            <w:pPr>
              <w:widowControl/>
              <w:spacing w:before="40"/>
              <w:jc w:val="left"/>
              <w:rPr>
                <w:rFonts w:asciiTheme="minorEastAsia" w:hAnsiTheme="minorEastAsia" w:eastAsiaTheme="minorEastAsia"/>
                <w:szCs w:val="21"/>
                <w:u w:val="single"/>
              </w:rPr>
            </w:pPr>
            <w:r>
              <w:rPr>
                <w:rFonts w:hint="eastAsia" w:asciiTheme="minorEastAsia" w:hAnsiTheme="minorEastAsia" w:eastAsiaTheme="minorEastAsia"/>
                <w:szCs w:val="21"/>
              </w:rPr>
              <w:t>涉及的条款号或问题简述：</w:t>
            </w:r>
            <w:r>
              <w:rPr>
                <w:rFonts w:hint="eastAsia" w:asciiTheme="minorEastAsia" w:hAnsiTheme="minorEastAsia" w:eastAsiaTheme="minorEastAsia"/>
                <w:szCs w:val="21"/>
                <w:u w:val="single"/>
              </w:rPr>
              <w:t xml:space="preserve"> 不符合项： 未能提供蒙牛高科（北京）有限责任公司供方评价记录。不符合ISO 22000:2018标准 7.1.6条款</w:t>
            </w:r>
          </w:p>
          <w:p>
            <w:pPr>
              <w:widowControl/>
              <w:spacing w:before="40"/>
              <w:jc w:val="left"/>
              <w:rPr>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3" w:type="dxa"/>
            <w:gridSpan w:val="2"/>
            <w:vMerge w:val="restart"/>
          </w:tcPr>
          <w:p>
            <w:r>
              <w:rPr>
                <w:rFonts w:hint="eastAsia"/>
              </w:rPr>
              <w:t>管理评审</w:t>
            </w:r>
          </w:p>
          <w:p/>
        </w:tc>
        <w:tc>
          <w:tcPr>
            <w:tcW w:w="952" w:type="dxa"/>
            <w:vMerge w:val="restart"/>
          </w:tcPr>
          <w:p>
            <w:r>
              <w:rPr>
                <w:rFonts w:hint="eastAsia"/>
              </w:rPr>
              <w:t>F9.3</w:t>
            </w:r>
          </w:p>
          <w:p/>
        </w:tc>
        <w:tc>
          <w:tcPr>
            <w:tcW w:w="761" w:type="dxa"/>
          </w:tcPr>
          <w:p>
            <w:r>
              <w:rPr>
                <w:rFonts w:hint="eastAsia"/>
              </w:rPr>
              <w:t>文件名称</w:t>
            </w:r>
          </w:p>
        </w:tc>
        <w:tc>
          <w:tcPr>
            <w:tcW w:w="9369" w:type="dxa"/>
          </w:tcPr>
          <w:p>
            <w:r>
              <w:rPr>
                <w:rFonts w:hint="eastAsia"/>
              </w:rPr>
              <w:t>如：《管理评审控制程序》</w:t>
            </w:r>
          </w:p>
        </w:tc>
        <w:tc>
          <w:tcPr>
            <w:tcW w:w="158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3" w:type="dxa"/>
            <w:gridSpan w:val="2"/>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12 </w:t>
            </w:r>
            <w:r>
              <w:rPr>
                <w:rFonts w:hint="eastAsia"/>
                <w:color w:val="000000"/>
                <w:szCs w:val="18"/>
              </w:rPr>
              <w:t>月</w:t>
            </w:r>
            <w:r>
              <w:rPr>
                <w:color w:val="000000"/>
                <w:szCs w:val="18"/>
                <w:u w:val="single"/>
              </w:rPr>
              <w:t>18</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p>
            <w:pPr>
              <w:widowControl/>
              <w:spacing w:before="40"/>
              <w:jc w:val="left"/>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786"/>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786" w:type="dxa"/>
                </w:tcPr>
                <w:p>
                  <w:pPr>
                    <w:widowControl/>
                    <w:spacing w:before="40"/>
                    <w:jc w:val="left"/>
                    <w:rPr>
                      <w:color w:val="000000"/>
                      <w:szCs w:val="21"/>
                    </w:rPr>
                  </w:pPr>
                  <w:r>
                    <w:rPr>
                      <w:rFonts w:hint="eastAsia"/>
                      <w:color w:val="000000"/>
                      <w:szCs w:val="21"/>
                    </w:rPr>
                    <w:t>措施描述（举例）</w:t>
                  </w:r>
                </w:p>
              </w:tc>
              <w:tc>
                <w:tcPr>
                  <w:tcW w:w="2405"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与持续改进机会相关的决策</w:t>
                  </w:r>
                </w:p>
              </w:tc>
              <w:tc>
                <w:tcPr>
                  <w:tcW w:w="3786" w:type="dxa"/>
                </w:tcPr>
                <w:p>
                  <w:pPr>
                    <w:pStyle w:val="3"/>
                    <w:spacing w:before="120" w:after="120" w:line="240" w:lineRule="atLeast"/>
                    <w:ind w:firstLine="0"/>
                    <w:rPr>
                      <w:color w:val="000000"/>
                      <w:sz w:val="21"/>
                      <w:szCs w:val="21"/>
                    </w:rPr>
                  </w:pPr>
                  <w:r>
                    <w:rPr>
                      <w:rFonts w:hint="eastAsia" w:asciiTheme="minorEastAsia" w:hAnsiTheme="minorEastAsia" w:eastAsiaTheme="minorEastAsia"/>
                      <w:sz w:val="21"/>
                      <w:szCs w:val="21"/>
                    </w:rPr>
                    <w:t>对管理人员进行食品安全法、食品安全相关标准再培训</w:t>
                  </w:r>
                </w:p>
              </w:tc>
              <w:tc>
                <w:tcPr>
                  <w:tcW w:w="2405" w:type="dxa"/>
                </w:tcPr>
                <w:p>
                  <w:pPr>
                    <w:widowControl/>
                    <w:spacing w:before="40"/>
                    <w:jc w:val="left"/>
                    <w:rPr>
                      <w:color w:val="000000"/>
                      <w:szCs w:val="21"/>
                    </w:rPr>
                  </w:pPr>
                  <w:r>
                    <w:rPr>
                      <w:rFonts w:hint="eastAsia" w:ascii="Segoe UI Symbol" w:hAnsi="Segoe UI Symbol" w:cs="Segoe UI Symbol"/>
                      <w:color w:val="000000"/>
                      <w:szCs w:val="21"/>
                    </w:rPr>
                    <w:t>☑</w:t>
                  </w:r>
                  <w:r>
                    <w:rPr>
                      <w:rFonts w:hint="eastAsia"/>
                    </w:rPr>
                    <w:t>已落实：</w:t>
                  </w:r>
                  <w:r>
                    <w:rPr>
                      <w:rFonts w:hint="eastAsia"/>
                      <w:u w:val="single"/>
                    </w:rPr>
                    <w:t xml:space="preserve">2022.4.25 </w:t>
                  </w:r>
                </w:p>
                <w:p>
                  <w:pPr>
                    <w:widowControl/>
                    <w:spacing w:before="40"/>
                    <w:jc w:val="left"/>
                    <w:rPr>
                      <w:color w:val="000000"/>
                      <w:szCs w:val="21"/>
                    </w:rPr>
                  </w:pPr>
                  <w:r>
                    <w:rPr>
                      <w:rFonts w:hint="eastAsia"/>
                      <w:color w:val="000000"/>
                      <w:szCs w:val="21"/>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786" w:type="dxa"/>
                </w:tcPr>
                <w:p>
                  <w:pPr>
                    <w:widowControl/>
                    <w:spacing w:before="40"/>
                    <w:jc w:val="left"/>
                    <w:rPr>
                      <w:color w:val="000000"/>
                      <w:szCs w:val="21"/>
                    </w:rPr>
                  </w:pPr>
                  <w:r>
                    <w:rPr>
                      <w:rFonts w:hint="eastAsia"/>
                      <w:color w:val="000000"/>
                      <w:szCs w:val="21"/>
                    </w:rPr>
                    <w:t>——</w:t>
                  </w:r>
                </w:p>
              </w:tc>
              <w:tc>
                <w:tcPr>
                  <w:tcW w:w="2405"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786" w:type="dxa"/>
                </w:tcPr>
                <w:p>
                  <w:pPr>
                    <w:widowControl/>
                    <w:jc w:val="left"/>
                    <w:rPr>
                      <w:color w:val="000000"/>
                      <w:szCs w:val="21"/>
                    </w:rPr>
                  </w:pPr>
                  <w:r>
                    <w:rPr>
                      <w:rFonts w:hint="eastAsia"/>
                      <w:color w:val="000000"/>
                      <w:szCs w:val="21"/>
                    </w:rPr>
                    <w:t>——</w:t>
                  </w:r>
                </w:p>
              </w:tc>
              <w:tc>
                <w:tcPr>
                  <w:tcW w:w="2405"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786" w:type="dxa"/>
                </w:tcPr>
                <w:p>
                  <w:pPr>
                    <w:widowControl/>
                    <w:spacing w:before="40"/>
                    <w:jc w:val="left"/>
                    <w:rPr>
                      <w:color w:val="000000"/>
                      <w:szCs w:val="21"/>
                    </w:rPr>
                  </w:pPr>
                  <w:r>
                    <w:rPr>
                      <w:rFonts w:hint="eastAsia"/>
                      <w:color w:val="000000"/>
                      <w:szCs w:val="21"/>
                    </w:rPr>
                    <w:t>——</w:t>
                  </w:r>
                </w:p>
              </w:tc>
              <w:tc>
                <w:tcPr>
                  <w:tcW w:w="2405"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786" w:type="dxa"/>
                </w:tcPr>
                <w:p>
                  <w:pPr>
                    <w:widowControl/>
                    <w:spacing w:before="40"/>
                    <w:jc w:val="left"/>
                    <w:rPr>
                      <w:color w:val="000000"/>
                      <w:szCs w:val="21"/>
                    </w:rPr>
                  </w:pPr>
                  <w:r>
                    <w:rPr>
                      <w:rFonts w:hint="eastAsia"/>
                      <w:color w:val="000000"/>
                      <w:szCs w:val="21"/>
                    </w:rPr>
                    <w:t>——</w:t>
                  </w:r>
                </w:p>
              </w:tc>
              <w:tc>
                <w:tcPr>
                  <w:tcW w:w="2405"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786" w:type="dxa"/>
                </w:tcPr>
                <w:p>
                  <w:pPr>
                    <w:widowControl/>
                    <w:spacing w:before="40"/>
                    <w:jc w:val="left"/>
                    <w:rPr>
                      <w:color w:val="000000"/>
                      <w:szCs w:val="21"/>
                    </w:rPr>
                  </w:pPr>
                  <w:r>
                    <w:rPr>
                      <w:rFonts w:hint="eastAsia"/>
                      <w:color w:val="000000"/>
                      <w:szCs w:val="21"/>
                    </w:rPr>
                    <w:t>——</w:t>
                  </w:r>
                </w:p>
              </w:tc>
              <w:tc>
                <w:tcPr>
                  <w:tcW w:w="2405"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yellow"/>
              </w:rPr>
            </w:pPr>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53" w:type="dxa"/>
            <w:gridSpan w:val="2"/>
            <w:vMerge w:val="restart"/>
          </w:tcPr>
          <w:p>
            <w:r>
              <w:rPr>
                <w:rFonts w:hint="eastAsia"/>
              </w:rPr>
              <w:t>不符合与纠正措施</w:t>
            </w:r>
          </w:p>
        </w:tc>
        <w:tc>
          <w:tcPr>
            <w:tcW w:w="952" w:type="dxa"/>
            <w:vMerge w:val="restart"/>
          </w:tcPr>
          <w:p>
            <w:r>
              <w:rPr>
                <w:rFonts w:hint="eastAsia"/>
              </w:rPr>
              <w:t>F10.1</w:t>
            </w:r>
          </w:p>
          <w:p/>
        </w:tc>
        <w:tc>
          <w:tcPr>
            <w:tcW w:w="761" w:type="dxa"/>
          </w:tcPr>
          <w:p>
            <w:r>
              <w:rPr>
                <w:rFonts w:hint="eastAsia"/>
              </w:rPr>
              <w:t>文件名称</w:t>
            </w:r>
          </w:p>
        </w:tc>
        <w:tc>
          <w:tcPr>
            <w:tcW w:w="9369" w:type="dxa"/>
          </w:tcPr>
          <w:p>
            <w:r>
              <w:rPr/>
              <w:sym w:font="Wingdings" w:char="00FE"/>
            </w:r>
            <w:r>
              <w:rPr>
                <w:rFonts w:hint="eastAsia"/>
                <w:szCs w:val="22"/>
              </w:rPr>
              <w:t>《纠正和预防措施控制程序》</w:t>
            </w:r>
            <w:r>
              <w:rPr>
                <w:rFonts w:hint="eastAsia"/>
              </w:rPr>
              <w:t>、</w:t>
            </w:r>
            <w:r>
              <w:rPr/>
              <w:sym w:font="Wingdings" w:char="00FE"/>
            </w:r>
            <w:r>
              <w:rPr>
                <w:rFonts w:hint="eastAsia"/>
                <w:szCs w:val="22"/>
              </w:rPr>
              <w:t>《不合格控制程序》</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053" w:type="dxa"/>
            <w:gridSpan w:val="2"/>
            <w:vMerge w:val="continue"/>
          </w:tcPr>
          <w:p/>
        </w:tc>
        <w:tc>
          <w:tcPr>
            <w:tcW w:w="952" w:type="dxa"/>
            <w:vMerge w:val="continue"/>
          </w:tcPr>
          <w:p/>
        </w:tc>
        <w:tc>
          <w:tcPr>
            <w:tcW w:w="761" w:type="dxa"/>
          </w:tcPr>
          <w:p>
            <w:pPr>
              <w:widowControl/>
              <w:spacing w:before="40"/>
              <w:jc w:val="left"/>
              <w:rPr>
                <w:color w:val="000000"/>
                <w:szCs w:val="18"/>
              </w:rPr>
            </w:pPr>
            <w:r>
              <w:rPr>
                <w:rFonts w:hint="eastAsia"/>
              </w:rPr>
              <w:t>运行证据</w:t>
            </w:r>
          </w:p>
        </w:tc>
        <w:tc>
          <w:tcPr>
            <w:tcW w:w="9369"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2"/>
              <w:gridCol w:w="1363"/>
              <w:gridCol w:w="2166"/>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702" w:type="dxa"/>
                </w:tcPr>
                <w:p>
                  <w:r>
                    <w:rPr>
                      <w:rFonts w:hint="eastAsia"/>
                    </w:rPr>
                    <w:t>不符合描述</w:t>
                  </w:r>
                </w:p>
              </w:tc>
              <w:tc>
                <w:tcPr>
                  <w:tcW w:w="1363" w:type="dxa"/>
                </w:tcPr>
                <w:p>
                  <w:r>
                    <w:rPr>
                      <w:rFonts w:hint="eastAsia"/>
                    </w:rPr>
                    <w:t>不符合纠正</w:t>
                  </w:r>
                </w:p>
              </w:tc>
              <w:tc>
                <w:tcPr>
                  <w:tcW w:w="2166"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2021-11-20</w:t>
                  </w:r>
                </w:p>
              </w:tc>
              <w:tc>
                <w:tcPr>
                  <w:tcW w:w="1702" w:type="dxa"/>
                </w:tcPr>
                <w:p>
                  <w:r>
                    <w:rPr>
                      <w:rFonts w:hint="eastAsia"/>
                    </w:rPr>
                    <w:t>未能提供 蒙牛高科（北京）有限责任公司供方评价记录。</w:t>
                  </w:r>
                </w:p>
                <w:p/>
              </w:tc>
              <w:tc>
                <w:tcPr>
                  <w:tcW w:w="1363" w:type="dxa"/>
                </w:tcPr>
                <w:p>
                  <w:r>
                    <w:rPr>
                      <w:rFonts w:hint="eastAsia"/>
                    </w:rPr>
                    <w:t xml:space="preserve">重新对蒙牛高科（北京）有限责任公司进行合格供方进行评价，并保存相关评价记录。 </w:t>
                  </w:r>
                </w:p>
              </w:tc>
              <w:tc>
                <w:tcPr>
                  <w:tcW w:w="2166" w:type="dxa"/>
                </w:tcPr>
                <w:p>
                  <w:r>
                    <w:rPr>
                      <w:rFonts w:hint="eastAsia"/>
                    </w:rPr>
                    <w:t>由于采购部相关人员工作中粗心大意，未能及时对蒙牛高科（北京）有限责任公司进行合格供方进行评价，并保存相关记录。</w:t>
                  </w:r>
                </w:p>
                <w:p/>
              </w:tc>
              <w:tc>
                <w:tcPr>
                  <w:tcW w:w="1507" w:type="dxa"/>
                </w:tcPr>
                <w:p>
                  <w:r>
                    <w:rPr>
                      <w:rFonts w:hint="eastAsia"/>
                    </w:rPr>
                    <w:t>对采购相关人员进行ISO22000：2018标准：7.1.6条款培训学习，增强意识和责任.</w:t>
                  </w:r>
                </w:p>
                <w:p>
                  <w:r>
                    <w:rPr>
                      <w:rFonts w:hint="eastAsia"/>
                    </w:rPr>
                    <w:t xml:space="preserve">                                    </w:t>
                  </w:r>
                </w:p>
                <w:p/>
              </w:tc>
              <w:tc>
                <w:tcPr>
                  <w:tcW w:w="150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97" w:type="dxa"/>
                </w:tcPr>
                <w:p/>
              </w:tc>
              <w:tc>
                <w:tcPr>
                  <w:tcW w:w="1702" w:type="dxa"/>
                </w:tcPr>
                <w:p/>
              </w:tc>
              <w:tc>
                <w:tcPr>
                  <w:tcW w:w="1363" w:type="dxa"/>
                </w:tcPr>
                <w:p>
                  <w:pPr>
                    <w:rPr>
                      <w:highlight w:val="yellow"/>
                    </w:rPr>
                  </w:pPr>
                </w:p>
              </w:tc>
              <w:tc>
                <w:tcPr>
                  <w:tcW w:w="2166" w:type="dxa"/>
                </w:tcPr>
                <w:p>
                  <w:pPr>
                    <w:rPr>
                      <w:highlight w:val="yellow"/>
                    </w:rPr>
                  </w:pPr>
                </w:p>
              </w:tc>
              <w:tc>
                <w:tcPr>
                  <w:tcW w:w="1507" w:type="dxa"/>
                </w:tcPr>
                <w:p/>
              </w:tc>
              <w:tc>
                <w:tcPr>
                  <w:tcW w:w="1508" w:type="dxa"/>
                </w:tcPr>
                <w:p/>
              </w:tc>
            </w:tr>
          </w:tbl>
          <w:p>
            <w:pPr>
              <w:widowControl/>
              <w:spacing w:before="40"/>
              <w:jc w:val="left"/>
              <w:rPr>
                <w:color w:val="000000"/>
                <w:szCs w:val="18"/>
              </w:rPr>
            </w:pP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3" w:type="dxa"/>
            <w:gridSpan w:val="2"/>
            <w:vMerge w:val="restart"/>
          </w:tcPr>
          <w:p>
            <w:r>
              <w:rPr>
                <w:rFonts w:hint="eastAsia"/>
              </w:rPr>
              <w:t>持续改进</w:t>
            </w:r>
          </w:p>
        </w:tc>
        <w:tc>
          <w:tcPr>
            <w:tcW w:w="952" w:type="dxa"/>
            <w:vMerge w:val="restart"/>
          </w:tcPr>
          <w:p>
            <w:r>
              <w:rPr>
                <w:rFonts w:hint="eastAsia"/>
              </w:rPr>
              <w:t>F10.2</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管理手册10.2章</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r>
              <w:rPr>
                <w:rFonts w:hint="eastAsia"/>
                <w:u w:val="single"/>
              </w:rPr>
              <w:t xml:space="preserve">2022.4.25 </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3" w:type="dxa"/>
            <w:gridSpan w:val="2"/>
            <w:vMerge w:val="restart"/>
          </w:tcPr>
          <w:p>
            <w:r>
              <w:rPr>
                <w:rFonts w:hint="eastAsia"/>
              </w:rPr>
              <w:t>食品安全管理体系的更新</w:t>
            </w:r>
          </w:p>
          <w:p/>
        </w:tc>
        <w:tc>
          <w:tcPr>
            <w:tcW w:w="952" w:type="dxa"/>
            <w:vMerge w:val="restart"/>
          </w:tcPr>
          <w:p>
            <w:r>
              <w:rPr>
                <w:rFonts w:hint="eastAsia"/>
              </w:rPr>
              <w:t>F10.3</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管理手册10.3章</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53" w:type="dxa"/>
            <w:gridSpan w:val="2"/>
            <w:vMerge w:val="continue"/>
          </w:tcPr>
          <w:p/>
        </w:tc>
        <w:tc>
          <w:tcPr>
            <w:tcW w:w="952" w:type="dxa"/>
            <w:vMerge w:val="continue"/>
          </w:tcPr>
          <w:p/>
        </w:tc>
        <w:tc>
          <w:tcPr>
            <w:tcW w:w="761" w:type="dxa"/>
          </w:tcPr>
          <w:p>
            <w:r>
              <w:rPr>
                <w:rFonts w:hint="eastAsia"/>
              </w:rPr>
              <w:t>运行证据</w:t>
            </w:r>
          </w:p>
        </w:tc>
        <w:tc>
          <w:tcPr>
            <w:tcW w:w="9369"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w:t>
            </w:r>
            <w:r>
              <w:rPr>
                <w:rFonts w:hint="eastAsia"/>
                <w:u w:val="single"/>
              </w:rPr>
              <w:t xml:space="preserve">未发生           </w:t>
            </w:r>
            <w:r>
              <w:rPr>
                <w:rFonts w:hint="eastAsia"/>
              </w:rPr>
              <w:t xml:space="preserve"> </w:t>
            </w:r>
            <w:r>
              <w:t>，作为输入报告给管理评审。</w:t>
            </w:r>
          </w:p>
          <w:p/>
        </w:tc>
        <w:tc>
          <w:tcPr>
            <w:tcW w:w="1589" w:type="dxa"/>
            <w:gridSpan w:val="3"/>
            <w:vMerge w:val="continue"/>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50165</wp:posOffset>
          </wp:positionH>
          <wp:positionV relativeFrom="paragraph">
            <wp:posOffset>-56515</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bookmarkStart w:id="3" w:name="_GoBack"/>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138F9"/>
    <w:rsid w:val="000237F6"/>
    <w:rsid w:val="0003373A"/>
    <w:rsid w:val="00036CFD"/>
    <w:rsid w:val="000400E2"/>
    <w:rsid w:val="00044E05"/>
    <w:rsid w:val="000552D5"/>
    <w:rsid w:val="00062E46"/>
    <w:rsid w:val="00066B43"/>
    <w:rsid w:val="00097274"/>
    <w:rsid w:val="000B7FC9"/>
    <w:rsid w:val="000C15A0"/>
    <w:rsid w:val="000C240F"/>
    <w:rsid w:val="000D04D7"/>
    <w:rsid w:val="000D3263"/>
    <w:rsid w:val="000E68E6"/>
    <w:rsid w:val="000E6B21"/>
    <w:rsid w:val="000E70FA"/>
    <w:rsid w:val="00106C5D"/>
    <w:rsid w:val="001126B5"/>
    <w:rsid w:val="00116788"/>
    <w:rsid w:val="00120E8B"/>
    <w:rsid w:val="001226ED"/>
    <w:rsid w:val="00135D58"/>
    <w:rsid w:val="001576C2"/>
    <w:rsid w:val="001647C4"/>
    <w:rsid w:val="00172A27"/>
    <w:rsid w:val="00181FB2"/>
    <w:rsid w:val="00183AC5"/>
    <w:rsid w:val="001A2D7F"/>
    <w:rsid w:val="001A7976"/>
    <w:rsid w:val="001C11B1"/>
    <w:rsid w:val="001C7F23"/>
    <w:rsid w:val="001E4DEF"/>
    <w:rsid w:val="001F090B"/>
    <w:rsid w:val="001F13F9"/>
    <w:rsid w:val="00200737"/>
    <w:rsid w:val="0020258E"/>
    <w:rsid w:val="00210F17"/>
    <w:rsid w:val="00213E89"/>
    <w:rsid w:val="00215D71"/>
    <w:rsid w:val="002258B9"/>
    <w:rsid w:val="00226DFD"/>
    <w:rsid w:val="00233374"/>
    <w:rsid w:val="00251E3E"/>
    <w:rsid w:val="00253A32"/>
    <w:rsid w:val="002602B3"/>
    <w:rsid w:val="00270B07"/>
    <w:rsid w:val="002725C1"/>
    <w:rsid w:val="0028525C"/>
    <w:rsid w:val="002939AD"/>
    <w:rsid w:val="002D66CF"/>
    <w:rsid w:val="002E394E"/>
    <w:rsid w:val="002E4850"/>
    <w:rsid w:val="003015C9"/>
    <w:rsid w:val="00301F2D"/>
    <w:rsid w:val="00314AF6"/>
    <w:rsid w:val="0032515B"/>
    <w:rsid w:val="00336C5B"/>
    <w:rsid w:val="00337922"/>
    <w:rsid w:val="00340867"/>
    <w:rsid w:val="00350B7C"/>
    <w:rsid w:val="003541EA"/>
    <w:rsid w:val="003563A2"/>
    <w:rsid w:val="003601F9"/>
    <w:rsid w:val="00367178"/>
    <w:rsid w:val="00373270"/>
    <w:rsid w:val="00380837"/>
    <w:rsid w:val="0038136E"/>
    <w:rsid w:val="00384D65"/>
    <w:rsid w:val="00386427"/>
    <w:rsid w:val="0039119B"/>
    <w:rsid w:val="003A1354"/>
    <w:rsid w:val="003A198A"/>
    <w:rsid w:val="003A3FFF"/>
    <w:rsid w:val="003B41DA"/>
    <w:rsid w:val="003C3DE6"/>
    <w:rsid w:val="003C755A"/>
    <w:rsid w:val="003D2D8C"/>
    <w:rsid w:val="003E10C2"/>
    <w:rsid w:val="003E4825"/>
    <w:rsid w:val="003E582F"/>
    <w:rsid w:val="003F4F9B"/>
    <w:rsid w:val="00410914"/>
    <w:rsid w:val="004177C7"/>
    <w:rsid w:val="00427FF6"/>
    <w:rsid w:val="00430DD2"/>
    <w:rsid w:val="004452DB"/>
    <w:rsid w:val="0046326C"/>
    <w:rsid w:val="00470DED"/>
    <w:rsid w:val="004724DC"/>
    <w:rsid w:val="0048201E"/>
    <w:rsid w:val="004B17A4"/>
    <w:rsid w:val="004C2268"/>
    <w:rsid w:val="004E508B"/>
    <w:rsid w:val="005053D8"/>
    <w:rsid w:val="005158BA"/>
    <w:rsid w:val="00517724"/>
    <w:rsid w:val="005225CB"/>
    <w:rsid w:val="00536930"/>
    <w:rsid w:val="00537B49"/>
    <w:rsid w:val="00540D77"/>
    <w:rsid w:val="00541800"/>
    <w:rsid w:val="00545B24"/>
    <w:rsid w:val="00553344"/>
    <w:rsid w:val="00557215"/>
    <w:rsid w:val="00564E53"/>
    <w:rsid w:val="00572483"/>
    <w:rsid w:val="00574167"/>
    <w:rsid w:val="005B0C76"/>
    <w:rsid w:val="005B573F"/>
    <w:rsid w:val="005B799E"/>
    <w:rsid w:val="005C60C6"/>
    <w:rsid w:val="005D4D9D"/>
    <w:rsid w:val="005D541D"/>
    <w:rsid w:val="005D5659"/>
    <w:rsid w:val="005E3D7D"/>
    <w:rsid w:val="005E6DA2"/>
    <w:rsid w:val="00600C20"/>
    <w:rsid w:val="00602A86"/>
    <w:rsid w:val="00605F2C"/>
    <w:rsid w:val="00611708"/>
    <w:rsid w:val="00616BCD"/>
    <w:rsid w:val="00623D75"/>
    <w:rsid w:val="0062467A"/>
    <w:rsid w:val="00644FE2"/>
    <w:rsid w:val="0065113F"/>
    <w:rsid w:val="0065257F"/>
    <w:rsid w:val="006552CA"/>
    <w:rsid w:val="006555AC"/>
    <w:rsid w:val="006722B1"/>
    <w:rsid w:val="0067640C"/>
    <w:rsid w:val="00691C07"/>
    <w:rsid w:val="0069517E"/>
    <w:rsid w:val="00696F95"/>
    <w:rsid w:val="006A55D8"/>
    <w:rsid w:val="006B45F5"/>
    <w:rsid w:val="006B499A"/>
    <w:rsid w:val="006D0009"/>
    <w:rsid w:val="006D25D8"/>
    <w:rsid w:val="006E1253"/>
    <w:rsid w:val="006E678B"/>
    <w:rsid w:val="006E7B1D"/>
    <w:rsid w:val="006F164A"/>
    <w:rsid w:val="006F43EA"/>
    <w:rsid w:val="00703339"/>
    <w:rsid w:val="007100D6"/>
    <w:rsid w:val="00713448"/>
    <w:rsid w:val="00724AEC"/>
    <w:rsid w:val="00733AF3"/>
    <w:rsid w:val="00734A51"/>
    <w:rsid w:val="00743375"/>
    <w:rsid w:val="00744E6B"/>
    <w:rsid w:val="00754676"/>
    <w:rsid w:val="007565B2"/>
    <w:rsid w:val="00763F75"/>
    <w:rsid w:val="00767C48"/>
    <w:rsid w:val="007757F3"/>
    <w:rsid w:val="007B0E30"/>
    <w:rsid w:val="007B2AC1"/>
    <w:rsid w:val="007C1061"/>
    <w:rsid w:val="007C1B48"/>
    <w:rsid w:val="007C3E5B"/>
    <w:rsid w:val="007E1C30"/>
    <w:rsid w:val="007E3520"/>
    <w:rsid w:val="007E3B15"/>
    <w:rsid w:val="007E6AEB"/>
    <w:rsid w:val="007E6BFE"/>
    <w:rsid w:val="007F079E"/>
    <w:rsid w:val="007F18FB"/>
    <w:rsid w:val="007F35AD"/>
    <w:rsid w:val="007F3938"/>
    <w:rsid w:val="007F70CD"/>
    <w:rsid w:val="00801C24"/>
    <w:rsid w:val="00802D57"/>
    <w:rsid w:val="0085082C"/>
    <w:rsid w:val="00854BF7"/>
    <w:rsid w:val="00855E74"/>
    <w:rsid w:val="00870087"/>
    <w:rsid w:val="00894EDA"/>
    <w:rsid w:val="008973EE"/>
    <w:rsid w:val="00897F39"/>
    <w:rsid w:val="008B2748"/>
    <w:rsid w:val="008D1EBB"/>
    <w:rsid w:val="008E543A"/>
    <w:rsid w:val="008E686A"/>
    <w:rsid w:val="00906163"/>
    <w:rsid w:val="0094385A"/>
    <w:rsid w:val="0094574A"/>
    <w:rsid w:val="0095063D"/>
    <w:rsid w:val="009611D8"/>
    <w:rsid w:val="009625F8"/>
    <w:rsid w:val="00971600"/>
    <w:rsid w:val="00981C49"/>
    <w:rsid w:val="00996DF1"/>
    <w:rsid w:val="009973B4"/>
    <w:rsid w:val="009B147B"/>
    <w:rsid w:val="009C0522"/>
    <w:rsid w:val="009C28C1"/>
    <w:rsid w:val="009C6803"/>
    <w:rsid w:val="009D4C29"/>
    <w:rsid w:val="009E063E"/>
    <w:rsid w:val="009E523F"/>
    <w:rsid w:val="009F7EED"/>
    <w:rsid w:val="00A10709"/>
    <w:rsid w:val="00A20AEC"/>
    <w:rsid w:val="00A21CD2"/>
    <w:rsid w:val="00A24D91"/>
    <w:rsid w:val="00A30CCE"/>
    <w:rsid w:val="00A34553"/>
    <w:rsid w:val="00A46F02"/>
    <w:rsid w:val="00A66BC2"/>
    <w:rsid w:val="00A80636"/>
    <w:rsid w:val="00A8382E"/>
    <w:rsid w:val="00A86936"/>
    <w:rsid w:val="00A955D6"/>
    <w:rsid w:val="00A96C30"/>
    <w:rsid w:val="00AA2DBD"/>
    <w:rsid w:val="00AB2438"/>
    <w:rsid w:val="00AC41D5"/>
    <w:rsid w:val="00AC70EE"/>
    <w:rsid w:val="00AD5A3A"/>
    <w:rsid w:val="00AD5EA2"/>
    <w:rsid w:val="00AD60E0"/>
    <w:rsid w:val="00AE46F3"/>
    <w:rsid w:val="00AF0AAB"/>
    <w:rsid w:val="00AF683D"/>
    <w:rsid w:val="00B0775A"/>
    <w:rsid w:val="00B10CBE"/>
    <w:rsid w:val="00B13D4A"/>
    <w:rsid w:val="00B168B1"/>
    <w:rsid w:val="00B27567"/>
    <w:rsid w:val="00B309D5"/>
    <w:rsid w:val="00B31D2D"/>
    <w:rsid w:val="00B3526E"/>
    <w:rsid w:val="00B37503"/>
    <w:rsid w:val="00B47631"/>
    <w:rsid w:val="00B54CEE"/>
    <w:rsid w:val="00B61584"/>
    <w:rsid w:val="00B753B1"/>
    <w:rsid w:val="00B769A9"/>
    <w:rsid w:val="00B84747"/>
    <w:rsid w:val="00B84760"/>
    <w:rsid w:val="00BA14E6"/>
    <w:rsid w:val="00BC716B"/>
    <w:rsid w:val="00BF1FBB"/>
    <w:rsid w:val="00BF2DBF"/>
    <w:rsid w:val="00BF4552"/>
    <w:rsid w:val="00BF597E"/>
    <w:rsid w:val="00BF5D23"/>
    <w:rsid w:val="00C03337"/>
    <w:rsid w:val="00C11DE9"/>
    <w:rsid w:val="00C21826"/>
    <w:rsid w:val="00C30FA9"/>
    <w:rsid w:val="00C33E9E"/>
    <w:rsid w:val="00C37417"/>
    <w:rsid w:val="00C465A4"/>
    <w:rsid w:val="00C51A36"/>
    <w:rsid w:val="00C52728"/>
    <w:rsid w:val="00C54DE6"/>
    <w:rsid w:val="00C55228"/>
    <w:rsid w:val="00C63768"/>
    <w:rsid w:val="00C72EBC"/>
    <w:rsid w:val="00C77034"/>
    <w:rsid w:val="00C96C18"/>
    <w:rsid w:val="00CA1DA9"/>
    <w:rsid w:val="00CA335A"/>
    <w:rsid w:val="00CB4493"/>
    <w:rsid w:val="00CB4721"/>
    <w:rsid w:val="00CB5E6F"/>
    <w:rsid w:val="00CC628C"/>
    <w:rsid w:val="00CD2E24"/>
    <w:rsid w:val="00CE315A"/>
    <w:rsid w:val="00D0297E"/>
    <w:rsid w:val="00D0335A"/>
    <w:rsid w:val="00D06F59"/>
    <w:rsid w:val="00D266CC"/>
    <w:rsid w:val="00D327F9"/>
    <w:rsid w:val="00D339EA"/>
    <w:rsid w:val="00D436A8"/>
    <w:rsid w:val="00D45803"/>
    <w:rsid w:val="00D54119"/>
    <w:rsid w:val="00D639B2"/>
    <w:rsid w:val="00D64E7C"/>
    <w:rsid w:val="00D6695F"/>
    <w:rsid w:val="00D7518C"/>
    <w:rsid w:val="00D8042A"/>
    <w:rsid w:val="00D82E51"/>
    <w:rsid w:val="00D831E6"/>
    <w:rsid w:val="00D8388C"/>
    <w:rsid w:val="00D8726F"/>
    <w:rsid w:val="00D9486A"/>
    <w:rsid w:val="00DC0CD3"/>
    <w:rsid w:val="00DC7FDD"/>
    <w:rsid w:val="00DD5DF8"/>
    <w:rsid w:val="00DD61AA"/>
    <w:rsid w:val="00DE5A40"/>
    <w:rsid w:val="00DF4D82"/>
    <w:rsid w:val="00E24B69"/>
    <w:rsid w:val="00E262E0"/>
    <w:rsid w:val="00E274A8"/>
    <w:rsid w:val="00E470A9"/>
    <w:rsid w:val="00E47CD0"/>
    <w:rsid w:val="00E57A89"/>
    <w:rsid w:val="00E60B8E"/>
    <w:rsid w:val="00E6224C"/>
    <w:rsid w:val="00E83B25"/>
    <w:rsid w:val="00E843EC"/>
    <w:rsid w:val="00E92F54"/>
    <w:rsid w:val="00EA37D1"/>
    <w:rsid w:val="00EB0164"/>
    <w:rsid w:val="00EB05A6"/>
    <w:rsid w:val="00EC1F7F"/>
    <w:rsid w:val="00ED0F62"/>
    <w:rsid w:val="00EE08DA"/>
    <w:rsid w:val="00EE75BC"/>
    <w:rsid w:val="00EF2B59"/>
    <w:rsid w:val="00EF5D02"/>
    <w:rsid w:val="00F11A2F"/>
    <w:rsid w:val="00F14A9E"/>
    <w:rsid w:val="00F2366D"/>
    <w:rsid w:val="00F3054A"/>
    <w:rsid w:val="00F31A90"/>
    <w:rsid w:val="00F36E02"/>
    <w:rsid w:val="00F4488D"/>
    <w:rsid w:val="00F45B32"/>
    <w:rsid w:val="00F51DFC"/>
    <w:rsid w:val="00F6163B"/>
    <w:rsid w:val="00F66128"/>
    <w:rsid w:val="00F94C84"/>
    <w:rsid w:val="00FA16BE"/>
    <w:rsid w:val="00FA1D78"/>
    <w:rsid w:val="00FB30E5"/>
    <w:rsid w:val="00FB3E36"/>
    <w:rsid w:val="00FB6D0B"/>
    <w:rsid w:val="00FC1ACB"/>
    <w:rsid w:val="00FC1C89"/>
    <w:rsid w:val="00FD7CF3"/>
    <w:rsid w:val="00FE30D6"/>
    <w:rsid w:val="00FF3A5F"/>
    <w:rsid w:val="01260C71"/>
    <w:rsid w:val="014805DB"/>
    <w:rsid w:val="0148246F"/>
    <w:rsid w:val="01B97AED"/>
    <w:rsid w:val="01BB3069"/>
    <w:rsid w:val="01CE4435"/>
    <w:rsid w:val="01E27364"/>
    <w:rsid w:val="01F72228"/>
    <w:rsid w:val="02203F02"/>
    <w:rsid w:val="0228580F"/>
    <w:rsid w:val="026A697D"/>
    <w:rsid w:val="028120F9"/>
    <w:rsid w:val="02BA0811"/>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9953CE"/>
    <w:rsid w:val="0ACA6ED2"/>
    <w:rsid w:val="0AEF4D8D"/>
    <w:rsid w:val="0B0C5CAD"/>
    <w:rsid w:val="0B10795D"/>
    <w:rsid w:val="0B3A4AAA"/>
    <w:rsid w:val="0B4D2BD0"/>
    <w:rsid w:val="0B8E28C6"/>
    <w:rsid w:val="0BC32499"/>
    <w:rsid w:val="0BCE544E"/>
    <w:rsid w:val="0BE64DFF"/>
    <w:rsid w:val="0BEE0EA8"/>
    <w:rsid w:val="0C466D6D"/>
    <w:rsid w:val="0C5423F7"/>
    <w:rsid w:val="0C7B554E"/>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C5344"/>
    <w:rsid w:val="11BD2BE2"/>
    <w:rsid w:val="11BE2038"/>
    <w:rsid w:val="11C40475"/>
    <w:rsid w:val="11DC0AC4"/>
    <w:rsid w:val="11E2439D"/>
    <w:rsid w:val="121A66AF"/>
    <w:rsid w:val="12563B2D"/>
    <w:rsid w:val="126207EB"/>
    <w:rsid w:val="126E3008"/>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730AE"/>
    <w:rsid w:val="14CC6277"/>
    <w:rsid w:val="14F1297E"/>
    <w:rsid w:val="14F26225"/>
    <w:rsid w:val="15023387"/>
    <w:rsid w:val="15051B66"/>
    <w:rsid w:val="1505218A"/>
    <w:rsid w:val="150E58DF"/>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AE7B31"/>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4618AD"/>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2D2241"/>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3630B0"/>
    <w:rsid w:val="2D4E604F"/>
    <w:rsid w:val="2D5C2AB0"/>
    <w:rsid w:val="2D7A20E6"/>
    <w:rsid w:val="2D7B66E3"/>
    <w:rsid w:val="2D913577"/>
    <w:rsid w:val="2D9A3020"/>
    <w:rsid w:val="2DC57805"/>
    <w:rsid w:val="2DDF08DF"/>
    <w:rsid w:val="2DE76EE7"/>
    <w:rsid w:val="2DFF79D8"/>
    <w:rsid w:val="2E367C56"/>
    <w:rsid w:val="2E440885"/>
    <w:rsid w:val="2E4875EB"/>
    <w:rsid w:val="2E9512AB"/>
    <w:rsid w:val="2EEE512C"/>
    <w:rsid w:val="2EFB364D"/>
    <w:rsid w:val="2F7C571D"/>
    <w:rsid w:val="2F824436"/>
    <w:rsid w:val="2F904632"/>
    <w:rsid w:val="2FA86B66"/>
    <w:rsid w:val="2FC82DC8"/>
    <w:rsid w:val="2FE823A5"/>
    <w:rsid w:val="2FEA1C57"/>
    <w:rsid w:val="30015004"/>
    <w:rsid w:val="300172B8"/>
    <w:rsid w:val="30284CE9"/>
    <w:rsid w:val="30945277"/>
    <w:rsid w:val="30BC4A12"/>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F86A3B"/>
    <w:rsid w:val="331E21CE"/>
    <w:rsid w:val="332B6F8B"/>
    <w:rsid w:val="33424DF8"/>
    <w:rsid w:val="33562A0D"/>
    <w:rsid w:val="335C55FD"/>
    <w:rsid w:val="33715F28"/>
    <w:rsid w:val="33F07155"/>
    <w:rsid w:val="340C6245"/>
    <w:rsid w:val="34113C74"/>
    <w:rsid w:val="343C4522"/>
    <w:rsid w:val="347453BF"/>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5F4"/>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2E6DBB"/>
    <w:rsid w:val="3C543264"/>
    <w:rsid w:val="3C5C5688"/>
    <w:rsid w:val="3CA475E5"/>
    <w:rsid w:val="3CA717F2"/>
    <w:rsid w:val="3CC445CD"/>
    <w:rsid w:val="3CC56579"/>
    <w:rsid w:val="3CD5743B"/>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12608"/>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5C16BC"/>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156CCA"/>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1224DC"/>
    <w:rsid w:val="4A8610DE"/>
    <w:rsid w:val="4AD45EF1"/>
    <w:rsid w:val="4AE04A18"/>
    <w:rsid w:val="4AE80883"/>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00A92"/>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1E40E21"/>
    <w:rsid w:val="521A5D1E"/>
    <w:rsid w:val="523624DE"/>
    <w:rsid w:val="526B2302"/>
    <w:rsid w:val="52735F79"/>
    <w:rsid w:val="52A23F56"/>
    <w:rsid w:val="52BA5471"/>
    <w:rsid w:val="52CC19B1"/>
    <w:rsid w:val="52D10136"/>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621211"/>
    <w:rsid w:val="57A14CB5"/>
    <w:rsid w:val="57F55B90"/>
    <w:rsid w:val="580F191D"/>
    <w:rsid w:val="581B6507"/>
    <w:rsid w:val="58276F84"/>
    <w:rsid w:val="58584813"/>
    <w:rsid w:val="58B728A2"/>
    <w:rsid w:val="58B868EB"/>
    <w:rsid w:val="58CD6892"/>
    <w:rsid w:val="58D46744"/>
    <w:rsid w:val="58DA17E1"/>
    <w:rsid w:val="590230BB"/>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ED2776"/>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9D504E"/>
    <w:rsid w:val="63A31ABC"/>
    <w:rsid w:val="63C65078"/>
    <w:rsid w:val="63EA156F"/>
    <w:rsid w:val="63EA6D88"/>
    <w:rsid w:val="64106CE7"/>
    <w:rsid w:val="64617B80"/>
    <w:rsid w:val="64621F9C"/>
    <w:rsid w:val="649C75C9"/>
    <w:rsid w:val="64A537DD"/>
    <w:rsid w:val="64B05712"/>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19DB"/>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D414F"/>
    <w:rsid w:val="6C77423E"/>
    <w:rsid w:val="6C9C2F85"/>
    <w:rsid w:val="6C9D6944"/>
    <w:rsid w:val="6CCC62EF"/>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9744E"/>
    <w:rsid w:val="6FDC792B"/>
    <w:rsid w:val="701310D6"/>
    <w:rsid w:val="701710D0"/>
    <w:rsid w:val="702520EE"/>
    <w:rsid w:val="703777AC"/>
    <w:rsid w:val="70795456"/>
    <w:rsid w:val="707E2BAC"/>
    <w:rsid w:val="709946EC"/>
    <w:rsid w:val="70B16232"/>
    <w:rsid w:val="70FF4497"/>
    <w:rsid w:val="71867E45"/>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2E1973"/>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5C0B9B"/>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342B2E"/>
    <w:rsid w:val="7E6305EF"/>
    <w:rsid w:val="7E8D50F9"/>
    <w:rsid w:val="7EBA6AA6"/>
    <w:rsid w:val="7EBA7F08"/>
    <w:rsid w:val="7ED713AA"/>
    <w:rsid w:val="7EDA5201"/>
    <w:rsid w:val="7EEE63E6"/>
    <w:rsid w:val="7F541664"/>
    <w:rsid w:val="7F5737FE"/>
    <w:rsid w:val="7F697999"/>
    <w:rsid w:val="7F7836DB"/>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8"/>
    <w:qFormat/>
    <w:uiPriority w:val="0"/>
    <w:pPr>
      <w:snapToGrid w:val="0"/>
      <w:spacing w:line="336" w:lineRule="auto"/>
      <w:ind w:firstLine="630"/>
    </w:pPr>
    <w:rPr>
      <w:sz w:val="3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表格文字"/>
    <w:basedOn w:val="1"/>
    <w:qFormat/>
    <w:uiPriority w:val="0"/>
    <w:pPr>
      <w:spacing w:before="25" w:after="25"/>
    </w:pPr>
    <w:rPr>
      <w:bCs/>
      <w:spacing w:val="10"/>
    </w:rPr>
  </w:style>
  <w:style w:type="character" w:customStyle="1" w:styleId="18">
    <w:name w:val="正文文本缩进 字符"/>
    <w:basedOn w:val="9"/>
    <w:link w:val="3"/>
    <w:qFormat/>
    <w:uiPriority w:val="0"/>
    <w:rPr>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1276</Words>
  <Characters>7276</Characters>
  <Lines>60</Lines>
  <Paragraphs>17</Paragraphs>
  <TotalTime>0</TotalTime>
  <ScaleCrop>false</ScaleCrop>
  <LinksUpToDate>false</LinksUpToDate>
  <CharactersWithSpaces>8535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2022-07-07T15:18:09Z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050CA10379344FEE9866747A5F3A26E6</vt:lpwstr>
  </property>
</Properties>
</file>